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C8A8" w14:textId="431AF857" w:rsidR="00D35287" w:rsidRDefault="00D35287" w:rsidP="0021378C">
      <w:pPr>
        <w:pStyle w:val="Heading1"/>
      </w:pPr>
      <w:r>
        <w:t>Electronic Supplemental Material (ESM) 5 for “</w:t>
      </w:r>
      <w:r w:rsidRPr="00D35287">
        <w:t>Evaluating Alternative Metacommunity Hypotheses for Diatoms in the McMurdo Dry Valleys Using Simulations and Remote Sensing Data</w:t>
      </w:r>
      <w:r>
        <w:t>”</w:t>
      </w:r>
    </w:p>
    <w:p w14:paraId="0B2EBF65" w14:textId="77777777" w:rsidR="00D35287" w:rsidRPr="00376CC5" w:rsidRDefault="00D35287" w:rsidP="00D35287">
      <w:pPr>
        <w:pStyle w:val="AuthorList"/>
      </w:pPr>
      <w:r>
        <w:t>Eric R. Sokol</w:t>
      </w:r>
      <w:r w:rsidRPr="00A545C6">
        <w:rPr>
          <w:vertAlign w:val="superscript"/>
        </w:rPr>
        <w:t>1</w:t>
      </w:r>
      <w:r>
        <w:rPr>
          <w:vertAlign w:val="superscript"/>
        </w:rPr>
        <w:t>,2</w:t>
      </w:r>
      <w:r w:rsidRPr="00A545C6">
        <w:rPr>
          <w:vertAlign w:val="superscript"/>
        </w:rPr>
        <w:t>*</w:t>
      </w:r>
      <w:r w:rsidRPr="00376CC5">
        <w:t xml:space="preserve">, </w:t>
      </w:r>
      <w:r>
        <w:t>J. E. Barrett</w:t>
      </w:r>
      <w:r>
        <w:rPr>
          <w:vertAlign w:val="superscript"/>
        </w:rPr>
        <w:t>3</w:t>
      </w:r>
      <w:r w:rsidRPr="00A545C6">
        <w:rPr>
          <w:vertAlign w:val="superscript"/>
        </w:rPr>
        <w:t>*</w:t>
      </w:r>
      <w:r w:rsidRPr="00376CC5">
        <w:t xml:space="preserve">, </w:t>
      </w:r>
      <w:r>
        <w:t>Tyler J. Kohler</w:t>
      </w:r>
      <w:r>
        <w:rPr>
          <w:vertAlign w:val="superscript"/>
        </w:rPr>
        <w:t>4</w:t>
      </w:r>
      <w:r w:rsidRPr="00376CC5">
        <w:t xml:space="preserve">, </w:t>
      </w:r>
      <w:r>
        <w:t>Diane</w:t>
      </w:r>
      <w:r w:rsidRPr="007B50BA">
        <w:t xml:space="preserve"> M. McKnight </w:t>
      </w:r>
      <w:r>
        <w:rPr>
          <w:vertAlign w:val="superscript"/>
        </w:rPr>
        <w:t>2</w:t>
      </w:r>
      <w:r w:rsidRPr="00376CC5">
        <w:t xml:space="preserve">, </w:t>
      </w:r>
      <w:r>
        <w:t>Mark</w:t>
      </w:r>
      <w:r w:rsidRPr="007B50BA">
        <w:t xml:space="preserve"> R. Salvatore </w:t>
      </w:r>
      <w:r>
        <w:rPr>
          <w:vertAlign w:val="superscript"/>
        </w:rPr>
        <w:t>5</w:t>
      </w:r>
      <w:r w:rsidRPr="00376CC5">
        <w:t xml:space="preserve">, </w:t>
      </w:r>
      <w:r>
        <w:t>Lee F. Stanish</w:t>
      </w:r>
      <w:r>
        <w:rPr>
          <w:vertAlign w:val="superscript"/>
        </w:rPr>
        <w:t>1</w:t>
      </w:r>
    </w:p>
    <w:p w14:paraId="1EAA372B" w14:textId="77777777" w:rsidR="00D35287" w:rsidRPr="007B50BA" w:rsidRDefault="00D35287" w:rsidP="00D35287">
      <w:pPr>
        <w:spacing w:before="240" w:after="0"/>
        <w:rPr>
          <w:rFonts w:cs="Times New Roman"/>
          <w:szCs w:val="24"/>
        </w:rPr>
      </w:pPr>
      <w:r>
        <w:rPr>
          <w:vertAlign w:val="superscript"/>
        </w:rPr>
        <w:t>1</w:t>
      </w:r>
      <w:r>
        <w:t>National Ecological Observatory Network (NEON), Battelle, Boulder, CO 80301, USA</w:t>
      </w:r>
    </w:p>
    <w:p w14:paraId="03132E30" w14:textId="77777777" w:rsidR="00D35287" w:rsidRPr="007B50BA" w:rsidRDefault="00D35287" w:rsidP="00D35287">
      <w:pPr>
        <w:spacing w:after="0"/>
        <w:rPr>
          <w:rFonts w:cs="Times New Roman"/>
          <w:b/>
          <w:szCs w:val="24"/>
        </w:rPr>
      </w:pPr>
      <w:r w:rsidRPr="00376CC5">
        <w:rPr>
          <w:rFonts w:cs="Times New Roman"/>
          <w:szCs w:val="24"/>
          <w:vertAlign w:val="superscript"/>
        </w:rPr>
        <w:t>2</w:t>
      </w:r>
      <w:r>
        <w:t>Institute of Arctic and Alpine Research (NSTAAR), University of Colorado Boulder, CO 80309, USA</w:t>
      </w:r>
      <w:r w:rsidRPr="00376CC5">
        <w:rPr>
          <w:rFonts w:cs="Times New Roman"/>
          <w:szCs w:val="24"/>
        </w:rPr>
        <w:t xml:space="preserve"> </w:t>
      </w:r>
    </w:p>
    <w:p w14:paraId="11DF9872" w14:textId="77777777" w:rsidR="00D35287" w:rsidRPr="007B50BA" w:rsidRDefault="00D35287" w:rsidP="00D35287">
      <w:pPr>
        <w:spacing w:after="0"/>
        <w:rPr>
          <w:rFonts w:cs="Times New Roman"/>
          <w:szCs w:val="24"/>
        </w:rPr>
      </w:pPr>
      <w:r>
        <w:rPr>
          <w:rFonts w:cs="Times New Roman"/>
          <w:szCs w:val="24"/>
          <w:vertAlign w:val="superscript"/>
        </w:rPr>
        <w:t>3</w:t>
      </w:r>
      <w:r>
        <w:t>Department of Biological Sciences, Virginia Tech, Blacksburg, VA 24061, USA</w:t>
      </w:r>
    </w:p>
    <w:p w14:paraId="49E7F8F3" w14:textId="77777777" w:rsidR="00D35287" w:rsidRPr="007B50BA" w:rsidRDefault="00D35287" w:rsidP="00D35287">
      <w:pPr>
        <w:spacing w:after="0"/>
        <w:rPr>
          <w:rFonts w:cs="Times New Roman"/>
          <w:b/>
          <w:szCs w:val="24"/>
        </w:rPr>
      </w:pPr>
      <w:r>
        <w:rPr>
          <w:rFonts w:cs="Times New Roman"/>
          <w:szCs w:val="24"/>
          <w:vertAlign w:val="superscript"/>
        </w:rPr>
        <w:t>4</w:t>
      </w:r>
      <w:r>
        <w:t xml:space="preserve">Stream Biofilm and Ecosystem Research Laboratory, School of Architecture, Civil and Environmental Engineering, École Polytechnique </w:t>
      </w:r>
      <w:proofErr w:type="spellStart"/>
      <w:r>
        <w:t>Fédérale</w:t>
      </w:r>
      <w:proofErr w:type="spellEnd"/>
      <w:r>
        <w:t xml:space="preserve"> de Lausanne, CH-1015 Lausanne, Switzerland</w:t>
      </w:r>
      <w:r w:rsidRPr="00376CC5">
        <w:rPr>
          <w:rFonts w:cs="Times New Roman"/>
          <w:szCs w:val="24"/>
        </w:rPr>
        <w:t xml:space="preserve"> </w:t>
      </w:r>
    </w:p>
    <w:p w14:paraId="63466136" w14:textId="77777777" w:rsidR="00D35287" w:rsidRPr="007B50BA" w:rsidRDefault="00D35287" w:rsidP="00D35287">
      <w:pPr>
        <w:spacing w:after="0"/>
        <w:rPr>
          <w:rFonts w:cs="Times New Roman"/>
          <w:b/>
          <w:szCs w:val="24"/>
        </w:rPr>
      </w:pPr>
      <w:r>
        <w:rPr>
          <w:rFonts w:cs="Times New Roman"/>
          <w:szCs w:val="24"/>
          <w:vertAlign w:val="superscript"/>
        </w:rPr>
        <w:t>5</w:t>
      </w:r>
      <w:r>
        <w:t>Dept. of Astronomy and Planetary Science, Northern Arizona University, NAU Box 6010, Flagstaff, AZ 86011-6010</w:t>
      </w:r>
    </w:p>
    <w:p w14:paraId="1E0C33C7" w14:textId="77777777" w:rsidR="00D35287" w:rsidRPr="00376CC5" w:rsidRDefault="00D35287" w:rsidP="00D35287">
      <w:pPr>
        <w:spacing w:before="240" w:after="0"/>
        <w:rPr>
          <w:rFonts w:cs="Times New Roman"/>
          <w:b/>
          <w:szCs w:val="24"/>
        </w:rPr>
      </w:pPr>
      <w:r w:rsidRPr="00376CC5">
        <w:rPr>
          <w:rFonts w:cs="Times New Roman"/>
          <w:b/>
          <w:szCs w:val="24"/>
        </w:rPr>
        <w:t xml:space="preserve">* Correspondence: </w:t>
      </w:r>
      <w:r w:rsidRPr="00376CC5">
        <w:rPr>
          <w:rFonts w:cs="Times New Roman"/>
          <w:b/>
          <w:szCs w:val="24"/>
        </w:rPr>
        <w:br/>
      </w:r>
      <w:r>
        <w:rPr>
          <w:rFonts w:cs="Times New Roman"/>
          <w:szCs w:val="24"/>
        </w:rPr>
        <w:t>Eric R. Sokol</w:t>
      </w:r>
      <w:r w:rsidRPr="00376CC5">
        <w:rPr>
          <w:rFonts w:cs="Times New Roman"/>
          <w:szCs w:val="24"/>
        </w:rPr>
        <w:br/>
      </w:r>
      <w:r>
        <w:rPr>
          <w:rFonts w:cs="Times New Roman"/>
          <w:szCs w:val="24"/>
        </w:rPr>
        <w:t>sokole@gmail.com</w:t>
      </w:r>
    </w:p>
    <w:p w14:paraId="7CB5EF9A" w14:textId="77777777" w:rsidR="00D35287" w:rsidRPr="00D35287" w:rsidRDefault="00D35287" w:rsidP="00D35287"/>
    <w:p w14:paraId="60C24B2E" w14:textId="61199082" w:rsidR="00D44CC3" w:rsidRDefault="001A76C9" w:rsidP="0021378C">
      <w:pPr>
        <w:pStyle w:val="Heading1"/>
      </w:pPr>
      <w:r>
        <w:t>Description of s</w:t>
      </w:r>
      <w:r w:rsidR="00D44CC3" w:rsidRPr="00F77544">
        <w:t>imulation initial conditions derived from empirical observations</w:t>
      </w:r>
    </w:p>
    <w:p w14:paraId="18CB06C5" w14:textId="77777777" w:rsidR="00D44CC3" w:rsidRDefault="00D44CC3" w:rsidP="00D44CC3">
      <w:bookmarkStart w:id="0" w:name="_Hlk41216485"/>
      <w:r w:rsidRPr="00D35287">
        <w:t>The 500 pixels selected from the NDVI source image to represent the spatial distribution of patches of high-density cyanobacterial mats, which served as patches for diatom assemblages in the metacommunity simulations, had observed NDVI values between 0.218 and 0.675, with the strongest</w:t>
      </w:r>
      <w:r>
        <w:t xml:space="preserve"> NDVI signals occurring in the catchment of Canada Stream (Table 2, Fig 1). </w:t>
      </w:r>
      <w:bookmarkEnd w:id="0"/>
      <w:r>
        <w:t>Of these top 500 NDVI pixels, 65 were located in the catchments of SG1, seven were located in the catchments of SG2, and 428 were located in the catchments of SG3.</w:t>
      </w:r>
    </w:p>
    <w:p w14:paraId="3FCF6BFD" w14:textId="77777777" w:rsidR="00D44CC3" w:rsidRDefault="00D44CC3" w:rsidP="00D44CC3">
      <w:r>
        <w:t>The initial contrived metacommunity used as a common starting point for all 10000 simulations had a mean local (i.e., patch-scale) diversity (</w:t>
      </w:r>
      <w:r w:rsidRPr="00E17820">
        <w:rPr>
          <w:i/>
        </w:rPr>
        <w:t>D</w:t>
      </w:r>
      <w:r w:rsidRPr="00E17820">
        <w:rPr>
          <w:i/>
          <w:vertAlign w:val="subscript"/>
        </w:rPr>
        <w:t>α</w:t>
      </w:r>
      <w:r>
        <w:t>) of 10.6 species equivalents, a total metacommunity diversity (</w:t>
      </w:r>
      <w:proofErr w:type="spellStart"/>
      <w:r>
        <w:rPr>
          <w:i/>
        </w:rPr>
        <w:t>D</w:t>
      </w:r>
      <w:r>
        <w:rPr>
          <w:i/>
          <w:vertAlign w:val="subscript"/>
        </w:rPr>
        <w:t>γ</w:t>
      </w:r>
      <w:proofErr w:type="spellEnd"/>
      <w:r>
        <w:t>) of 22.0 species equivalents, and among-patch turnover in community composition (</w:t>
      </w:r>
      <w:r>
        <w:rPr>
          <w:i/>
        </w:rPr>
        <w:t>D</w:t>
      </w:r>
      <w:r>
        <w:rPr>
          <w:i/>
          <w:vertAlign w:val="subscript"/>
        </w:rPr>
        <w:t>β</w:t>
      </w:r>
      <w:r>
        <w:t xml:space="preserve">) was 2.07. Community composition in the source data from the MCM LTER varied both by mat type and across stream groups (Fig 2), which has been described in detail elsewhere </w:t>
      </w:r>
      <w:r>
        <w:fldChar w:fldCharType="begin"/>
      </w:r>
      <w:r>
        <w:instrText xml:space="preserve"> ADDIN ZOTERO_ITEM CSL_CITATION {"citationID":"qdt08egY","properties":{"formattedCitation":"(Esposito et al., 2006; Stanish et al., 2011, 2012)","plainCitation":"(Esposito et al., 2006; Stanish et al., 2011, 2012)","noteIndex":0},"citationItems":[{"id":2056,"uris":["http://zotero.org/users/629644/items/S4T7VW3G"],"uri":["http://zotero.org/users/629644/items/S4T7VW3G"],"itemData":{"id":2056,"type":"article-journal","container-title":"Geophysical Research Letters","DOI":"200610.1029/2006GL025903","journalAbbreviation":"Geophys. Res. Lett.","page":"4 PP.","source":"AGU Journals","title":"Antarctic climate cooling and response of diatoms in glacial meltwater streams","volume":"33","author":[{"family":"Esposito","given":"R. M. M."},{"family":"Horn","given":"S. L."},{"family":"McKnight","given":"D. M."},{"family":"Cox","given":"M. J."},{"family":"Grant","given":"M. C."},{"family":"Spaulding","given":"S. A."},{"family":"Doran","given":"P. T."},{"family":"Cozzetto","given":"K. D."}],"issued":{"date-parts":[["2006",4,15]]}}},{"id":4220,"uris":["http://zotero.org/users/629644/items/WAK5H93R"],"uri":["http://zotero.org/users/629644/items/WAK5H93R"],"itemData":{"id":4220,"type":"article-journal","abstract":"AbstractOur paper describes the ecological controls on algal-mat diatom communities in the dynamic stream ecosystems of the McMurdo Dry Valleys in Antarctica. Dry Valley diatom communities are relatively diverse, and nearly ½ of the taxa found in these mats are considered endemic. Diatom community composition was examined in 5 streams in Taylor Valley during a 15-y cooling period that included a discrete flood event. Two hydrologic variables, total annual discharge and historical variation in discharge, gave the most parsimonious model of among-stream and interannual variation in diatom communities. Algal-mat biomass and chlorophyll a concentrations decreased after the flood, which occurred during the 2001/2002 summer season. Most algal-mat diatom communities recovered quickly after the flood. However, Green Creek, a relatively high-flow stream with low historical variation in discharge, appears to have experienced a persistent diatom community shift toward increased relative abundance of small, generalist species. Diatom relative biovolume, a proxy for the size of diatoms within a sample, was negatively correlated with stream flow, such that higher-discharge streams contained greater relative abundances of smaller diatoms than lower-flow streams. Therefore, diatom size may play a role in determining the distribution of a species in these streams and may be useful for monitoring environmental changes. Our study demonstrates the importance of understanding factors affecting ecosystem resilience, especially in polar regions, which are experiencing rapid climate changes.","container-title":"Journal of the North American Benthological Society","DOI":"10.1899/11-008.1","ISSN":"0887-3593","issue":"4","journalAbbreviation":"Journal of the North American Benthological Society","page":"1057-1073","source":"JSTOR","title":"Hydrologic processes influence diatom community composition in Dry Valley streams","volume":"30","author":[{"family":"Stanish","given":"Lee F"},{"family":"Nemergut","given":"Diana R"},{"family":"McKnight","given":"Diane M"}],"issued":{"date-parts":[["2011"]]}}},{"id":2204,"uris":["http://zotero.org/users/629644/items/S4KV47P4"],"uri":["http://zotero.org/users/629644/items/S4KV47P4"],"itemData":{"id":2204,"type":"article-journal","abstract":"The ephemeral stream habitats of the McMurdo Dry Valleys of Antarctica support desiccation and freeze-tolerant microbial mats that are hot spots of primary productivity in an otherwise inhospitable environment. The ecological processes that structure bacterial communities in this harsh environment are not known; however, insights from diatom community ecology may prove to be informative. We examined the relationships between diatoms and bacteria at the community and taxon levels. The diversity and community structure of stream microbial mats were characterized using high-throughput pyrosequencing for bacteria and morphological identification for diatoms. We found significant relationships between diatom communities and the communities of cyanobacteria and heterotrophic bacteria, and co-occurrence analysis identified numerous correlations between the relative abundances of individual diatom and bacterial taxa, which may result from species interactions. Additionally, the strength of correlations between heterotrophic bacteria and diatoms varied along a hydrologic gradient, indicating that flow regime may influence the overall community structure. Phylogenetic consistency in the co-occurrence patterns suggests that the associations are ecologically relevant. Despite these community- and taxon-level relationships, diatom and bacterial alpha diversity were inversely correlated, which may highlight a fundamental difference between the processes that influence bacterial and diatom community assembly in these streams. Our results therefore demonstrate that the relationships between diatoms and bacteria are complex and may result from species interactions as well as niche-specific processes.","container-title":"Environmental Microbiology","DOI":"10.1111/j.1462-2920.2012.02872.x","ISSN":"1462-2920","language":"en","page":"n/a–n/a","source":"Wiley Online Library","title":"Bacteria and diatom co-occurrence patterns in microbial mats from polar desert streams","author":[{"family":"Stanish","given":"Lee F."},{"family":"O'Neill","given":"Sean P."},{"family":"Gonzalez","given":"Antonio"},{"family":"Legg","given":"Teresa M."},{"family":"Knelman","given":"Joseph"},{"family":"McKnight","given":"Diane M."},{"family":"Spaulding","given":"Sarah"},{"family":"Nemergut","given":"Diana R."}],"issued":{"date-parts":[["2012"]]}}}],"schema":"https://github.com/citation-style-language/schema/raw/master/csl-citation.json"} </w:instrText>
      </w:r>
      <w:r>
        <w:fldChar w:fldCharType="separate"/>
      </w:r>
      <w:r w:rsidRPr="003C4B7A">
        <w:rPr>
          <w:rFonts w:cs="Times New Roman"/>
        </w:rPr>
        <w:t>(Esposito et al., 2006; Stanish et al., 2011, 2012)</w:t>
      </w:r>
      <w:r>
        <w:fldChar w:fldCharType="end"/>
      </w:r>
      <w:hyperlink r:id="rId5"/>
      <w:r>
        <w:t>. The variation in the source data was preserved in the initial contrived metacommunity (ESM2) because of the stratified random sampling with replacement that was used to select records from the MCM LTER database to construct the contrived metacommunity.</w:t>
      </w:r>
    </w:p>
    <w:p w14:paraId="136E9A23" w14:textId="77777777" w:rsidR="00D44CC3" w:rsidRDefault="00D44CC3" w:rsidP="00D44CC3">
      <w:r>
        <w:lastRenderedPageBreak/>
        <w:t>The distribution of mat types in the simulation map (Fig 3A) reflects the proportion of records from orange and black mats in the MCM LTER record for each stream group. In the simulated landscape, patches in SG1 have a nearly even proportion of orange and black mats, whereas orange mats are 2.6 and 1.6 times more common than black mats in SG2 and SG3, respectively. Reported chlorophyll-a standing biomass measurements were generally greater in records from black mats than orange mats, and the greatest values were reported in records from SG1, which largely represented mats in and near Canada Stream (Table 3).</w:t>
      </w:r>
    </w:p>
    <w:p w14:paraId="151BE04C" w14:textId="77777777" w:rsidR="00D44CC3" w:rsidRDefault="00D44CC3" w:rsidP="00D44CC3">
      <w:r>
        <w:t>Chlorophyll-a standing biomass and the presence of black mats were both negatively correlated with the PCA axis used to define the environmental gradient (</w:t>
      </w:r>
      <w:r>
        <w:rPr>
          <w:i/>
        </w:rPr>
        <w:t>E</w:t>
      </w:r>
      <w:r>
        <w:t xml:space="preserve">) in the simulated landscape (Fig 3C). The presence and relative abundances of diatom taxa were mapped onto this gradient in the contrived dataset using an OMI analysis </w:t>
      </w:r>
      <w:r>
        <w:fldChar w:fldCharType="begin"/>
      </w:r>
      <w:r>
        <w:instrText xml:space="preserve"> ADDIN ZOTERO_ITEM CSL_CITATION {"citationID":"1ng6SxrG","properties":{"formattedCitation":"(Dol\\uc0\\u233{}dec et al., 2000)","plainCitation":"(Dolédec et al., 2000)","noteIndex":0},"citationItems":[{"id":3844,"uris":["http://zotero.org/users/629644/items/7VTRVTXI"],"uri":["http://zotero.org/users/629644/items/7VTRVTXI"],"itemData":{"id":3844,"type":"article-journal","container-title":"Ecology","DOI":"10.1111/j.0022-3646.1995.00002.x","issue":"10","page":"2914–2927","source":"Google Scholar","title":"Niche separation in community analysis: a new method","title-short":"Niche separation in community analysis","volume":"81","author":[{"family":"Dolédec","given":"Sylvain"},{"family":"Chessel","given":"Daniel"},{"family":"Gimaret-Carpentier","given":"Clémentine"}],"issued":{"date-parts":[["2000"]]}}}],"schema":"https://github.com/citation-style-language/schema/raw/master/csl-citation.json"} </w:instrText>
      </w:r>
      <w:r>
        <w:fldChar w:fldCharType="separate"/>
      </w:r>
      <w:r w:rsidRPr="003C4B7A">
        <w:rPr>
          <w:rFonts w:cs="Times New Roman"/>
          <w:szCs w:val="24"/>
        </w:rPr>
        <w:t>(Dolédec et al., 2000)</w:t>
      </w:r>
      <w:r>
        <w:fldChar w:fldCharType="end"/>
      </w:r>
      <w:r>
        <w:t>, producing a set of empirically derived niche preferences (</w:t>
      </w:r>
      <w:r>
        <w:rPr>
          <w:i/>
        </w:rPr>
        <w:t>µ</w:t>
      </w:r>
      <w:r>
        <w:t>) and niche breadths (</w:t>
      </w:r>
      <w:r>
        <w:rPr>
          <w:i/>
        </w:rPr>
        <w:t>σ</w:t>
      </w:r>
      <w:r>
        <w:t xml:space="preserve">) for each taxon (Fig 3C-i). The same habitat preference (values of </w:t>
      </w:r>
      <w:r>
        <w:rPr>
          <w:i/>
        </w:rPr>
        <w:t>µ</w:t>
      </w:r>
      <w:r>
        <w:t xml:space="preserve">) were used for the same taxa in all 10000 simulations. Many taxa had broad niche breadths (i.e., large values for </w:t>
      </w:r>
      <w:r>
        <w:rPr>
          <w:i/>
        </w:rPr>
        <w:t>σ</w:t>
      </w:r>
      <w:r>
        <w:t xml:space="preserve">), indicating these taxa occurred in similar abundances across the gradient </w:t>
      </w:r>
      <w:r>
        <w:rPr>
          <w:i/>
        </w:rPr>
        <w:t>E</w:t>
      </w:r>
      <w:r>
        <w:t>. However, a few taxa had relatively narrow niche breadths, which indicated either positive (</w:t>
      </w:r>
      <w:r>
        <w:rPr>
          <w:i/>
        </w:rPr>
        <w:t xml:space="preserve">µ </w:t>
      </w:r>
      <w:r>
        <w:t>&gt; 0) or negative (</w:t>
      </w:r>
      <w:r>
        <w:rPr>
          <w:i/>
        </w:rPr>
        <w:t xml:space="preserve">µ </w:t>
      </w:r>
      <w:r>
        <w:t xml:space="preserve">&lt; 0) associations with the environmental gradient, </w:t>
      </w:r>
      <w:r>
        <w:rPr>
          <w:i/>
        </w:rPr>
        <w:t>E</w:t>
      </w:r>
      <w:r>
        <w:t xml:space="preserve">. SSS type metacommunity dynamics occurred in simulations in which the species pool was assigned the empirically derived values of </w:t>
      </w:r>
      <w:r>
        <w:rPr>
          <w:i/>
        </w:rPr>
        <w:t xml:space="preserve">σ </w:t>
      </w:r>
      <w:r>
        <w:t xml:space="preserve">(Fig 3C-i), whereas, MSS dynamics occurred in simulations which used species niche breadths that were multiplied by a </w:t>
      </w:r>
      <w:proofErr w:type="spellStart"/>
      <w:r>
        <w:rPr>
          <w:i/>
        </w:rPr>
        <w:t>C</w:t>
      </w:r>
      <w:r>
        <w:rPr>
          <w:i/>
          <w:vertAlign w:val="subscript"/>
        </w:rPr>
        <w:t>niche</w:t>
      </w:r>
      <w:proofErr w:type="spellEnd"/>
      <w:r>
        <w:t xml:space="preserve"> of 4 (Fig 3C-ii, see eq. 3), and NM dynamics occurred when niche breadths were all multiplied by a </w:t>
      </w:r>
      <w:proofErr w:type="spellStart"/>
      <w:r>
        <w:rPr>
          <w:i/>
        </w:rPr>
        <w:t>C</w:t>
      </w:r>
      <w:r>
        <w:rPr>
          <w:i/>
          <w:vertAlign w:val="subscript"/>
        </w:rPr>
        <w:t>niche</w:t>
      </w:r>
      <w:proofErr w:type="spellEnd"/>
      <w:r>
        <w:t xml:space="preserve"> of 20 (Fig 3C-iii).</w:t>
      </w:r>
    </w:p>
    <w:p w14:paraId="6BE46F1C" w14:textId="77777777" w:rsidR="00210F3E" w:rsidRDefault="00D35287"/>
    <w:sectPr w:rsidR="0021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0E"/>
    <w:rsid w:val="00140A95"/>
    <w:rsid w:val="001A76C9"/>
    <w:rsid w:val="0021378C"/>
    <w:rsid w:val="00321E2A"/>
    <w:rsid w:val="005B54EB"/>
    <w:rsid w:val="005D676B"/>
    <w:rsid w:val="0083026D"/>
    <w:rsid w:val="0087290E"/>
    <w:rsid w:val="009A1DD3"/>
    <w:rsid w:val="009B73F0"/>
    <w:rsid w:val="00AE4123"/>
    <w:rsid w:val="00D35287"/>
    <w:rsid w:val="00D44CC3"/>
    <w:rsid w:val="00E2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9B9"/>
  <w15:chartTrackingRefBased/>
  <w15:docId w15:val="{CFC7B1A8-DD25-4E35-9695-BD680D24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C3"/>
    <w:pPr>
      <w:spacing w:before="120" w:after="240" w:line="240" w:lineRule="auto"/>
    </w:pPr>
    <w:rPr>
      <w:rFonts w:ascii="Times New Roman" w:hAnsi="Times New Roman"/>
      <w:sz w:val="24"/>
    </w:rPr>
  </w:style>
  <w:style w:type="paragraph" w:styleId="Heading1">
    <w:name w:val="heading 1"/>
    <w:basedOn w:val="Normal"/>
    <w:next w:val="Normal"/>
    <w:link w:val="Heading1Char"/>
    <w:autoRedefine/>
    <w:uiPriority w:val="2"/>
    <w:qFormat/>
    <w:rsid w:val="005B54EB"/>
    <w:pPr>
      <w:keepNext/>
      <w:keepLines/>
      <w:spacing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2"/>
    <w:unhideWhenUsed/>
    <w:qFormat/>
    <w:rsid w:val="005B54EB"/>
    <w:pPr>
      <w:keepNext/>
      <w:keepLines/>
      <w:spacing w:after="120" w:line="480" w:lineRule="auto"/>
      <w:outlineLvl w:val="1"/>
    </w:pPr>
    <w:rPr>
      <w:rFonts w:eastAsiaTheme="majorEastAsia" w:cstheme="majorBidi"/>
      <w:i/>
      <w:szCs w:val="26"/>
      <w:u w:val="single"/>
    </w:rPr>
  </w:style>
  <w:style w:type="paragraph" w:styleId="Heading3">
    <w:name w:val="heading 3"/>
    <w:basedOn w:val="Normal"/>
    <w:next w:val="Normal"/>
    <w:link w:val="Heading3Char"/>
    <w:autoRedefine/>
    <w:uiPriority w:val="2"/>
    <w:unhideWhenUsed/>
    <w:qFormat/>
    <w:rsid w:val="0083026D"/>
    <w:pPr>
      <w:keepNext/>
      <w:keepLines/>
      <w:spacing w:after="120"/>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2"/>
    <w:qFormat/>
    <w:rsid w:val="00D44CC3"/>
    <w:pPr>
      <w:tabs>
        <w:tab w:val="num" w:pos="567"/>
      </w:tabs>
      <w:spacing w:before="40"/>
      <w:ind w:left="567" w:hanging="567"/>
      <w:outlineLvl w:val="3"/>
    </w:pPr>
    <w:rPr>
      <w:rFonts w:ascii="Times New Roman" w:hAnsi="Times New Roman"/>
      <w:b/>
      <w:iCs/>
    </w:rPr>
  </w:style>
  <w:style w:type="paragraph" w:styleId="Heading5">
    <w:name w:val="heading 5"/>
    <w:basedOn w:val="Heading4"/>
    <w:next w:val="Normal"/>
    <w:link w:val="Heading5Char"/>
    <w:uiPriority w:val="2"/>
    <w:qFormat/>
    <w:rsid w:val="00D44CC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A95"/>
    <w:pPr>
      <w:spacing w:after="0" w:line="240" w:lineRule="auto"/>
      <w:contextualSpacing/>
    </w:pPr>
    <w:rPr>
      <w:rFonts w:ascii="Arial" w:hAnsi="Arial"/>
    </w:rPr>
  </w:style>
  <w:style w:type="character" w:customStyle="1" w:styleId="Heading1Char">
    <w:name w:val="Heading 1 Char"/>
    <w:basedOn w:val="DefaultParagraphFont"/>
    <w:link w:val="Heading1"/>
    <w:uiPriority w:val="9"/>
    <w:rsid w:val="005B54E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2"/>
    <w:rsid w:val="005B54EB"/>
    <w:rPr>
      <w:rFonts w:ascii="Arial" w:eastAsiaTheme="majorEastAsia" w:hAnsi="Arial" w:cstheme="majorBidi"/>
      <w:i/>
      <w:szCs w:val="26"/>
      <w:u w:val="single"/>
    </w:rPr>
  </w:style>
  <w:style w:type="character" w:styleId="IntenseEmphasis">
    <w:name w:val="Intense Emphasis"/>
    <w:basedOn w:val="DefaultParagraphFont"/>
    <w:uiPriority w:val="21"/>
    <w:qFormat/>
    <w:rsid w:val="00140A95"/>
    <w:rPr>
      <w:i/>
      <w:iCs/>
      <w:color w:val="auto"/>
    </w:rPr>
  </w:style>
  <w:style w:type="character" w:customStyle="1" w:styleId="Heading3Char">
    <w:name w:val="Heading 3 Char"/>
    <w:basedOn w:val="DefaultParagraphFont"/>
    <w:link w:val="Heading3"/>
    <w:uiPriority w:val="9"/>
    <w:rsid w:val="0083026D"/>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D44C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CC3"/>
    <w:rPr>
      <w:rFonts w:ascii="Segoe UI" w:hAnsi="Segoe UI" w:cs="Segoe UI"/>
      <w:sz w:val="18"/>
      <w:szCs w:val="18"/>
    </w:rPr>
  </w:style>
  <w:style w:type="character" w:customStyle="1" w:styleId="Heading4Char">
    <w:name w:val="Heading 4 Char"/>
    <w:basedOn w:val="DefaultParagraphFont"/>
    <w:link w:val="Heading4"/>
    <w:uiPriority w:val="2"/>
    <w:rsid w:val="00D44CC3"/>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D44CC3"/>
    <w:rPr>
      <w:rFonts w:ascii="Times New Roman" w:eastAsiaTheme="majorEastAsia" w:hAnsi="Times New Roman" w:cstheme="majorBidi"/>
      <w:b/>
      <w:iCs/>
      <w:sz w:val="24"/>
      <w:szCs w:val="24"/>
    </w:rPr>
  </w:style>
  <w:style w:type="character" w:styleId="CommentReference">
    <w:name w:val="annotation reference"/>
    <w:basedOn w:val="DefaultParagraphFont"/>
    <w:uiPriority w:val="99"/>
    <w:semiHidden/>
    <w:unhideWhenUsed/>
    <w:rsid w:val="00D44CC3"/>
    <w:rPr>
      <w:sz w:val="16"/>
      <w:szCs w:val="16"/>
    </w:rPr>
  </w:style>
  <w:style w:type="paragraph" w:styleId="CommentText">
    <w:name w:val="annotation text"/>
    <w:basedOn w:val="Normal"/>
    <w:link w:val="CommentTextChar"/>
    <w:uiPriority w:val="99"/>
    <w:unhideWhenUsed/>
    <w:rsid w:val="00D44CC3"/>
    <w:rPr>
      <w:sz w:val="20"/>
      <w:szCs w:val="20"/>
    </w:rPr>
  </w:style>
  <w:style w:type="character" w:customStyle="1" w:styleId="CommentTextChar">
    <w:name w:val="Comment Text Char"/>
    <w:basedOn w:val="DefaultParagraphFont"/>
    <w:link w:val="CommentText"/>
    <w:uiPriority w:val="99"/>
    <w:rsid w:val="00D44CC3"/>
    <w:rPr>
      <w:rFonts w:ascii="Times New Roman" w:hAnsi="Times New Roman"/>
      <w:sz w:val="20"/>
      <w:szCs w:val="20"/>
    </w:rPr>
  </w:style>
  <w:style w:type="numbering" w:customStyle="1" w:styleId="Headings">
    <w:name w:val="Headings"/>
    <w:uiPriority w:val="99"/>
    <w:rsid w:val="00D44CC3"/>
    <w:pPr>
      <w:numPr>
        <w:numId w:val="2"/>
      </w:numPr>
    </w:pPr>
  </w:style>
  <w:style w:type="paragraph" w:customStyle="1" w:styleId="AuthorList">
    <w:name w:val="Author List"/>
    <w:aliases w:val="Keywords,Abstract"/>
    <w:basedOn w:val="Subtitle"/>
    <w:next w:val="Normal"/>
    <w:uiPriority w:val="1"/>
    <w:qFormat/>
    <w:rsid w:val="00D35287"/>
    <w:pPr>
      <w:numPr>
        <w:ilvl w:val="0"/>
      </w:numPr>
      <w:spacing w:before="240" w:after="24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D352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352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otero.org/google-docs/?dSIGq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Sokol</dc:creator>
  <cp:keywords/>
  <dc:description/>
  <cp:lastModifiedBy>Eric Sokol</cp:lastModifiedBy>
  <cp:revision>4</cp:revision>
  <dcterms:created xsi:type="dcterms:W3CDTF">2020-05-25T21:32:00Z</dcterms:created>
  <dcterms:modified xsi:type="dcterms:W3CDTF">2020-05-30T04:48:00Z</dcterms:modified>
</cp:coreProperties>
</file>