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4980C" w14:textId="3A569449" w:rsidR="00A9423F" w:rsidRPr="00A9423F" w:rsidRDefault="00A9423F" w:rsidP="00A9423F">
      <w:pPr>
        <w:spacing w:after="0" w:line="480" w:lineRule="auto"/>
        <w:jc w:val="center"/>
        <w:rPr>
          <w:rFonts w:ascii="Times New Roman" w:hAnsi="Times New Roman" w:cs="Times New Roman"/>
          <w:b/>
          <w:bCs/>
        </w:rPr>
      </w:pPr>
      <w:r w:rsidRPr="00A9423F">
        <w:rPr>
          <w:rFonts w:ascii="Times New Roman" w:hAnsi="Times New Roman" w:cs="Times New Roman"/>
          <w:b/>
          <w:bCs/>
        </w:rPr>
        <w:t>Methods</w:t>
      </w:r>
    </w:p>
    <w:p w14:paraId="433E0C32" w14:textId="1D7E9FBF" w:rsidR="00A9423F" w:rsidRDefault="002673AA" w:rsidP="002673AA">
      <w:pPr>
        <w:spacing w:after="0" w:line="480" w:lineRule="auto"/>
        <w:ind w:firstLine="720"/>
        <w:rPr>
          <w:rFonts w:ascii="Times New Roman" w:hAnsi="Times New Roman" w:cs="Times New Roman"/>
        </w:rPr>
      </w:pPr>
      <w:r w:rsidRPr="002673AA">
        <w:rPr>
          <w:rFonts w:ascii="Times New Roman" w:hAnsi="Times New Roman" w:cs="Times New Roman"/>
        </w:rPr>
        <w:t>88 participants were recruited through a combination of the University of Denver’s SONA system and flyers posted in and around campus. All participants were fluent in English with normal or corrected-to-normal vision and were consented and debriefed. Participants were compensated with extra credit or cash. Three participants were excluded for failing check trials in the risky decision-making task resulting in a total of 85 participants (47 female, 30 male, 4 gender nonconforming, and 1 other) between the ages of 18 and 35 years old (M = 19.8, SD = 2.63). 66 identified as White, followed by 4 Black/African-American, 4 Asian, 3 American Indian/Alaska Native, 3 Multiracial, 2 Other, and 3 Prefer not to say. The majority identified as non-Hispanic/</w:t>
      </w:r>
      <w:proofErr w:type="spellStart"/>
      <w:r w:rsidRPr="002673AA">
        <w:rPr>
          <w:rFonts w:ascii="Times New Roman" w:hAnsi="Times New Roman" w:cs="Times New Roman"/>
        </w:rPr>
        <w:t>Latinix</w:t>
      </w:r>
      <w:proofErr w:type="spellEnd"/>
      <w:r w:rsidRPr="002673AA">
        <w:rPr>
          <w:rFonts w:ascii="Times New Roman" w:hAnsi="Times New Roman" w:cs="Times New Roman"/>
        </w:rPr>
        <w:t xml:space="preserve"> (n = 73). This study was approved by the University of Denver Institutional Review Board.</w:t>
      </w:r>
    </w:p>
    <w:p w14:paraId="24BCE080" w14:textId="77777777" w:rsidR="00222C6B" w:rsidRDefault="002673AA" w:rsidP="00222C6B">
      <w:pPr>
        <w:spacing w:after="0" w:line="480" w:lineRule="auto"/>
        <w:rPr>
          <w:rFonts w:ascii="Times New Roman" w:hAnsi="Times New Roman" w:cs="Times New Roman"/>
          <w:b/>
          <w:bCs/>
        </w:rPr>
      </w:pPr>
      <w:r>
        <w:rPr>
          <w:rFonts w:ascii="Times New Roman" w:hAnsi="Times New Roman" w:cs="Times New Roman"/>
        </w:rPr>
        <w:tab/>
      </w:r>
      <w:r w:rsidR="00222C6B">
        <w:rPr>
          <w:rFonts w:ascii="Times New Roman" w:hAnsi="Times New Roman" w:cs="Times New Roman"/>
          <w:b/>
          <w:bCs/>
        </w:rPr>
        <w:t>Procedure Overview</w:t>
      </w:r>
    </w:p>
    <w:p w14:paraId="7CFD5D19" w14:textId="77777777" w:rsidR="00222C6B" w:rsidRPr="00265147" w:rsidRDefault="00222C6B" w:rsidP="00222C6B">
      <w:pPr>
        <w:spacing w:after="0"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After participants give informed consent and are found to have not consumed alcohol and/or used cannabis the day of the study (Substance Use Questionnaire, details below), they will move on to the risky monetary decision-making instructions. The participant will follow along</w:t>
      </w:r>
      <w:r w:rsidRPr="004B2DBA">
        <w:rPr>
          <w:rFonts w:ascii="Times New Roman" w:hAnsi="Times New Roman" w:cs="Times New Roman"/>
        </w:rPr>
        <w:t xml:space="preserve"> </w:t>
      </w:r>
      <w:r>
        <w:rPr>
          <w:rFonts w:ascii="Times New Roman" w:hAnsi="Times New Roman" w:cs="Times New Roman"/>
        </w:rPr>
        <w:t xml:space="preserve">as the experimenter reads the instructions aloud. To ensure comprehension of the instructions, participants will take a brief, simple comprehension quiz. If the participant demonstrates comprehension, they will then proceed on to the risky monetary decision-making task. In the risky monetary decision-making task, participants will first complete practice trials before moving onto the first round (Static Choice Set) and then the second round (Dynamic Choice Set) (details below). The first round will measure individual variability in participants’ risk preferences and the second round will consist of easy and difficult decisions tailored to the participant based on their risk preferences. The colors used (grey (RGB: 194, 194, 194); blue </w:t>
      </w:r>
      <w:r>
        <w:rPr>
          <w:rFonts w:ascii="Times New Roman" w:hAnsi="Times New Roman" w:cs="Times New Roman"/>
        </w:rPr>
        <w:lastRenderedPageBreak/>
        <w:t xml:space="preserve">(RGB: 119; 209; 205)) in all presented stimuli across all trials will be matched for luminance to eliminate the influence of color luminance variation on task-evoked pupil responses (TEPRs). Following the risky monetary decision-making task, participants will then proceed on to the working memory tasks. First participants will complete the Operation Span before completing the Symmetry Span (details below). Neither are luminance controlled. Pupillometry will be recorded using an </w:t>
      </w:r>
      <w:proofErr w:type="spellStart"/>
      <w:r>
        <w:rPr>
          <w:rFonts w:ascii="Times New Roman" w:hAnsi="Times New Roman" w:cs="Times New Roman"/>
        </w:rPr>
        <w:t>EyeLink</w:t>
      </w:r>
      <w:proofErr w:type="spellEnd"/>
      <w:r>
        <w:rPr>
          <w:rFonts w:ascii="Times New Roman" w:hAnsi="Times New Roman" w:cs="Times New Roman"/>
        </w:rPr>
        <w:t xml:space="preserve"> 1000+ eye-tracker (details below) during the risky monetary decision-making task. Then, participants will complete a series of individual difference surveys, demographics, and a post-study questionnaire. Finally, participants will be debriefed and thanked for participating in the study. </w:t>
      </w:r>
    </w:p>
    <w:p w14:paraId="1EE976AE" w14:textId="77777777" w:rsidR="00222C6B" w:rsidRDefault="00222C6B" w:rsidP="00222C6B">
      <w:pPr>
        <w:spacing w:after="0" w:line="480" w:lineRule="auto"/>
        <w:rPr>
          <w:rFonts w:ascii="Times New Roman" w:hAnsi="Times New Roman" w:cs="Times New Roman"/>
          <w:b/>
          <w:bCs/>
        </w:rPr>
      </w:pPr>
      <w:r>
        <w:rPr>
          <w:rFonts w:ascii="Times New Roman" w:hAnsi="Times New Roman" w:cs="Times New Roman"/>
          <w:b/>
          <w:bCs/>
        </w:rPr>
        <w:t>Risky Monetary Decision-making (RDM) Task</w:t>
      </w:r>
    </w:p>
    <w:p w14:paraId="7D7AA894" w14:textId="77777777" w:rsidR="00222C6B" w:rsidRDefault="00222C6B" w:rsidP="00222C6B">
      <w:pPr>
        <w:spacing w:after="0" w:line="480" w:lineRule="auto"/>
        <w:ind w:firstLine="720"/>
        <w:rPr>
          <w:rFonts w:ascii="Times New Roman" w:hAnsi="Times New Roman" w:cs="Times New Roman"/>
        </w:rPr>
      </w:pPr>
      <w:r w:rsidRPr="006A37B6">
        <w:rPr>
          <w:rFonts w:ascii="Times New Roman" w:hAnsi="Times New Roman" w:cs="Times New Roman"/>
        </w:rPr>
        <w:t>The R</w:t>
      </w:r>
      <w:r>
        <w:rPr>
          <w:rFonts w:ascii="Times New Roman" w:hAnsi="Times New Roman" w:cs="Times New Roman"/>
        </w:rPr>
        <w:t>DM</w:t>
      </w:r>
      <w:r w:rsidRPr="006A37B6">
        <w:rPr>
          <w:rFonts w:ascii="Times New Roman" w:hAnsi="Times New Roman" w:cs="Times New Roman"/>
        </w:rPr>
        <w:t xml:space="preserve"> task was a</w:t>
      </w:r>
      <w:r>
        <w:rPr>
          <w:rFonts w:ascii="Times New Roman" w:hAnsi="Times New Roman" w:cs="Times New Roman"/>
        </w:rPr>
        <w:t>dapted</w:t>
      </w:r>
      <w:r w:rsidRPr="006A37B6">
        <w:rPr>
          <w:rFonts w:ascii="Times New Roman" w:hAnsi="Times New Roman" w:cs="Times New Roman"/>
        </w:rPr>
        <w:t xml:space="preserve"> from Sokol-Hessner</w:t>
      </w:r>
      <w:r>
        <w:rPr>
          <w:rFonts w:ascii="Times New Roman" w:hAnsi="Times New Roman" w:cs="Times New Roman"/>
        </w:rPr>
        <w:t xml:space="preserve"> and colleagues</w:t>
      </w:r>
      <w:r w:rsidRPr="006A37B6">
        <w:rPr>
          <w:rFonts w:ascii="Times New Roman" w:hAnsi="Times New Roman" w:cs="Times New Roman"/>
        </w:rPr>
        <w:t xml:space="preserve"> (20</w:t>
      </w:r>
      <w:r>
        <w:rPr>
          <w:rFonts w:ascii="Times New Roman" w:hAnsi="Times New Roman" w:cs="Times New Roman"/>
        </w:rPr>
        <w:t>09</w:t>
      </w:r>
      <w:r w:rsidRPr="006A37B6">
        <w:rPr>
          <w:rFonts w:ascii="Times New Roman" w:hAnsi="Times New Roman" w:cs="Times New Roman"/>
        </w:rPr>
        <w:t>)</w:t>
      </w:r>
      <w:r>
        <w:rPr>
          <w:rFonts w:ascii="Times New Roman" w:hAnsi="Times New Roman" w:cs="Times New Roman"/>
        </w:rPr>
        <w:t>, similar to that in Brooks &amp; Sokol-Hessner (</w:t>
      </w:r>
      <w:r>
        <w:rPr>
          <w:rFonts w:ascii="Times New Roman" w:hAnsi="Times New Roman" w:cs="Times New Roman"/>
          <w:i/>
          <w:iCs/>
        </w:rPr>
        <w:t>under review</w:t>
      </w:r>
      <w:r>
        <w:rPr>
          <w:rFonts w:ascii="Times New Roman" w:hAnsi="Times New Roman" w:cs="Times New Roman"/>
        </w:rPr>
        <w:t>), and nearly identical to that from the pilot study</w:t>
      </w:r>
      <w:r w:rsidRPr="006A37B6">
        <w:rPr>
          <w:rFonts w:ascii="Times New Roman" w:hAnsi="Times New Roman" w:cs="Times New Roman"/>
        </w:rPr>
        <w:t xml:space="preserve">. </w:t>
      </w:r>
      <w:r>
        <w:rPr>
          <w:rFonts w:ascii="Times New Roman" w:hAnsi="Times New Roman" w:cs="Times New Roman"/>
        </w:rPr>
        <w:t>All trials will be gain-only trials in which no losses will be incurred for choosing gambles.</w:t>
      </w:r>
    </w:p>
    <w:p w14:paraId="65A23EE2" w14:textId="77777777" w:rsidR="00222C6B" w:rsidRPr="00165FDB" w:rsidRDefault="00222C6B" w:rsidP="00222C6B">
      <w:pPr>
        <w:spacing w:after="0" w:line="480" w:lineRule="auto"/>
        <w:ind w:firstLine="720"/>
        <w:rPr>
          <w:rFonts w:ascii="Times New Roman" w:hAnsi="Times New Roman" w:cs="Times New Roman"/>
        </w:rPr>
      </w:pPr>
      <w:r w:rsidRPr="00B24882">
        <w:rPr>
          <w:rFonts w:ascii="Times New Roman" w:hAnsi="Times New Roman" w:cs="Times New Roman"/>
          <w:i/>
          <w:iCs/>
        </w:rPr>
        <w:t>Decision-making Model</w:t>
      </w:r>
      <w:r>
        <w:rPr>
          <w:rFonts w:ascii="Times New Roman" w:hAnsi="Times New Roman" w:cs="Times New Roman"/>
        </w:rPr>
        <w:t xml:space="preserve">. The model is based on prospect theory </w:t>
      </w:r>
      <w:r w:rsidRPr="00F83B7F">
        <w:rPr>
          <w:rFonts w:ascii="Times New Roman" w:hAnsi="Times New Roman" w:cs="Times New Roman"/>
        </w:rPr>
        <w:t>(Kahneman &amp; Tversky 1979, Tversky &amp; Kahneman 1992)</w:t>
      </w:r>
      <w:r>
        <w:rPr>
          <w:rFonts w:ascii="Times New Roman" w:hAnsi="Times New Roman" w:cs="Times New Roman"/>
        </w:rPr>
        <w:t xml:space="preserve">. </w:t>
      </w:r>
      <w:r w:rsidRPr="003E363D">
        <w:rPr>
          <w:rFonts w:ascii="Times New Roman" w:hAnsi="Times New Roman" w:cs="Times New Roman"/>
        </w:rPr>
        <w:t>The model is identical to those used in previous studies (see equations 1 and 2 below; Brooks &amp; Sokol-Hessner, 2020; Sokol-Hessner et al., 2009; Sokol-Hessner et al., 2016).</w:t>
      </w:r>
      <w:r>
        <w:rPr>
          <w:rFonts w:ascii="Times New Roman" w:hAnsi="Times New Roman" w:cs="Times New Roman"/>
        </w:rPr>
        <w:t xml:space="preserve"> </w:t>
      </w:r>
    </w:p>
    <w:p w14:paraId="1C534D87" w14:textId="77777777" w:rsidR="00222C6B" w:rsidRPr="00165FDB" w:rsidRDefault="00222C6B" w:rsidP="00222C6B">
      <w:pPr>
        <w:spacing w:after="0" w:line="480" w:lineRule="auto"/>
        <w:ind w:firstLine="720"/>
        <w:rPr>
          <w:rFonts w:ascii="Times New Roman" w:eastAsia="Times New Roman" w:hAnsi="Times New Roman" w:cs="Times New Roman"/>
        </w:rPr>
      </w:pPr>
      <w:r w:rsidRPr="00165FDB">
        <w:rPr>
          <w:rFonts w:ascii="Times New Roman" w:eastAsia="Times New Roman" w:hAnsi="Times New Roman" w:cs="Times New Roman"/>
        </w:rPr>
        <w:t xml:space="preserve">(1)  </w:t>
      </w:r>
      <m:oMath>
        <m:r>
          <w:rPr>
            <w:rFonts w:ascii="Cambria Math" w:eastAsia="Times New Roman" w:hAnsi="Cambria Math" w:cs="Times New Roman"/>
          </w:rPr>
          <m:t>u</m:t>
        </m:r>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m:t>
                </m:r>
              </m:sup>
            </m:sSup>
          </m:e>
        </m:d>
        <m:r>
          <w:rPr>
            <w:rFonts w:ascii="Cambria Math" w:eastAsia="Times New Roman" w:hAnsi="Cambria Math" w:cs="Times New Roman"/>
          </w:rPr>
          <m:t>=p</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 xml:space="preserve">× </m:t>
        </m:r>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p</m:t>
            </m:r>
          </m:sup>
        </m:sSup>
      </m:oMath>
    </w:p>
    <w:p w14:paraId="42D1FD53" w14:textId="77777777" w:rsidR="00222C6B" w:rsidRPr="00C10BC5" w:rsidRDefault="00222C6B" w:rsidP="00222C6B">
      <w:pPr>
        <w:spacing w:after="0" w:line="480" w:lineRule="auto"/>
        <w:ind w:firstLine="720"/>
        <w:rPr>
          <w:rFonts w:ascii="Times New Roman" w:eastAsia="Times New Roman" w:hAnsi="Times New Roman" w:cs="Times New Roman"/>
        </w:rPr>
      </w:pPr>
      <w:r w:rsidRPr="00165FDB">
        <w:rPr>
          <w:rFonts w:ascii="Times New Roman" w:eastAsia="Times New Roman" w:hAnsi="Times New Roman" w:cs="Times New Roman"/>
        </w:rPr>
        <w:t xml:space="preserve">(2) </w:t>
      </w:r>
      <m:oMath>
        <m:r>
          <w:rPr>
            <w:rFonts w:ascii="Cambria Math" w:eastAsia="Times New Roman" w:hAnsi="Cambria Math" w:cs="Times New Roman"/>
          </w:rPr>
          <m:t>p</m:t>
        </m:r>
        <m:d>
          <m:dPr>
            <m:ctrlPr>
              <w:rPr>
                <w:rFonts w:ascii="Cambria Math" w:eastAsia="Times New Roman" w:hAnsi="Cambria Math" w:cs="Times New Roman"/>
                <w:i/>
              </w:rPr>
            </m:ctrlPr>
          </m:dPr>
          <m:e>
            <m:r>
              <w:rPr>
                <w:rFonts w:ascii="Cambria Math" w:eastAsia="Times New Roman" w:hAnsi="Cambria Math" w:cs="Times New Roman"/>
              </w:rPr>
              <m:t>choose gamble</m:t>
            </m:r>
          </m:e>
        </m:d>
        <m:sSup>
          <m:sSupPr>
            <m:ctrlPr>
              <w:rPr>
                <w:rFonts w:ascii="Cambria Math" w:eastAsia="Times New Roman" w:hAnsi="Cambria Math" w:cs="Times New Roman"/>
                <w:i/>
              </w:rPr>
            </m:ctrlPr>
          </m:sSupPr>
          <m:e>
            <m:r>
              <w:rPr>
                <w:rFonts w:ascii="Cambria Math" w:eastAsia="Times New Roman" w:hAnsi="Cambria Math" w:cs="Times New Roman"/>
              </w:rPr>
              <m:t>=(1+</m:t>
            </m:r>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 xml:space="preserve">-u × </m:t>
                </m:r>
                <m:d>
                  <m:dPr>
                    <m:ctrlPr>
                      <w:rPr>
                        <w:rFonts w:ascii="Cambria Math" w:eastAsia="Times New Roman" w:hAnsi="Cambria Math" w:cs="Times New Roman"/>
                        <w:i/>
                      </w:rPr>
                    </m:ctrlPr>
                  </m:dPr>
                  <m:e>
                    <m:r>
                      <w:rPr>
                        <w:rFonts w:ascii="Cambria Math" w:eastAsia="Times New Roman" w:hAnsi="Cambria Math" w:cs="Times New Roman"/>
                      </w:rPr>
                      <m:t>u</m:t>
                    </m:r>
                    <m:d>
                      <m:dPr>
                        <m:ctrlPr>
                          <w:rPr>
                            <w:rFonts w:ascii="Cambria Math" w:eastAsia="Times New Roman" w:hAnsi="Cambria Math" w:cs="Times New Roman"/>
                            <w:i/>
                          </w:rPr>
                        </m:ctrlPr>
                      </m:dPr>
                      <m:e>
                        <m:r>
                          <w:rPr>
                            <w:rFonts w:ascii="Cambria Math" w:eastAsia="Times New Roman" w:hAnsi="Cambria Math" w:cs="Times New Roman"/>
                          </w:rPr>
                          <m:t>gamble</m:t>
                        </m:r>
                      </m:e>
                    </m:d>
                    <m:r>
                      <w:rPr>
                        <w:rFonts w:ascii="Cambria Math" w:eastAsia="Times New Roman" w:hAnsi="Cambria Math" w:cs="Times New Roman"/>
                      </w:rPr>
                      <m:t>-u</m:t>
                    </m:r>
                    <m:d>
                      <m:dPr>
                        <m:ctrlPr>
                          <w:rPr>
                            <w:rFonts w:ascii="Cambria Math" w:eastAsia="Times New Roman" w:hAnsi="Cambria Math" w:cs="Times New Roman"/>
                            <w:i/>
                          </w:rPr>
                        </m:ctrlPr>
                      </m:dPr>
                      <m:e>
                        <m:r>
                          <w:rPr>
                            <w:rFonts w:ascii="Cambria Math" w:eastAsia="Times New Roman" w:hAnsi="Cambria Math" w:cs="Times New Roman"/>
                          </w:rPr>
                          <m:t>guaranteed</m:t>
                        </m:r>
                      </m:e>
                    </m:d>
                  </m:e>
                </m:d>
              </m:sup>
            </m:sSup>
            <m:r>
              <w:rPr>
                <w:rFonts w:ascii="Cambria Math" w:eastAsia="Times New Roman" w:hAnsi="Cambria Math" w:cs="Times New Roman"/>
              </w:rPr>
              <m:t>)</m:t>
            </m:r>
          </m:e>
          <m:sup>
            <m:r>
              <w:rPr>
                <w:rFonts w:ascii="Cambria Math" w:eastAsia="Times New Roman" w:hAnsi="Cambria Math" w:cs="Times New Roman"/>
              </w:rPr>
              <m:t>-1</m:t>
            </m:r>
          </m:sup>
        </m:sSup>
      </m:oMath>
    </w:p>
    <w:p w14:paraId="0CF0255C" w14:textId="77777777" w:rsidR="00222C6B" w:rsidRPr="0060576F" w:rsidRDefault="00222C6B" w:rsidP="00222C6B">
      <w:pPr>
        <w:spacing w:after="0" w:line="480" w:lineRule="auto"/>
        <w:ind w:firstLine="720"/>
        <w:rPr>
          <w:rFonts w:ascii="Times New Roman" w:hAnsi="Times New Roman" w:cs="Times New Roman"/>
        </w:rPr>
      </w:pPr>
      <w:r w:rsidRPr="00E569A0">
        <w:rPr>
          <w:rFonts w:ascii="Times New Roman" w:hAnsi="Times New Roman" w:cs="Times New Roman"/>
        </w:rPr>
        <w:t>Equation (1)</w:t>
      </w:r>
      <w:r>
        <w:rPr>
          <w:rFonts w:ascii="Times New Roman" w:hAnsi="Times New Roman" w:cs="Times New Roman"/>
        </w:rPr>
        <w:t>, the utility function,</w:t>
      </w:r>
      <w:r w:rsidRPr="00E569A0">
        <w:rPr>
          <w:rFonts w:ascii="Times New Roman" w:hAnsi="Times New Roman" w:cs="Times New Roman"/>
        </w:rPr>
        <w:t xml:space="preserve"> </w:t>
      </w:r>
      <w:r>
        <w:rPr>
          <w:rFonts w:ascii="Times New Roman" w:hAnsi="Times New Roman" w:cs="Times New Roman"/>
        </w:rPr>
        <w:t>calculates</w:t>
      </w:r>
      <w:r w:rsidRPr="00E569A0">
        <w:rPr>
          <w:rFonts w:ascii="Times New Roman" w:hAnsi="Times New Roman" w:cs="Times New Roman"/>
        </w:rPr>
        <w:t xml:space="preserve"> the </w:t>
      </w:r>
      <w:r>
        <w:rPr>
          <w:rFonts w:ascii="Times New Roman" w:hAnsi="Times New Roman" w:cs="Times New Roman"/>
        </w:rPr>
        <w:t xml:space="preserve">subjective </w:t>
      </w:r>
      <w:r w:rsidRPr="00E569A0">
        <w:rPr>
          <w:rFonts w:ascii="Times New Roman" w:hAnsi="Times New Roman" w:cs="Times New Roman"/>
        </w:rPr>
        <w:t>utility of the</w:t>
      </w:r>
      <w:r>
        <w:rPr>
          <w:rFonts w:ascii="Times New Roman" w:hAnsi="Times New Roman" w:cs="Times New Roman"/>
        </w:rPr>
        <w:t xml:space="preserve"> choice </w:t>
      </w:r>
      <w:r w:rsidRPr="00E569A0">
        <w:rPr>
          <w:rFonts w:ascii="Times New Roman" w:hAnsi="Times New Roman" w:cs="Times New Roman"/>
        </w:rPr>
        <w:t>options</w:t>
      </w:r>
      <w:r>
        <w:rPr>
          <w:rFonts w:ascii="Times New Roman" w:hAnsi="Times New Roman" w:cs="Times New Roman"/>
        </w:rPr>
        <w:t xml:space="preserve">, which is then entered into </w:t>
      </w:r>
      <w:r w:rsidRPr="00E569A0">
        <w:rPr>
          <w:rFonts w:ascii="Times New Roman" w:hAnsi="Times New Roman" w:cs="Times New Roman"/>
        </w:rPr>
        <w:t>Equation (2)</w:t>
      </w:r>
      <w:r>
        <w:rPr>
          <w:rFonts w:ascii="Times New Roman" w:hAnsi="Times New Roman" w:cs="Times New Roman"/>
        </w:rPr>
        <w:t xml:space="preserve">, the </w:t>
      </w:r>
      <w:proofErr w:type="spellStart"/>
      <w:r>
        <w:rPr>
          <w:rFonts w:ascii="Times New Roman" w:hAnsi="Times New Roman" w:cs="Times New Roman"/>
        </w:rPr>
        <w:t>softmax</w:t>
      </w:r>
      <w:proofErr w:type="spellEnd"/>
      <w:r>
        <w:rPr>
          <w:rFonts w:ascii="Times New Roman" w:hAnsi="Times New Roman" w:cs="Times New Roman"/>
        </w:rPr>
        <w:t xml:space="preserve"> function,</w:t>
      </w:r>
      <w:r w:rsidRPr="00E569A0">
        <w:rPr>
          <w:rFonts w:ascii="Times New Roman" w:hAnsi="Times New Roman" w:cs="Times New Roman"/>
        </w:rPr>
        <w:t xml:space="preserve"> </w:t>
      </w:r>
      <w:r>
        <w:rPr>
          <w:rFonts w:ascii="Times New Roman" w:hAnsi="Times New Roman" w:cs="Times New Roman"/>
        </w:rPr>
        <w:t>that calculates the utility of choosing one option over the other.</w:t>
      </w:r>
      <w:r w:rsidRPr="00E569A0">
        <w:rPr>
          <w:rFonts w:ascii="Times New Roman" w:hAnsi="Times New Roman" w:cs="Times New Roman"/>
        </w:rPr>
        <w:t xml:space="preserve"> </w:t>
      </w:r>
      <w:r w:rsidRPr="003E363D">
        <w:rPr>
          <w:rFonts w:ascii="Times New Roman" w:hAnsi="Times New Roman" w:cs="Times New Roman"/>
        </w:rPr>
        <w:t xml:space="preserve">Parameters, rho (ρ) and mu (μ), were used to create the monetary values in the choice options and measure a participant’s risk preferences. ρ values risk </w:t>
      </w:r>
      <w:r w:rsidRPr="003E363D">
        <w:rPr>
          <w:rFonts w:ascii="Times New Roman" w:hAnsi="Times New Roman" w:cs="Times New Roman"/>
        </w:rPr>
        <w:lastRenderedPageBreak/>
        <w:t xml:space="preserve">capture preferences/diminishing marginal utility (e.g., a greater subjective valued difference between $5 and $10 compared to the subjective valued difference between $100 and $105 despite the same objective difference of $5 in both) in the utility function (see equation 1). ρ values greater than 1 indicate more risk-seeking preferences while ρ values less than 1 indicate more risk-aversive preferences. ρ values of 1 indicate risk-neutral preferences. μ is the </w:t>
      </w:r>
      <w:proofErr w:type="spellStart"/>
      <w:r w:rsidRPr="003E363D">
        <w:rPr>
          <w:rFonts w:ascii="Times New Roman" w:hAnsi="Times New Roman" w:cs="Times New Roman"/>
        </w:rPr>
        <w:t>softmax</w:t>
      </w:r>
      <w:proofErr w:type="spellEnd"/>
      <w:r w:rsidRPr="003E363D">
        <w:rPr>
          <w:rFonts w:ascii="Times New Roman" w:hAnsi="Times New Roman" w:cs="Times New Roman"/>
        </w:rPr>
        <w:t xml:space="preserve"> function (see equation 2) that measures choice consistency of choosing one option or the other. Higher values of μ indicate more consistent decision-making across trials. </w:t>
      </w:r>
    </w:p>
    <w:p w14:paraId="73D5E37B" w14:textId="77777777" w:rsidR="00222C6B" w:rsidRDefault="00222C6B" w:rsidP="00222C6B">
      <w:pPr>
        <w:spacing w:after="0" w:line="480" w:lineRule="auto"/>
        <w:ind w:firstLine="720"/>
        <w:rPr>
          <w:rFonts w:ascii="Times New Roman" w:hAnsi="Times New Roman" w:cs="Times New Roman"/>
        </w:rPr>
      </w:pPr>
      <w:r w:rsidRPr="00367B5C">
        <w:rPr>
          <w:rFonts w:ascii="Times New Roman" w:hAnsi="Times New Roman" w:cs="Times New Roman"/>
          <w:i/>
          <w:iCs/>
        </w:rPr>
        <w:t xml:space="preserve">Choice Options. </w:t>
      </w:r>
      <w:r w:rsidRPr="000B7397">
        <w:rPr>
          <w:rFonts w:ascii="Times New Roman" w:hAnsi="Times New Roman" w:cs="Times New Roman"/>
        </w:rPr>
        <w:t xml:space="preserve">In each trial, </w:t>
      </w:r>
      <w:r>
        <w:rPr>
          <w:rFonts w:ascii="Times New Roman" w:hAnsi="Times New Roman" w:cs="Times New Roman"/>
        </w:rPr>
        <w:t>p</w:t>
      </w:r>
      <w:r w:rsidRPr="000B7397">
        <w:rPr>
          <w:rFonts w:ascii="Times New Roman" w:hAnsi="Times New Roman" w:cs="Times New Roman"/>
        </w:rPr>
        <w:t>articipants</w:t>
      </w:r>
      <w:r>
        <w:rPr>
          <w:rFonts w:ascii="Times New Roman" w:hAnsi="Times New Roman" w:cs="Times New Roman"/>
        </w:rPr>
        <w:t xml:space="preserve"> will be presented and instructed to choose from a binary monetary choice between a gamble (risky option) and a guaranteed alternative (safe option). The gamble consists of two potential outcomes each with equal probability (50%) of receiving if chosen. The guaranteed alternative, if chosen, is received 100% of the time. </w:t>
      </w:r>
    </w:p>
    <w:p w14:paraId="6F84D433" w14:textId="77777777" w:rsidR="00222C6B" w:rsidRPr="00367B5C" w:rsidRDefault="00222C6B" w:rsidP="00222C6B">
      <w:pPr>
        <w:spacing w:after="0" w:line="480" w:lineRule="auto"/>
        <w:ind w:firstLine="720"/>
        <w:rPr>
          <w:rFonts w:ascii="Times New Roman" w:hAnsi="Times New Roman" w:cs="Times New Roman"/>
        </w:rPr>
      </w:pPr>
      <w:r w:rsidRPr="00A93196">
        <w:rPr>
          <w:rFonts w:ascii="Times New Roman" w:hAnsi="Times New Roman" w:cs="Times New Roman"/>
          <w:i/>
          <w:iCs/>
        </w:rPr>
        <w:t>Choice Selection.</w:t>
      </w:r>
      <w:r>
        <w:rPr>
          <w:rFonts w:ascii="Times New Roman" w:hAnsi="Times New Roman" w:cs="Times New Roman"/>
        </w:rPr>
        <w:t xml:space="preserve"> The risky gamble and guaranteed alternative appear randomly on either side of the screen for each trial. For example, the gamble will appear on either the left or the right of the screen. To make a decision, participants have 4 seconds to press either the “V” or “N” key to choose the left and right choice option respectively. After a decision is made, participants will be presented with a choice option outcome (e.g., if the gamble is chosen, one of the two outcomes will be presented). If a choice is not made within the allotted time, participants will receive feedback that a choice was not made. </w:t>
      </w:r>
    </w:p>
    <w:p w14:paraId="55CDA5BB" w14:textId="77777777" w:rsidR="00222C6B" w:rsidRDefault="00222C6B" w:rsidP="00222C6B">
      <w:pPr>
        <w:spacing w:after="0" w:line="480" w:lineRule="auto"/>
        <w:ind w:firstLine="720"/>
        <w:rPr>
          <w:rFonts w:ascii="Times New Roman" w:hAnsi="Times New Roman" w:cs="Times New Roman"/>
        </w:rPr>
      </w:pPr>
      <w:r w:rsidRPr="0000034A">
        <w:rPr>
          <w:rFonts w:ascii="Times New Roman" w:hAnsi="Times New Roman" w:cs="Times New Roman"/>
          <w:i/>
          <w:iCs/>
        </w:rPr>
        <w:t xml:space="preserve">Static Choice Set. </w:t>
      </w:r>
      <w:r>
        <w:rPr>
          <w:rFonts w:ascii="Times New Roman" w:hAnsi="Times New Roman" w:cs="Times New Roman"/>
        </w:rPr>
        <w:t xml:space="preserve">Participants will receive the same randomly presented 50 trials of choice options, which will measure their risk preferences. Of the 50 trials, 40 will identify the best fitting </w:t>
      </w:r>
      <w:r w:rsidRPr="00E14A82">
        <w:rPr>
          <w:rFonts w:ascii="Times New Roman" w:hAnsi="Times New Roman" w:cs="Times New Roman"/>
        </w:rPr>
        <w:t>ρ</w:t>
      </w:r>
      <w:r>
        <w:rPr>
          <w:rFonts w:ascii="Times New Roman" w:hAnsi="Times New Roman" w:cs="Times New Roman"/>
        </w:rPr>
        <w:t xml:space="preserve"> and </w:t>
      </w:r>
      <w:r w:rsidRPr="00E14A82">
        <w:rPr>
          <w:rFonts w:ascii="Times New Roman" w:hAnsi="Times New Roman" w:cs="Times New Roman"/>
        </w:rPr>
        <w:t>μ</w:t>
      </w:r>
      <w:r>
        <w:rPr>
          <w:rFonts w:ascii="Times New Roman" w:hAnsi="Times New Roman" w:cs="Times New Roman"/>
        </w:rPr>
        <w:t xml:space="preserve"> pair. The choice options across all 40 trials capture a range of risk preferences from </w:t>
      </w:r>
      <w:r w:rsidRPr="00E14A82">
        <w:rPr>
          <w:rFonts w:ascii="Times New Roman" w:hAnsi="Times New Roman" w:cs="Times New Roman"/>
        </w:rPr>
        <w:t>ρ</w:t>
      </w:r>
      <w:r>
        <w:rPr>
          <w:rFonts w:ascii="Times New Roman" w:hAnsi="Times New Roman" w:cs="Times New Roman"/>
        </w:rPr>
        <w:t xml:space="preserve"> values 0.30 to 1.89 based on previous studies (e.g., mean (standard deviations): from Sokol-Hessner et al. (2009), </w:t>
      </w:r>
      <w:r w:rsidRPr="00E14A82">
        <w:rPr>
          <w:rFonts w:ascii="Times New Roman" w:hAnsi="Times New Roman" w:cs="Times New Roman"/>
        </w:rPr>
        <w:t>ρ</w:t>
      </w:r>
      <w:r>
        <w:rPr>
          <w:rFonts w:ascii="Times New Roman" w:hAnsi="Times New Roman" w:cs="Times New Roman"/>
        </w:rPr>
        <w:t xml:space="preserve"> = 0.83 (0.04); from Sokol-Hessner et al. (2015) </w:t>
      </w:r>
      <w:r w:rsidRPr="00E14A82">
        <w:rPr>
          <w:rFonts w:ascii="Times New Roman" w:hAnsi="Times New Roman" w:cs="Times New Roman"/>
        </w:rPr>
        <w:t>ρ</w:t>
      </w:r>
      <w:r>
        <w:rPr>
          <w:rFonts w:ascii="Times New Roman" w:hAnsi="Times New Roman" w:cs="Times New Roman"/>
        </w:rPr>
        <w:t xml:space="preserve"> = 0.91 (0.07)). </w:t>
      </w:r>
      <w:r>
        <w:rPr>
          <w:rFonts w:ascii="Times New Roman" w:hAnsi="Times New Roman" w:cs="Times New Roman"/>
        </w:rPr>
        <w:lastRenderedPageBreak/>
        <w:t xml:space="preserve">These values represent the extreme ends of risk preference – very risk-averse to very risk-seeking respectively – and should capture a wide range of individual differences in risk preferences. Subsequently, this range should also capture a participant’s respective indifference point – where the participant should experience the most difficulty in accepting or rejecting a gamble (details in Dynamic Choice Set below). </w:t>
      </w:r>
    </w:p>
    <w:p w14:paraId="4D5BE4DA" w14:textId="77777777" w:rsidR="00222C6B" w:rsidRDefault="00222C6B" w:rsidP="00222C6B">
      <w:pPr>
        <w:spacing w:after="0" w:line="480" w:lineRule="auto"/>
        <w:ind w:firstLine="720"/>
        <w:rPr>
          <w:rFonts w:ascii="Times New Roman" w:hAnsi="Times New Roman" w:cs="Times New Roman"/>
        </w:rPr>
      </w:pPr>
      <w:r>
        <w:rPr>
          <w:rFonts w:ascii="Times New Roman" w:hAnsi="Times New Roman" w:cs="Times New Roman"/>
        </w:rPr>
        <w:t xml:space="preserve"> Of the 50 trials, 10 are catch trials that assess whether or not the participants are paying attention and following instructions. If they positively value money, participants should choose the expected option regardless of risk preference. In half (5) of the catch trials, participants should choose the gamble because the expected gain in the gamble is always greater than the guaranteed alternative, regardless of risk preferences (e.g., a gamble of $10.35 and $0 compared to a guaranteed alternative of $0). In the other half (5) of the catch trials, participants should choose the guaranteed alternative because they will gain nothing ($0) or incur a net loss (the gain in the gamble is less than that of the guaranteed alternative) if they choose the gamble (e.g., a gamble of $0 and $0 compared to a guaranteed alternative of $7.55). Participants who choose all (100%) the expected options to be chosen are likely to be paying attention while participants who choose the expected options roughly half (50%) of the time are unlikely to be paying any attention. Replicating criteria from the pilot study, </w:t>
      </w:r>
      <w:r w:rsidRPr="00205779">
        <w:rPr>
          <w:rFonts w:ascii="Times New Roman" w:hAnsi="Times New Roman" w:cs="Times New Roman"/>
        </w:rPr>
        <w:t xml:space="preserve">participants who miss more than 10% of the check trials (i.e., more than one out of the ten check trials) will be excluded. This criterion resulted in the removal of </w:t>
      </w:r>
      <w:r>
        <w:rPr>
          <w:rFonts w:ascii="Times New Roman" w:hAnsi="Times New Roman" w:cs="Times New Roman"/>
        </w:rPr>
        <w:t>21</w:t>
      </w:r>
      <w:r w:rsidRPr="00205779">
        <w:rPr>
          <w:rFonts w:ascii="Times New Roman" w:hAnsi="Times New Roman" w:cs="Times New Roman"/>
        </w:rPr>
        <w:t xml:space="preserve">% of participants in the pilot data. We expect a lower rate of attrition in the current study due to its in-person nature (versus the online pilot study).  </w:t>
      </w:r>
    </w:p>
    <w:p w14:paraId="59676AF1" w14:textId="77777777" w:rsidR="00222C6B" w:rsidRDefault="00222C6B" w:rsidP="00222C6B">
      <w:pPr>
        <w:spacing w:after="0" w:line="480" w:lineRule="auto"/>
        <w:ind w:firstLine="720"/>
        <w:rPr>
          <w:rFonts w:ascii="Times New Roman" w:hAnsi="Times New Roman" w:cs="Times New Roman"/>
        </w:rPr>
      </w:pPr>
      <w:r w:rsidRPr="0000034A">
        <w:rPr>
          <w:rFonts w:ascii="Times New Roman" w:hAnsi="Times New Roman" w:cs="Times New Roman"/>
          <w:i/>
          <w:iCs/>
        </w:rPr>
        <w:t xml:space="preserve">Dynamic Choice Set. </w:t>
      </w:r>
      <w:r>
        <w:rPr>
          <w:rFonts w:ascii="Times New Roman" w:hAnsi="Times New Roman" w:cs="Times New Roman"/>
        </w:rPr>
        <w:t xml:space="preserve">Based on how the participant responded in the Static Choice Set, a grid search method will be used to quickly calculate and approximate the best fitting </w:t>
      </w:r>
      <w:r w:rsidRPr="00E14A82">
        <w:rPr>
          <w:rFonts w:ascii="Times New Roman" w:hAnsi="Times New Roman" w:cs="Times New Roman"/>
        </w:rPr>
        <w:t>ρ</w:t>
      </w:r>
      <w:r>
        <w:rPr>
          <w:rFonts w:ascii="Times New Roman" w:hAnsi="Times New Roman" w:cs="Times New Roman"/>
        </w:rPr>
        <w:t xml:space="preserve"> and </w:t>
      </w:r>
      <w:r w:rsidRPr="00E14A82">
        <w:rPr>
          <w:rFonts w:ascii="Times New Roman" w:hAnsi="Times New Roman" w:cs="Times New Roman"/>
        </w:rPr>
        <w:t>μ</w:t>
      </w:r>
      <w:r>
        <w:rPr>
          <w:rFonts w:ascii="Times New Roman" w:hAnsi="Times New Roman" w:cs="Times New Roman"/>
        </w:rPr>
        <w:t xml:space="preserve"> pair. Two hundred </w:t>
      </w:r>
      <w:r w:rsidRPr="00E14A82">
        <w:rPr>
          <w:rFonts w:ascii="Times New Roman" w:hAnsi="Times New Roman" w:cs="Times New Roman"/>
        </w:rPr>
        <w:t>ρ</w:t>
      </w:r>
      <w:r w:rsidRPr="009A76D5">
        <w:rPr>
          <w:rFonts w:ascii="Times New Roman" w:hAnsi="Times New Roman" w:cs="Times New Roman"/>
        </w:rPr>
        <w:t xml:space="preserve"> </w:t>
      </w:r>
      <w:r>
        <w:rPr>
          <w:rFonts w:ascii="Times New Roman" w:hAnsi="Times New Roman" w:cs="Times New Roman"/>
        </w:rPr>
        <w:t xml:space="preserve">values from </w:t>
      </w:r>
      <w:r w:rsidRPr="009A76D5">
        <w:rPr>
          <w:rFonts w:ascii="Times New Roman" w:hAnsi="Times New Roman" w:cs="Times New Roman"/>
        </w:rPr>
        <w:t>0.3 - 2.2</w:t>
      </w:r>
      <w:r>
        <w:rPr>
          <w:rFonts w:ascii="Times New Roman" w:hAnsi="Times New Roman" w:cs="Times New Roman"/>
        </w:rPr>
        <w:t xml:space="preserve"> in </w:t>
      </w:r>
      <w:r w:rsidRPr="009A76D5">
        <w:rPr>
          <w:rFonts w:ascii="Times New Roman" w:hAnsi="Times New Roman" w:cs="Times New Roman"/>
        </w:rPr>
        <w:t xml:space="preserve">increments of 0.01 and </w:t>
      </w:r>
      <w:r>
        <w:rPr>
          <w:rFonts w:ascii="Times New Roman" w:hAnsi="Times New Roman" w:cs="Times New Roman"/>
        </w:rPr>
        <w:t xml:space="preserve">two hundred and one </w:t>
      </w:r>
      <w:r w:rsidRPr="00E14A82">
        <w:rPr>
          <w:rFonts w:ascii="Times New Roman" w:hAnsi="Times New Roman" w:cs="Times New Roman"/>
        </w:rPr>
        <w:t>μ</w:t>
      </w:r>
      <w:r w:rsidRPr="009A76D5">
        <w:rPr>
          <w:rFonts w:ascii="Times New Roman" w:hAnsi="Times New Roman" w:cs="Times New Roman"/>
        </w:rPr>
        <w:t xml:space="preserve"> </w:t>
      </w:r>
      <w:r>
        <w:rPr>
          <w:rFonts w:ascii="Times New Roman" w:hAnsi="Times New Roman" w:cs="Times New Roman"/>
        </w:rPr>
        <w:lastRenderedPageBreak/>
        <w:t xml:space="preserve">values from </w:t>
      </w:r>
      <w:r w:rsidRPr="009A76D5">
        <w:rPr>
          <w:rFonts w:ascii="Times New Roman" w:hAnsi="Times New Roman" w:cs="Times New Roman"/>
        </w:rPr>
        <w:t xml:space="preserve">7 - 80 </w:t>
      </w:r>
      <w:r>
        <w:rPr>
          <w:rFonts w:ascii="Times New Roman" w:hAnsi="Times New Roman" w:cs="Times New Roman"/>
        </w:rPr>
        <w:t xml:space="preserve">in </w:t>
      </w:r>
      <w:r w:rsidRPr="009A76D5">
        <w:rPr>
          <w:rFonts w:ascii="Times New Roman" w:hAnsi="Times New Roman" w:cs="Times New Roman"/>
        </w:rPr>
        <w:t xml:space="preserve">increments of 0.37 </w:t>
      </w:r>
      <w:r>
        <w:rPr>
          <w:rFonts w:ascii="Times New Roman" w:hAnsi="Times New Roman" w:cs="Times New Roman"/>
        </w:rPr>
        <w:t xml:space="preserve">will be used maximize the likelihood of fit. After calculating the best fitting </w:t>
      </w:r>
      <w:r w:rsidRPr="00E14A82">
        <w:rPr>
          <w:rFonts w:ascii="Times New Roman" w:hAnsi="Times New Roman" w:cs="Times New Roman"/>
        </w:rPr>
        <w:t>ρ</w:t>
      </w:r>
      <w:r>
        <w:rPr>
          <w:rFonts w:ascii="Times New Roman" w:hAnsi="Times New Roman" w:cs="Times New Roman"/>
        </w:rPr>
        <w:t xml:space="preserve"> and </w:t>
      </w:r>
      <w:r w:rsidRPr="00E14A82">
        <w:rPr>
          <w:rFonts w:ascii="Times New Roman" w:hAnsi="Times New Roman" w:cs="Times New Roman"/>
        </w:rPr>
        <w:t>μ</w:t>
      </w:r>
      <w:r>
        <w:rPr>
          <w:rFonts w:ascii="Times New Roman" w:hAnsi="Times New Roman" w:cs="Times New Roman"/>
        </w:rPr>
        <w:t xml:space="preserve"> pair out of the 40,200 possibilities, participants receive a pre-created 120 trial bespoke choice set created for an individual with that pair of </w:t>
      </w:r>
      <w:r w:rsidRPr="005F1308">
        <w:rPr>
          <w:rFonts w:ascii="Times New Roman" w:hAnsi="Times New Roman" w:cs="Times New Roman"/>
        </w:rPr>
        <w:t>ρ</w:t>
      </w:r>
      <w:r>
        <w:rPr>
          <w:rFonts w:ascii="Times New Roman" w:hAnsi="Times New Roman" w:cs="Times New Roman"/>
        </w:rPr>
        <w:t xml:space="preserve"> and </w:t>
      </w:r>
      <w:r w:rsidRPr="005F1308">
        <w:rPr>
          <w:rFonts w:ascii="Times New Roman" w:hAnsi="Times New Roman" w:cs="Times New Roman"/>
        </w:rPr>
        <w:t>μ</w:t>
      </w:r>
      <w:r>
        <w:rPr>
          <w:rFonts w:ascii="Times New Roman" w:hAnsi="Times New Roman" w:cs="Times New Roman"/>
        </w:rPr>
        <w:t xml:space="preserve"> values.  </w:t>
      </w:r>
    </w:p>
    <w:p w14:paraId="6F7E8108" w14:textId="77777777" w:rsidR="00222C6B" w:rsidRDefault="00222C6B" w:rsidP="00222C6B">
      <w:pPr>
        <w:spacing w:after="0" w:line="480" w:lineRule="auto"/>
        <w:ind w:firstLine="720"/>
        <w:rPr>
          <w:rFonts w:ascii="Times New Roman" w:hAnsi="Times New Roman" w:cs="Times New Roman"/>
        </w:rPr>
      </w:pPr>
      <w:r>
        <w:rPr>
          <w:rFonts w:ascii="Times New Roman" w:hAnsi="Times New Roman" w:cs="Times New Roman"/>
        </w:rPr>
        <w:t xml:space="preserve">Of the 120 trials, 60 will be easy decisions and 60 will be difficult decisions that best match the participants subjective experience of choice difficulty. Easy decision trials are defined as </w:t>
      </w:r>
      <w:r w:rsidRPr="00D92CE7">
        <w:rPr>
          <w:rFonts w:ascii="Times New Roman" w:hAnsi="Times New Roman" w:cs="Times New Roman"/>
        </w:rPr>
        <w:t xml:space="preserve">p(gamble) &lt; 0.15 </w:t>
      </w:r>
      <w:r>
        <w:rPr>
          <w:rFonts w:ascii="Times New Roman" w:hAnsi="Times New Roman" w:cs="Times New Roman"/>
        </w:rPr>
        <w:t>and</w:t>
      </w:r>
      <w:r w:rsidRPr="00D92CE7">
        <w:rPr>
          <w:rFonts w:ascii="Times New Roman" w:hAnsi="Times New Roman" w:cs="Times New Roman"/>
        </w:rPr>
        <w:t xml:space="preserve"> p(gamble) &gt; 0.85</w:t>
      </w:r>
      <w:r>
        <w:rPr>
          <w:rFonts w:ascii="Times New Roman" w:hAnsi="Times New Roman" w:cs="Times New Roman"/>
        </w:rPr>
        <w:t>. The participant should easily reject the gamble in the former because the guaranteed alternative is subjectively the obvious, better option (</w:t>
      </w:r>
      <w:r w:rsidRPr="00B739AE">
        <w:rPr>
          <w:rFonts w:ascii="Times New Roman" w:hAnsi="Times New Roman" w:cs="Times New Roman"/>
          <w:i/>
          <w:iCs/>
        </w:rPr>
        <w:t>easy reject</w:t>
      </w:r>
      <w:r>
        <w:rPr>
          <w:rFonts w:ascii="Times New Roman" w:hAnsi="Times New Roman" w:cs="Times New Roman"/>
        </w:rPr>
        <w:t>) and easily accept the gamble in the latter because the gamble is subjectively the obvious, better option (</w:t>
      </w:r>
      <w:r w:rsidRPr="00B739AE">
        <w:rPr>
          <w:rFonts w:ascii="Times New Roman" w:hAnsi="Times New Roman" w:cs="Times New Roman"/>
          <w:i/>
          <w:iCs/>
        </w:rPr>
        <w:t>easy accept</w:t>
      </w:r>
      <w:r>
        <w:rPr>
          <w:rFonts w:ascii="Times New Roman" w:hAnsi="Times New Roman" w:cs="Times New Roman"/>
        </w:rPr>
        <w:t xml:space="preserve">). Easy decision trials are generally easier to make because the subjective values between the gamble and the guaranteed alternative are more different and therefore have less conflict. Difficult decision trials, on the other hand, are defined as </w:t>
      </w:r>
      <w:r w:rsidRPr="00497141">
        <w:rPr>
          <w:rFonts w:ascii="Times New Roman" w:hAnsi="Times New Roman" w:cs="Times New Roman"/>
        </w:rPr>
        <w:t>0.45 &lt; p(gamble) &lt; 0.55</w:t>
      </w:r>
      <w:r>
        <w:rPr>
          <w:rFonts w:ascii="Times New Roman" w:hAnsi="Times New Roman" w:cs="Times New Roman"/>
        </w:rPr>
        <w:t>. This range captures the subjective probabilities of gambling close to chance (50%) at the indifference point. In other words, the better option is not as easily determined in the difficult decision trials because the subjective values between the gamble and guaranteed alternative are more similar in value and therefore have more conflict.  Easy and difficult decision trials will not be labeled, nor will the participants be informed of their existence. Participants will only be aware that the current round is similar in structure to the previous round (Static Choice Set).</w:t>
      </w:r>
    </w:p>
    <w:p w14:paraId="6328F5CF" w14:textId="77777777" w:rsidR="00222C6B" w:rsidRDefault="00222C6B" w:rsidP="00222C6B">
      <w:pPr>
        <w:spacing w:after="0" w:line="480" w:lineRule="auto"/>
        <w:rPr>
          <w:rFonts w:ascii="Times New Roman" w:hAnsi="Times New Roman" w:cs="Times New Roman"/>
          <w:b/>
          <w:bCs/>
        </w:rPr>
      </w:pPr>
      <w:r>
        <w:rPr>
          <w:rFonts w:ascii="Times New Roman" w:hAnsi="Times New Roman" w:cs="Times New Roman"/>
          <w:b/>
          <w:bCs/>
        </w:rPr>
        <w:t>Working Memory Tasks</w:t>
      </w:r>
    </w:p>
    <w:p w14:paraId="356AE13D" w14:textId="77777777" w:rsidR="00222C6B" w:rsidRPr="00596B72" w:rsidRDefault="00222C6B" w:rsidP="00222C6B">
      <w:pPr>
        <w:spacing w:after="0" w:line="480" w:lineRule="auto"/>
        <w:ind w:firstLine="720"/>
        <w:rPr>
          <w:rFonts w:ascii="Times New Roman" w:hAnsi="Times New Roman" w:cs="Times New Roman"/>
        </w:rPr>
      </w:pPr>
      <w:r w:rsidRPr="00131836">
        <w:rPr>
          <w:rFonts w:ascii="Times New Roman" w:hAnsi="Times New Roman" w:cs="Times New Roman"/>
          <w:i/>
          <w:iCs/>
        </w:rPr>
        <w:t>Operation Span (</w:t>
      </w:r>
      <w:proofErr w:type="spellStart"/>
      <w:r w:rsidRPr="00131836">
        <w:rPr>
          <w:rFonts w:ascii="Times New Roman" w:hAnsi="Times New Roman" w:cs="Times New Roman"/>
          <w:i/>
          <w:iCs/>
        </w:rPr>
        <w:t>OSpan</w:t>
      </w:r>
      <w:proofErr w:type="spellEnd"/>
      <w:r>
        <w:rPr>
          <w:rFonts w:ascii="Times New Roman" w:hAnsi="Times New Roman" w:cs="Times New Roman"/>
          <w:i/>
          <w:iCs/>
        </w:rPr>
        <w:t>; Kane et al., 2004; Unsworth et al., 2005</w:t>
      </w:r>
      <w:r w:rsidRPr="00131836">
        <w:rPr>
          <w:rFonts w:ascii="Times New Roman" w:hAnsi="Times New Roman" w:cs="Times New Roman"/>
          <w:i/>
          <w:iCs/>
        </w:rPr>
        <w:t xml:space="preserve">). </w:t>
      </w:r>
      <w:r>
        <w:rPr>
          <w:rFonts w:ascii="Times New Roman" w:hAnsi="Times New Roman" w:cs="Times New Roman"/>
        </w:rPr>
        <w:t xml:space="preserve">Participants will be presented with a series of letters. These letters must be actively maintained in working memory. Participants will also be presented with simple math problems (e.g., (2 x 2) + 1) and then an answer to which they must determine is true or false. The math problems serve as a distractor task. Math problems and letters are randomly presented in pairs ranging from 3-7 pairs across a </w:t>
      </w:r>
      <w:r>
        <w:rPr>
          <w:rFonts w:ascii="Times New Roman" w:hAnsi="Times New Roman" w:cs="Times New Roman"/>
        </w:rPr>
        <w:lastRenderedPageBreak/>
        <w:t>total of 5 trials (i.e., four pairs would be: math problem, letter, math problem, letter, math problem, letter, math problem, letter). After completing a given trial, participants will then recall the letters and their order of presentation. The accuracy of the letters recalled, and their presentation order reflects a participant’s WMC. Participants will be required to perform the math problems at or above 85% correct for trials to be used in subsequent analyses, so as to control the cognitive demands of the task. Before doing the paired version of the task (with math and letters interleaved), participants will first practice letters alone, and then</w:t>
      </w:r>
      <w:r w:rsidRPr="00AB088C">
        <w:rPr>
          <w:rFonts w:ascii="Times New Roman" w:hAnsi="Times New Roman" w:cs="Times New Roman"/>
        </w:rPr>
        <w:t xml:space="preserve"> </w:t>
      </w:r>
      <w:r>
        <w:rPr>
          <w:rFonts w:ascii="Times New Roman" w:hAnsi="Times New Roman" w:cs="Times New Roman"/>
        </w:rPr>
        <w:t>practice math problems alone.</w:t>
      </w:r>
    </w:p>
    <w:p w14:paraId="604FAF3C" w14:textId="77777777" w:rsidR="00222C6B" w:rsidRPr="00596B72" w:rsidRDefault="00222C6B" w:rsidP="00222C6B">
      <w:pPr>
        <w:spacing w:after="0" w:line="480" w:lineRule="auto"/>
        <w:ind w:firstLine="720"/>
        <w:rPr>
          <w:rFonts w:ascii="Times New Roman" w:hAnsi="Times New Roman" w:cs="Times New Roman"/>
        </w:rPr>
      </w:pPr>
      <w:r w:rsidRPr="00131836">
        <w:rPr>
          <w:rFonts w:ascii="Times New Roman" w:hAnsi="Times New Roman" w:cs="Times New Roman"/>
          <w:i/>
          <w:iCs/>
        </w:rPr>
        <w:t xml:space="preserve">Symmetry Span </w:t>
      </w:r>
      <w:r w:rsidRPr="0036113F">
        <w:rPr>
          <w:rFonts w:ascii="Times New Roman" w:hAnsi="Times New Roman" w:cs="Times New Roman"/>
          <w:i/>
          <w:iCs/>
        </w:rPr>
        <w:t>(</w:t>
      </w:r>
      <w:proofErr w:type="spellStart"/>
      <w:r w:rsidRPr="0036113F">
        <w:rPr>
          <w:rFonts w:ascii="Times New Roman" w:hAnsi="Times New Roman" w:cs="Times New Roman"/>
          <w:i/>
          <w:iCs/>
        </w:rPr>
        <w:t>SymSpan</w:t>
      </w:r>
      <w:proofErr w:type="spellEnd"/>
      <w:r w:rsidRPr="0036113F">
        <w:rPr>
          <w:rFonts w:ascii="Times New Roman" w:hAnsi="Times New Roman" w:cs="Times New Roman"/>
          <w:i/>
          <w:iCs/>
        </w:rPr>
        <w:t>; Kane et al.</w:t>
      </w:r>
      <w:r>
        <w:rPr>
          <w:rFonts w:ascii="Times New Roman" w:hAnsi="Times New Roman" w:cs="Times New Roman"/>
          <w:i/>
          <w:iCs/>
        </w:rPr>
        <w:t xml:space="preserve">, </w:t>
      </w:r>
      <w:r w:rsidRPr="0036113F">
        <w:rPr>
          <w:rFonts w:ascii="Times New Roman" w:hAnsi="Times New Roman" w:cs="Times New Roman"/>
          <w:i/>
          <w:iCs/>
        </w:rPr>
        <w:t>2004; Unsworth et al</w:t>
      </w:r>
      <w:r>
        <w:rPr>
          <w:rFonts w:ascii="Times New Roman" w:hAnsi="Times New Roman" w:cs="Times New Roman"/>
          <w:i/>
          <w:iCs/>
        </w:rPr>
        <w:t xml:space="preserve">., </w:t>
      </w:r>
      <w:r w:rsidRPr="0036113F">
        <w:rPr>
          <w:rFonts w:ascii="Times New Roman" w:hAnsi="Times New Roman" w:cs="Times New Roman"/>
          <w:i/>
          <w:iCs/>
        </w:rPr>
        <w:t>2009).</w:t>
      </w:r>
      <w:r w:rsidRPr="00131836">
        <w:rPr>
          <w:rFonts w:ascii="Times New Roman" w:hAnsi="Times New Roman" w:cs="Times New Roman"/>
          <w:i/>
          <w:iCs/>
        </w:rPr>
        <w:t xml:space="preserve"> </w:t>
      </w:r>
      <w:r>
        <w:rPr>
          <w:rFonts w:ascii="Times New Roman" w:hAnsi="Times New Roman" w:cs="Times New Roman"/>
        </w:rPr>
        <w:t>Participants are presented with red squares in a 4-by-4 square matrix. The red squares must be actively maintained in working memory. Participants are also presented with images in which they must judge for left-right symmetry. The red squares and images are randomly presented in pairs ranging from 2-5 pairs across a total of 4 trials (i.e., four pairs would be: image, red square, image, red square, image, red square, image, red square). After a given trial, participants will then recall the location of the red squares on the 4-by-4 grid and their order of presentation. The accuracy of the red square locations recalled, and their presentation order reflects a participant’s WMC. Participants will be required to perform the image symmetry judgment at or above 85% correct for trials to be used in subsequent analyses, so as to control the cognitive demands of the task. Before doing the paired version of the task (with image and red squares interleaved), participants will first practice red squares alone, and then</w:t>
      </w:r>
      <w:r w:rsidRPr="00AB088C">
        <w:rPr>
          <w:rFonts w:ascii="Times New Roman" w:hAnsi="Times New Roman" w:cs="Times New Roman"/>
        </w:rPr>
        <w:t xml:space="preserve"> </w:t>
      </w:r>
      <w:r>
        <w:rPr>
          <w:rFonts w:ascii="Times New Roman" w:hAnsi="Times New Roman" w:cs="Times New Roman"/>
        </w:rPr>
        <w:t>practice image symmetry alone.</w:t>
      </w:r>
    </w:p>
    <w:p w14:paraId="6C0274F9" w14:textId="77777777" w:rsidR="00222C6B" w:rsidRDefault="00222C6B" w:rsidP="00222C6B">
      <w:pPr>
        <w:spacing w:after="0" w:line="480" w:lineRule="auto"/>
        <w:rPr>
          <w:rFonts w:ascii="Times New Roman" w:hAnsi="Times New Roman" w:cs="Times New Roman"/>
          <w:b/>
          <w:bCs/>
        </w:rPr>
      </w:pPr>
      <w:r>
        <w:rPr>
          <w:rFonts w:ascii="Times New Roman" w:hAnsi="Times New Roman" w:cs="Times New Roman"/>
          <w:b/>
          <w:bCs/>
        </w:rPr>
        <w:t>Pupillometry</w:t>
      </w:r>
    </w:p>
    <w:p w14:paraId="354E6F0A" w14:textId="77777777" w:rsidR="00222C6B" w:rsidRDefault="00222C6B" w:rsidP="00222C6B">
      <w:pPr>
        <w:spacing w:after="0"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Pupillometry will</w:t>
      </w:r>
      <w:r w:rsidRPr="00113190">
        <w:rPr>
          <w:rFonts w:ascii="Times New Roman" w:hAnsi="Times New Roman" w:cs="Times New Roman"/>
        </w:rPr>
        <w:t xml:space="preserve"> be </w:t>
      </w:r>
      <w:r>
        <w:rPr>
          <w:rFonts w:ascii="Times New Roman" w:hAnsi="Times New Roman" w:cs="Times New Roman"/>
        </w:rPr>
        <w:t>recorded</w:t>
      </w:r>
      <w:r w:rsidRPr="00113190">
        <w:rPr>
          <w:rFonts w:ascii="Times New Roman" w:hAnsi="Times New Roman" w:cs="Times New Roman"/>
        </w:rPr>
        <w:t xml:space="preserve"> </w:t>
      </w:r>
      <w:r>
        <w:rPr>
          <w:rFonts w:ascii="Times New Roman" w:hAnsi="Times New Roman" w:cs="Times New Roman"/>
        </w:rPr>
        <w:t xml:space="preserve">with an </w:t>
      </w:r>
      <w:proofErr w:type="spellStart"/>
      <w:r w:rsidRPr="00113190">
        <w:rPr>
          <w:rFonts w:ascii="Times New Roman" w:hAnsi="Times New Roman" w:cs="Times New Roman"/>
        </w:rPr>
        <w:t>EyeLink</w:t>
      </w:r>
      <w:proofErr w:type="spellEnd"/>
      <w:r>
        <w:rPr>
          <w:rFonts w:ascii="Times New Roman" w:hAnsi="Times New Roman" w:cs="Times New Roman"/>
        </w:rPr>
        <w:t xml:space="preserve"> 1000+ infrared eye-tracking camera with </w:t>
      </w:r>
      <w:proofErr w:type="spellStart"/>
      <w:r>
        <w:rPr>
          <w:rFonts w:ascii="Times New Roman" w:hAnsi="Times New Roman" w:cs="Times New Roman"/>
        </w:rPr>
        <w:t>EyeLink</w:t>
      </w:r>
      <w:proofErr w:type="spellEnd"/>
      <w:r>
        <w:rPr>
          <w:rFonts w:ascii="Times New Roman" w:hAnsi="Times New Roman" w:cs="Times New Roman"/>
        </w:rPr>
        <w:t xml:space="preserve"> acquisition software version 5.09 (SR Research Ltd., Mississauga, ON). The </w:t>
      </w:r>
      <w:proofErr w:type="spellStart"/>
      <w:r>
        <w:rPr>
          <w:rFonts w:ascii="Times New Roman" w:hAnsi="Times New Roman" w:cs="Times New Roman"/>
        </w:rPr>
        <w:t>EyeLink</w:t>
      </w:r>
      <w:proofErr w:type="spellEnd"/>
      <w:r>
        <w:rPr>
          <w:rFonts w:ascii="Times New Roman" w:hAnsi="Times New Roman" w:cs="Times New Roman"/>
        </w:rPr>
        <w:t xml:space="preserve"> </w:t>
      </w:r>
      <w:r>
        <w:rPr>
          <w:rFonts w:ascii="Times New Roman" w:hAnsi="Times New Roman" w:cs="Times New Roman"/>
        </w:rPr>
        <w:lastRenderedPageBreak/>
        <w:t xml:space="preserve">1000+ will be configured using a 35mm lens, a 9-point gaze location calibration, and a monocular sampling rate at 500Hz. Participants will be seated approximately 60 cm away from the monitor and rest their chin on a head mount. Eye data will be recorded throughout the RDM task. </w:t>
      </w:r>
    </w:p>
    <w:p w14:paraId="1D06B2C5" w14:textId="77777777" w:rsidR="00222C6B" w:rsidRDefault="00222C6B" w:rsidP="00222C6B">
      <w:pPr>
        <w:spacing w:after="0" w:line="480" w:lineRule="auto"/>
        <w:rPr>
          <w:rFonts w:ascii="Times New Roman" w:hAnsi="Times New Roman" w:cs="Times New Roman"/>
        </w:rPr>
      </w:pPr>
      <w:r>
        <w:rPr>
          <w:rFonts w:ascii="Times New Roman" w:hAnsi="Times New Roman" w:cs="Times New Roman"/>
        </w:rPr>
        <w:tab/>
      </w:r>
      <w:r w:rsidRPr="00CD3061">
        <w:rPr>
          <w:rFonts w:ascii="Times New Roman" w:hAnsi="Times New Roman" w:cs="Times New Roman"/>
          <w:i/>
          <w:iCs/>
        </w:rPr>
        <w:t>Pupil Preprocessing</w:t>
      </w:r>
      <w:r>
        <w:rPr>
          <w:rFonts w:ascii="Times New Roman" w:hAnsi="Times New Roman" w:cs="Times New Roman"/>
        </w:rPr>
        <w:t xml:space="preserve">. </w:t>
      </w:r>
      <w:r w:rsidRPr="006745AE">
        <w:rPr>
          <w:rFonts w:ascii="Times New Roman" w:hAnsi="Times New Roman" w:cs="Times New Roman"/>
        </w:rPr>
        <w:t>Pupil preprocessing will be conducted us</w:t>
      </w:r>
      <w:r>
        <w:rPr>
          <w:rFonts w:ascii="Times New Roman" w:hAnsi="Times New Roman" w:cs="Times New Roman"/>
        </w:rPr>
        <w:t>ing</w:t>
      </w:r>
      <w:r w:rsidRPr="006745AE">
        <w:rPr>
          <w:rFonts w:ascii="Times New Roman" w:hAnsi="Times New Roman" w:cs="Times New Roman"/>
        </w:rPr>
        <w:t xml:space="preserve"> R packages </w:t>
      </w:r>
      <w:proofErr w:type="spellStart"/>
      <w:r w:rsidRPr="006745AE">
        <w:rPr>
          <w:rFonts w:ascii="Times New Roman" w:hAnsi="Times New Roman" w:cs="Times New Roman"/>
          <w:i/>
        </w:rPr>
        <w:t>gazeR</w:t>
      </w:r>
      <w:proofErr w:type="spellEnd"/>
      <w:r w:rsidRPr="006745AE">
        <w:rPr>
          <w:rFonts w:ascii="Times New Roman" w:hAnsi="Times New Roman" w:cs="Times New Roman"/>
          <w:i/>
        </w:rPr>
        <w:t xml:space="preserve"> </w:t>
      </w:r>
      <w:r w:rsidRPr="006745AE">
        <w:rPr>
          <w:rFonts w:ascii="Times New Roman" w:hAnsi="Times New Roman" w:cs="Times New Roman"/>
        </w:rPr>
        <w:t>(</w:t>
      </w:r>
      <w:r>
        <w:rPr>
          <w:rFonts w:ascii="Times New Roman" w:hAnsi="Times New Roman" w:cs="Times New Roman"/>
        </w:rPr>
        <w:t>Geller et al., 2020</w:t>
      </w:r>
      <w:r w:rsidRPr="006745AE">
        <w:rPr>
          <w:rFonts w:ascii="Times New Roman" w:hAnsi="Times New Roman" w:cs="Times New Roman"/>
        </w:rPr>
        <w:t>)</w:t>
      </w:r>
      <w:r>
        <w:rPr>
          <w:rFonts w:ascii="Times New Roman" w:hAnsi="Times New Roman" w:cs="Times New Roman"/>
        </w:rPr>
        <w:t xml:space="preserve"> and </w:t>
      </w:r>
      <w:proofErr w:type="spellStart"/>
      <w:r w:rsidRPr="006745AE">
        <w:rPr>
          <w:rFonts w:ascii="Times New Roman" w:hAnsi="Times New Roman" w:cs="Times New Roman"/>
          <w:i/>
        </w:rPr>
        <w:t>dplyr</w:t>
      </w:r>
      <w:proofErr w:type="spellEnd"/>
      <w:r w:rsidRPr="006745AE">
        <w:rPr>
          <w:rFonts w:ascii="Times New Roman" w:hAnsi="Times New Roman" w:cs="Times New Roman"/>
          <w:i/>
        </w:rPr>
        <w:t xml:space="preserve"> </w:t>
      </w:r>
      <w:r w:rsidRPr="006745AE">
        <w:rPr>
          <w:rFonts w:ascii="Times New Roman" w:hAnsi="Times New Roman" w:cs="Times New Roman"/>
        </w:rPr>
        <w:t>(</w:t>
      </w:r>
      <w:r>
        <w:rPr>
          <w:rFonts w:ascii="Times New Roman" w:hAnsi="Times New Roman" w:cs="Times New Roman"/>
        </w:rPr>
        <w:t>Wickham et al., 2021</w:t>
      </w:r>
      <w:r w:rsidRPr="006745AE">
        <w:rPr>
          <w:rFonts w:ascii="Times New Roman" w:hAnsi="Times New Roman" w:cs="Times New Roman"/>
        </w:rPr>
        <w:t>)</w:t>
      </w:r>
      <w:r>
        <w:rPr>
          <w:rFonts w:ascii="Times New Roman" w:hAnsi="Times New Roman" w:cs="Times New Roman"/>
        </w:rPr>
        <w:t xml:space="preserve">. </w:t>
      </w:r>
      <w:r w:rsidRPr="006745AE">
        <w:rPr>
          <w:rFonts w:ascii="Times New Roman" w:hAnsi="Times New Roman" w:cs="Times New Roman"/>
        </w:rPr>
        <w:t>Pupil data will be inspected in R</w:t>
      </w:r>
      <w:r>
        <w:rPr>
          <w:rFonts w:ascii="Times New Roman" w:hAnsi="Times New Roman" w:cs="Times New Roman"/>
        </w:rPr>
        <w:t xml:space="preserve"> for missing timepoints. Trials missing more than 50%</w:t>
      </w:r>
      <w:r w:rsidRPr="006745AE">
        <w:rPr>
          <w:rFonts w:ascii="Times New Roman" w:hAnsi="Times New Roman" w:cs="Times New Roman"/>
        </w:rPr>
        <w:t xml:space="preserve"> </w:t>
      </w:r>
      <w:r>
        <w:rPr>
          <w:rFonts w:ascii="Times New Roman" w:hAnsi="Times New Roman" w:cs="Times New Roman"/>
        </w:rPr>
        <w:t xml:space="preserve">of samples </w:t>
      </w:r>
      <w:r w:rsidRPr="006745AE">
        <w:rPr>
          <w:rFonts w:ascii="Times New Roman" w:hAnsi="Times New Roman" w:cs="Times New Roman"/>
        </w:rPr>
        <w:t xml:space="preserve">within a trial </w:t>
      </w:r>
      <w:r>
        <w:rPr>
          <w:rFonts w:ascii="Times New Roman" w:hAnsi="Times New Roman" w:cs="Times New Roman"/>
        </w:rPr>
        <w:t>will be removed</w:t>
      </w:r>
      <w:r w:rsidRPr="006745AE">
        <w:rPr>
          <w:rFonts w:ascii="Times New Roman" w:hAnsi="Times New Roman" w:cs="Times New Roman"/>
        </w:rPr>
        <w:t xml:space="preserve">, and participants with 20% or more trials missing will be </w:t>
      </w:r>
      <w:r>
        <w:rPr>
          <w:rFonts w:ascii="Times New Roman" w:hAnsi="Times New Roman" w:cs="Times New Roman"/>
        </w:rPr>
        <w:t xml:space="preserve">excluded </w:t>
      </w:r>
      <w:r w:rsidRPr="006745AE">
        <w:rPr>
          <w:rFonts w:ascii="Times New Roman" w:hAnsi="Times New Roman" w:cs="Times New Roman"/>
        </w:rPr>
        <w:t xml:space="preserve">from pupillometry data analysis (following McLaughlin </w:t>
      </w:r>
      <w:r>
        <w:rPr>
          <w:rFonts w:ascii="Times New Roman" w:hAnsi="Times New Roman" w:cs="Times New Roman"/>
        </w:rPr>
        <w:t xml:space="preserve">et al., </w:t>
      </w:r>
      <w:r w:rsidRPr="006745AE">
        <w:rPr>
          <w:rFonts w:ascii="Times New Roman" w:hAnsi="Times New Roman" w:cs="Times New Roman"/>
        </w:rPr>
        <w:t>2022 using a young adult undergraduate sample). Blinks will be corrected using linear interpolation with correction extending from 100ms prior to missing data to 200ms following the missing data period. A five-point moving average will be applied to smooth the data. Pupil dilation on each trial will be calculated relative to pupil during a pre-trial baseline period</w:t>
      </w:r>
      <w:r>
        <w:rPr>
          <w:rFonts w:ascii="Times New Roman" w:hAnsi="Times New Roman" w:cs="Times New Roman"/>
        </w:rPr>
        <w:t>.</w:t>
      </w:r>
      <w:r w:rsidRPr="006745AE">
        <w:rPr>
          <w:rFonts w:ascii="Times New Roman" w:hAnsi="Times New Roman" w:cs="Times New Roman"/>
        </w:rPr>
        <w:t xml:space="preserve"> </w:t>
      </w:r>
      <w:r>
        <w:rPr>
          <w:rFonts w:ascii="Times New Roman" w:hAnsi="Times New Roman" w:cs="Times New Roman"/>
        </w:rPr>
        <w:t>A</w:t>
      </w:r>
      <w:r w:rsidRPr="006745AE">
        <w:rPr>
          <w:rFonts w:ascii="Times New Roman" w:hAnsi="Times New Roman" w:cs="Times New Roman"/>
        </w:rPr>
        <w:t xml:space="preserve">verage pupil dilation on each trial will be calculated for each decision window from when the choice options are presented to when one of the two choices is selected (up to a maximum of 4 seconds). </w:t>
      </w:r>
    </w:p>
    <w:p w14:paraId="2504E4C4" w14:textId="77777777" w:rsidR="00222C6B" w:rsidRPr="00A906D1" w:rsidRDefault="00222C6B" w:rsidP="00222C6B">
      <w:pPr>
        <w:spacing w:after="0" w:line="480" w:lineRule="auto"/>
        <w:rPr>
          <w:rFonts w:ascii="Times New Roman" w:hAnsi="Times New Roman" w:cs="Times New Roman"/>
          <w:b/>
          <w:bCs/>
          <w:color w:val="FF0000"/>
        </w:rPr>
      </w:pPr>
      <w:r>
        <w:rPr>
          <w:rFonts w:ascii="Times New Roman" w:hAnsi="Times New Roman" w:cs="Times New Roman"/>
          <w:b/>
          <w:bCs/>
        </w:rPr>
        <w:t>Questionnaires</w:t>
      </w:r>
    </w:p>
    <w:p w14:paraId="47C90BB1" w14:textId="77777777" w:rsidR="00222C6B" w:rsidRPr="00817278" w:rsidRDefault="00222C6B" w:rsidP="00222C6B">
      <w:pPr>
        <w:spacing w:after="0" w:line="480" w:lineRule="auto"/>
        <w:rPr>
          <w:rFonts w:ascii="Times New Roman" w:hAnsi="Times New Roman" w:cs="Times New Roman"/>
        </w:rPr>
      </w:pPr>
      <w:r>
        <w:rPr>
          <w:rFonts w:ascii="Times New Roman" w:hAnsi="Times New Roman" w:cs="Times New Roman"/>
        </w:rPr>
        <w:tab/>
        <w:t>All questionnaires, except for the Post-Study Questionnaire, will be administered on Qualtrics. The Post-Study Questionnaire will be administered using pen and paper.</w:t>
      </w:r>
    </w:p>
    <w:p w14:paraId="06D27300" w14:textId="77777777" w:rsidR="00222C6B" w:rsidRPr="00EA3C71" w:rsidRDefault="00222C6B" w:rsidP="00222C6B">
      <w:pPr>
        <w:spacing w:after="0" w:line="480" w:lineRule="auto"/>
        <w:ind w:firstLine="720"/>
        <w:rPr>
          <w:rFonts w:ascii="Times New Roman" w:hAnsi="Times New Roman" w:cs="Times New Roman"/>
        </w:rPr>
      </w:pPr>
      <w:r>
        <w:rPr>
          <w:rFonts w:ascii="Times New Roman" w:hAnsi="Times New Roman" w:cs="Times New Roman"/>
          <w:i/>
          <w:iCs/>
        </w:rPr>
        <w:t xml:space="preserve">Substance Use Questionnaire (SUQ). </w:t>
      </w:r>
      <w:r>
        <w:rPr>
          <w:rFonts w:ascii="Times New Roman" w:hAnsi="Times New Roman" w:cs="Times New Roman"/>
        </w:rPr>
        <w:t xml:space="preserve">The SUQ is a 6-item questionnaire that will assess a participant’s frequency of alcohol consumption and cannabis use. Participants who have consumed alcohol or used cannabis the day of the study will be excused. </w:t>
      </w:r>
    </w:p>
    <w:p w14:paraId="5292777A" w14:textId="77777777" w:rsidR="00222C6B" w:rsidRPr="007064C9" w:rsidRDefault="00222C6B" w:rsidP="00222C6B">
      <w:pPr>
        <w:spacing w:after="0" w:line="480" w:lineRule="auto"/>
        <w:ind w:firstLine="720"/>
        <w:rPr>
          <w:rFonts w:ascii="Times New Roman" w:hAnsi="Times New Roman" w:cs="Times New Roman"/>
        </w:rPr>
      </w:pPr>
      <w:r>
        <w:rPr>
          <w:rFonts w:ascii="Times New Roman" w:hAnsi="Times New Roman" w:cs="Times New Roman"/>
          <w:i/>
          <w:iCs/>
        </w:rPr>
        <w:t xml:space="preserve">Instructions Quiz. </w:t>
      </w:r>
      <w:r w:rsidRPr="007064C9">
        <w:rPr>
          <w:rFonts w:ascii="Times New Roman" w:hAnsi="Times New Roman" w:cs="Times New Roman"/>
        </w:rPr>
        <w:t>Participants will take a 3-item quiz to assess their understanding of the RMD task.</w:t>
      </w:r>
      <w:r>
        <w:rPr>
          <w:rFonts w:ascii="Times New Roman" w:hAnsi="Times New Roman" w:cs="Times New Roman"/>
        </w:rPr>
        <w:t xml:space="preserve"> Participants will receive feedback and clarification on items they answer incorrectly. </w:t>
      </w:r>
      <w:r>
        <w:rPr>
          <w:rFonts w:ascii="Times New Roman" w:hAnsi="Times New Roman" w:cs="Times New Roman"/>
        </w:rPr>
        <w:lastRenderedPageBreak/>
        <w:t xml:space="preserve">If a participant demonstrates poor understanding of the RMD task even after feedback and clarification, they will be excused from the study. </w:t>
      </w:r>
    </w:p>
    <w:p w14:paraId="57FE712A" w14:textId="77777777" w:rsidR="00222C6B" w:rsidRPr="005F2F9D" w:rsidRDefault="00222C6B" w:rsidP="00222C6B">
      <w:pPr>
        <w:spacing w:after="0" w:line="480" w:lineRule="auto"/>
        <w:ind w:firstLine="720"/>
        <w:rPr>
          <w:rFonts w:ascii="Times New Roman" w:hAnsi="Times New Roman" w:cs="Times New Roman"/>
        </w:rPr>
      </w:pPr>
      <w:r w:rsidRPr="00934D95">
        <w:rPr>
          <w:rFonts w:ascii="Times New Roman" w:hAnsi="Times New Roman" w:cs="Times New Roman"/>
          <w:i/>
          <w:iCs/>
        </w:rPr>
        <w:t xml:space="preserve">Need for Cognition </w:t>
      </w:r>
      <w:r>
        <w:rPr>
          <w:rFonts w:ascii="Times New Roman" w:hAnsi="Times New Roman" w:cs="Times New Roman"/>
          <w:i/>
          <w:iCs/>
        </w:rPr>
        <w:t xml:space="preserve">Scale </w:t>
      </w:r>
      <w:r w:rsidRPr="00934D95">
        <w:rPr>
          <w:rFonts w:ascii="Times New Roman" w:hAnsi="Times New Roman" w:cs="Times New Roman"/>
          <w:i/>
          <w:iCs/>
        </w:rPr>
        <w:t>(N</w:t>
      </w:r>
      <w:r>
        <w:rPr>
          <w:rFonts w:ascii="Times New Roman" w:hAnsi="Times New Roman" w:cs="Times New Roman"/>
          <w:i/>
          <w:iCs/>
        </w:rPr>
        <w:t>CS-18; Cacioppo et al., 1984; Cacioppo &amp; Petty 1982</w:t>
      </w:r>
      <w:r w:rsidRPr="00934D95">
        <w:rPr>
          <w:rFonts w:ascii="Times New Roman" w:hAnsi="Times New Roman" w:cs="Times New Roman"/>
          <w:i/>
          <w:iCs/>
        </w:rPr>
        <w:t>).</w:t>
      </w:r>
      <w:r>
        <w:rPr>
          <w:rFonts w:ascii="Times New Roman" w:hAnsi="Times New Roman" w:cs="Times New Roman"/>
          <w:i/>
          <w:iCs/>
        </w:rPr>
        <w:t xml:space="preserve"> </w:t>
      </w:r>
      <w:r>
        <w:rPr>
          <w:rFonts w:ascii="Times New Roman" w:hAnsi="Times New Roman" w:cs="Times New Roman"/>
        </w:rPr>
        <w:t>The NCS-18 is an 18-item scale that will assess a participant’s tendency to engage in and enjoy effortful cognitive activities (</w:t>
      </w:r>
      <w:r w:rsidRPr="00B464F5">
        <w:rPr>
          <w:rFonts w:ascii="Times New Roman" w:hAnsi="Times New Roman" w:cs="Times New Roman"/>
          <w:i/>
          <w:iCs/>
        </w:rPr>
        <w:t>Need for Cognition</w:t>
      </w:r>
      <w:r>
        <w:rPr>
          <w:rFonts w:ascii="Times New Roman" w:hAnsi="Times New Roman" w:cs="Times New Roman"/>
        </w:rPr>
        <w:t xml:space="preserve">; </w:t>
      </w:r>
      <w:proofErr w:type="gramStart"/>
      <w:r>
        <w:rPr>
          <w:rFonts w:ascii="Times New Roman" w:hAnsi="Times New Roman" w:cs="Times New Roman"/>
        </w:rPr>
        <w:t>NFC;</w:t>
      </w:r>
      <w:proofErr w:type="gramEnd"/>
      <w:r>
        <w:rPr>
          <w:rFonts w:ascii="Times New Roman" w:hAnsi="Times New Roman" w:cs="Times New Roman"/>
        </w:rPr>
        <w:t xml:space="preserve"> e.g., “I would prefer complex to simple problems”). Items are scored on a Likert scale from 1 (“Extremely uncharacteristic of me”) to 5 (Extremely characteristic of me). Final scores will range from 18 (indicating low NFC) to 90 (indicating high NFC). </w:t>
      </w:r>
    </w:p>
    <w:p w14:paraId="57483D09" w14:textId="77777777" w:rsidR="00222C6B" w:rsidRPr="00AB1D4A" w:rsidRDefault="00222C6B" w:rsidP="00222C6B">
      <w:pPr>
        <w:spacing w:after="0" w:line="480" w:lineRule="auto"/>
        <w:ind w:firstLine="720"/>
        <w:rPr>
          <w:rFonts w:ascii="Times New Roman" w:hAnsi="Times New Roman" w:cs="Times New Roman"/>
        </w:rPr>
      </w:pPr>
      <w:r>
        <w:rPr>
          <w:rFonts w:ascii="Times New Roman" w:hAnsi="Times New Roman" w:cs="Times New Roman"/>
          <w:i/>
          <w:iCs/>
        </w:rPr>
        <w:t>Perceived Stress Scale (PSS; Cohen et al., 1983)</w:t>
      </w:r>
      <w:r w:rsidRPr="00934D95">
        <w:rPr>
          <w:rFonts w:ascii="Times New Roman" w:hAnsi="Times New Roman" w:cs="Times New Roman"/>
          <w:i/>
          <w:iCs/>
        </w:rPr>
        <w:t xml:space="preserve">. </w:t>
      </w:r>
      <w:r>
        <w:rPr>
          <w:rFonts w:ascii="Times New Roman" w:hAnsi="Times New Roman" w:cs="Times New Roman"/>
        </w:rPr>
        <w:t>The PSS is a 10-item scale that will assess a participant’s perception of stress in the past month of their life.  Items are scored on a Likert scale from 0 (“Never”) to 4 (“Very Often”). Final scores will range from 0 (indicating low chronic stress) to 40 (indicating high chronic stress).</w:t>
      </w:r>
    </w:p>
    <w:p w14:paraId="095A67E0" w14:textId="77777777" w:rsidR="00222C6B" w:rsidRDefault="00222C6B" w:rsidP="00222C6B">
      <w:pPr>
        <w:spacing w:after="0" w:line="480" w:lineRule="auto"/>
        <w:ind w:firstLine="720"/>
        <w:rPr>
          <w:rFonts w:ascii="Times New Roman" w:hAnsi="Times New Roman" w:cs="Times New Roman"/>
          <w:color w:val="FF0000"/>
        </w:rPr>
      </w:pPr>
      <w:r w:rsidRPr="00934D95">
        <w:rPr>
          <w:rFonts w:ascii="Times New Roman" w:hAnsi="Times New Roman" w:cs="Times New Roman"/>
          <w:i/>
          <w:iCs/>
        </w:rPr>
        <w:t xml:space="preserve">Demographics. </w:t>
      </w:r>
      <w:r w:rsidRPr="00A73689">
        <w:rPr>
          <w:rFonts w:ascii="Times New Roman" w:hAnsi="Times New Roman" w:cs="Times New Roman"/>
        </w:rPr>
        <w:t>Standard</w:t>
      </w:r>
      <w:r>
        <w:rPr>
          <w:rFonts w:ascii="Times New Roman" w:hAnsi="Times New Roman" w:cs="Times New Roman"/>
          <w:i/>
          <w:iCs/>
        </w:rPr>
        <w:t xml:space="preserve"> </w:t>
      </w:r>
      <w:r>
        <w:rPr>
          <w:rFonts w:ascii="Times New Roman" w:hAnsi="Times New Roman" w:cs="Times New Roman"/>
        </w:rPr>
        <w:t>b</w:t>
      </w:r>
      <w:r w:rsidRPr="004C2CE5">
        <w:rPr>
          <w:rFonts w:ascii="Times New Roman" w:hAnsi="Times New Roman" w:cs="Times New Roman"/>
        </w:rPr>
        <w:t>asic p</w:t>
      </w:r>
      <w:r>
        <w:rPr>
          <w:rFonts w:ascii="Times New Roman" w:hAnsi="Times New Roman" w:cs="Times New Roman"/>
        </w:rPr>
        <w:t xml:space="preserve">articipant demographic information (e.g., age, gender, race/ethnic identity) will be collected. </w:t>
      </w:r>
    </w:p>
    <w:p w14:paraId="22AEDF85" w14:textId="6C4FBB8A" w:rsidR="002673AA" w:rsidRPr="002673AA" w:rsidRDefault="00222C6B" w:rsidP="00222C6B">
      <w:pPr>
        <w:spacing w:after="0" w:line="480" w:lineRule="auto"/>
        <w:rPr>
          <w:rFonts w:ascii="Times New Roman" w:hAnsi="Times New Roman" w:cs="Times New Roman"/>
        </w:rPr>
      </w:pPr>
      <w:r w:rsidRPr="00934D95">
        <w:rPr>
          <w:rFonts w:ascii="Times New Roman" w:hAnsi="Times New Roman" w:cs="Times New Roman"/>
          <w:i/>
          <w:iCs/>
        </w:rPr>
        <w:t>Post-</w:t>
      </w:r>
      <w:r>
        <w:rPr>
          <w:rFonts w:ascii="Times New Roman" w:hAnsi="Times New Roman" w:cs="Times New Roman"/>
          <w:i/>
          <w:iCs/>
        </w:rPr>
        <w:t>Study</w:t>
      </w:r>
      <w:r w:rsidRPr="00934D95">
        <w:rPr>
          <w:rFonts w:ascii="Times New Roman" w:hAnsi="Times New Roman" w:cs="Times New Roman"/>
          <w:i/>
          <w:iCs/>
        </w:rPr>
        <w:t xml:space="preserve"> Questionnaire. </w:t>
      </w:r>
      <w:r>
        <w:rPr>
          <w:rFonts w:ascii="Times New Roman" w:hAnsi="Times New Roman" w:cs="Times New Roman"/>
        </w:rPr>
        <w:t xml:space="preserve">A </w:t>
      </w:r>
      <w:r w:rsidRPr="00377ACD">
        <w:rPr>
          <w:rFonts w:ascii="Times New Roman" w:hAnsi="Times New Roman" w:cs="Times New Roman"/>
        </w:rPr>
        <w:t>self-report of the participant’s experience, strategies used, and points of confusion</w:t>
      </w:r>
      <w:r>
        <w:rPr>
          <w:rFonts w:ascii="Times New Roman" w:hAnsi="Times New Roman" w:cs="Times New Roman"/>
        </w:rPr>
        <w:t xml:space="preserve"> during the RDM task, </w:t>
      </w:r>
      <w:proofErr w:type="spellStart"/>
      <w:r>
        <w:rPr>
          <w:rFonts w:ascii="Times New Roman" w:hAnsi="Times New Roman" w:cs="Times New Roman"/>
        </w:rPr>
        <w:t>OSpan</w:t>
      </w:r>
      <w:proofErr w:type="spellEnd"/>
      <w:r>
        <w:rPr>
          <w:rFonts w:ascii="Times New Roman" w:hAnsi="Times New Roman" w:cs="Times New Roman"/>
        </w:rPr>
        <w:t xml:space="preserve">, and </w:t>
      </w:r>
      <w:proofErr w:type="spellStart"/>
      <w:r>
        <w:rPr>
          <w:rFonts w:ascii="Times New Roman" w:hAnsi="Times New Roman" w:cs="Times New Roman"/>
        </w:rPr>
        <w:t>SymSpan</w:t>
      </w:r>
      <w:proofErr w:type="spellEnd"/>
      <w:r>
        <w:rPr>
          <w:rFonts w:ascii="Times New Roman" w:hAnsi="Times New Roman" w:cs="Times New Roman"/>
        </w:rPr>
        <w:t xml:space="preserve">. Some </w:t>
      </w:r>
      <w:r w:rsidRPr="00377ACD">
        <w:rPr>
          <w:rFonts w:ascii="Times New Roman" w:hAnsi="Times New Roman" w:cs="Times New Roman"/>
        </w:rPr>
        <w:t>questions will be short</w:t>
      </w:r>
      <w:r>
        <w:rPr>
          <w:rFonts w:ascii="Times New Roman" w:hAnsi="Times New Roman" w:cs="Times New Roman"/>
        </w:rPr>
        <w:t>-</w:t>
      </w:r>
      <w:proofErr w:type="gramStart"/>
      <w:r w:rsidRPr="00377ACD">
        <w:rPr>
          <w:rFonts w:ascii="Times New Roman" w:hAnsi="Times New Roman" w:cs="Times New Roman"/>
        </w:rPr>
        <w:t>answer</w:t>
      </w:r>
      <w:proofErr w:type="gramEnd"/>
      <w:r w:rsidRPr="00377ACD">
        <w:rPr>
          <w:rFonts w:ascii="Times New Roman" w:hAnsi="Times New Roman" w:cs="Times New Roman"/>
        </w:rPr>
        <w:t>,</w:t>
      </w:r>
      <w:r>
        <w:rPr>
          <w:rFonts w:ascii="Times New Roman" w:hAnsi="Times New Roman" w:cs="Times New Roman"/>
        </w:rPr>
        <w:t xml:space="preserve"> and</w:t>
      </w:r>
      <w:r w:rsidRPr="00377ACD">
        <w:rPr>
          <w:rFonts w:ascii="Times New Roman" w:hAnsi="Times New Roman" w:cs="Times New Roman"/>
        </w:rPr>
        <w:t xml:space="preserve"> some will be quantitative Likert ratings (e.g., of motivation in the task, current stress, experienced ease/difficulty, etc</w:t>
      </w:r>
      <w:r>
        <w:rPr>
          <w:rFonts w:ascii="Times New Roman" w:hAnsi="Times New Roman" w:cs="Times New Roman"/>
        </w:rPr>
        <w:t>.</w:t>
      </w:r>
      <w:r w:rsidRPr="00377ACD">
        <w:rPr>
          <w:rFonts w:ascii="Times New Roman" w:hAnsi="Times New Roman" w:cs="Times New Roman"/>
        </w:rPr>
        <w:t>)</w:t>
      </w:r>
      <w:r>
        <w:rPr>
          <w:rFonts w:ascii="Times New Roman" w:hAnsi="Times New Roman" w:cs="Times New Roman"/>
        </w:rPr>
        <w:t>.</w:t>
      </w:r>
    </w:p>
    <w:p w14:paraId="203B4E1F" w14:textId="793991A1" w:rsidR="00A9423F" w:rsidRDefault="00A9423F" w:rsidP="00A9423F">
      <w:pPr>
        <w:spacing w:after="0" w:line="480" w:lineRule="auto"/>
        <w:jc w:val="center"/>
        <w:rPr>
          <w:rFonts w:ascii="Times New Roman" w:hAnsi="Times New Roman" w:cs="Times New Roman"/>
          <w:b/>
          <w:bCs/>
        </w:rPr>
      </w:pPr>
      <w:r w:rsidRPr="00A9423F">
        <w:rPr>
          <w:rFonts w:ascii="Times New Roman" w:hAnsi="Times New Roman" w:cs="Times New Roman"/>
          <w:b/>
          <w:bCs/>
        </w:rPr>
        <w:t>Results</w:t>
      </w:r>
    </w:p>
    <w:p w14:paraId="63372CDF" w14:textId="2E269627" w:rsidR="00AA6DF5" w:rsidRPr="00AA6DF5" w:rsidRDefault="00AA6DF5" w:rsidP="00AA6DF5">
      <w:pPr>
        <w:spacing w:after="0" w:line="480" w:lineRule="auto"/>
        <w:ind w:firstLine="720"/>
        <w:rPr>
          <w:rFonts w:ascii="Times New Roman" w:hAnsi="Times New Roman" w:cs="Times New Roman"/>
        </w:rPr>
      </w:pPr>
      <w:r w:rsidRPr="00AA6DF5">
        <w:rPr>
          <w:rFonts w:ascii="Times New Roman" w:hAnsi="Times New Roman" w:cs="Times New Roman"/>
        </w:rPr>
        <w:t xml:space="preserve">There were no significant </w:t>
      </w:r>
      <w:r w:rsidRPr="00AA6DF5">
        <w:rPr>
          <w:rFonts w:ascii="Times New Roman" w:hAnsi="Times New Roman" w:cs="Times New Roman"/>
        </w:rPr>
        <w:t>differences</w:t>
      </w:r>
      <w:r w:rsidRPr="00AA6DF5">
        <w:rPr>
          <w:rFonts w:ascii="Times New Roman" w:hAnsi="Times New Roman" w:cs="Times New Roman"/>
        </w:rPr>
        <w:t xml:space="preserve"> on reaction times (RTs) between easy reject and easy accept, </w:t>
      </w:r>
      <w:proofErr w:type="gramStart"/>
      <w:r w:rsidRPr="00AA6DF5">
        <w:rPr>
          <w:rFonts w:ascii="Times New Roman" w:hAnsi="Times New Roman" w:cs="Times New Roman"/>
        </w:rPr>
        <w:t>t(</w:t>
      </w:r>
      <w:proofErr w:type="gramEnd"/>
      <w:r w:rsidRPr="00AA6DF5">
        <w:rPr>
          <w:rFonts w:ascii="Times New Roman" w:hAnsi="Times New Roman" w:cs="Times New Roman"/>
        </w:rPr>
        <w:t xml:space="preserve">84) = 0.29, p = .77. Thus, we were able to combine both easy reject and easy accept into easy choices. When comparing choice difficulty, there was a significant difference </w:t>
      </w:r>
      <w:r w:rsidRPr="00AA6DF5">
        <w:rPr>
          <w:rFonts w:ascii="Times New Roman" w:hAnsi="Times New Roman" w:cs="Times New Roman"/>
        </w:rPr>
        <w:lastRenderedPageBreak/>
        <w:t xml:space="preserve">between easy and difficult choices, </w:t>
      </w:r>
      <w:proofErr w:type="gramStart"/>
      <w:r w:rsidRPr="00AA6DF5">
        <w:rPr>
          <w:rFonts w:ascii="Times New Roman" w:hAnsi="Times New Roman" w:cs="Times New Roman"/>
        </w:rPr>
        <w:t>t(</w:t>
      </w:r>
      <w:proofErr w:type="gramEnd"/>
      <w:r w:rsidRPr="00AA6DF5">
        <w:rPr>
          <w:rFonts w:ascii="Times New Roman" w:hAnsi="Times New Roman" w:cs="Times New Roman"/>
        </w:rPr>
        <w:t xml:space="preserve">84) = -10.37, p &lt; .001. Participants took longer to make difficult choices (M = 1.69, SD = 0.34) than easy choices (M = 1.45, SD = 0.22). </w:t>
      </w:r>
    </w:p>
    <w:p w14:paraId="5414A0FD" w14:textId="357992C1" w:rsidR="00AA6DF5" w:rsidRPr="00AA6DF5" w:rsidRDefault="00AA6DF5" w:rsidP="00AA6DF5">
      <w:pPr>
        <w:spacing w:after="0" w:line="480" w:lineRule="auto"/>
        <w:ind w:firstLine="720"/>
        <w:rPr>
          <w:rFonts w:ascii="Times New Roman" w:hAnsi="Times New Roman" w:cs="Times New Roman"/>
        </w:rPr>
      </w:pPr>
      <w:r w:rsidRPr="00AA6DF5">
        <w:rPr>
          <w:rFonts w:ascii="Times New Roman" w:hAnsi="Times New Roman" w:cs="Times New Roman"/>
        </w:rPr>
        <w:t xml:space="preserve">We also examined whether combinations of previous and current difficult choices (Easy-Easy, Difficult-Easy, Difficult-Difficult, and Easy-Difficult) were different from each other in terms of RTs. Difficult-Easy was not significantly different from Easy-Easy, </w:t>
      </w:r>
      <w:proofErr w:type="gramStart"/>
      <w:r w:rsidRPr="00AA6DF5">
        <w:rPr>
          <w:rFonts w:ascii="Times New Roman" w:hAnsi="Times New Roman" w:cs="Times New Roman"/>
        </w:rPr>
        <w:t>t(</w:t>
      </w:r>
      <w:proofErr w:type="gramEnd"/>
      <w:r w:rsidRPr="00AA6DF5">
        <w:rPr>
          <w:rFonts w:ascii="Times New Roman" w:hAnsi="Times New Roman" w:cs="Times New Roman"/>
        </w:rPr>
        <w:t xml:space="preserve">84) = 0.72, p = .47. Easy-Difficult was not significantly different from Difficult-Difficult, </w:t>
      </w:r>
      <w:proofErr w:type="gramStart"/>
      <w:r w:rsidRPr="00AA6DF5">
        <w:rPr>
          <w:rFonts w:ascii="Times New Roman" w:hAnsi="Times New Roman" w:cs="Times New Roman"/>
        </w:rPr>
        <w:t>t(</w:t>
      </w:r>
      <w:proofErr w:type="gramEnd"/>
      <w:r w:rsidRPr="00AA6DF5">
        <w:rPr>
          <w:rFonts w:ascii="Times New Roman" w:hAnsi="Times New Roman" w:cs="Times New Roman"/>
        </w:rPr>
        <w:t xml:space="preserve">84) = 1.63, p = .11. Finally, Easy-Easy was not significantly different from Difficult-Difficult, </w:t>
      </w:r>
      <w:proofErr w:type="gramStart"/>
      <w:r w:rsidRPr="00AA6DF5">
        <w:rPr>
          <w:rFonts w:ascii="Times New Roman" w:hAnsi="Times New Roman" w:cs="Times New Roman"/>
        </w:rPr>
        <w:t>t(</w:t>
      </w:r>
      <w:proofErr w:type="gramEnd"/>
      <w:r w:rsidRPr="00AA6DF5">
        <w:rPr>
          <w:rFonts w:ascii="Times New Roman" w:hAnsi="Times New Roman" w:cs="Times New Roman"/>
        </w:rPr>
        <w:t>84) = -0.08, p = .94. Altogether, participants did not differ in how long they took to make a choice depending on the different combinations of previous and current difficulty.</w:t>
      </w:r>
    </w:p>
    <w:p w14:paraId="3670ED6A" w14:textId="59D4D3D4" w:rsidR="00AA6DF5" w:rsidRPr="00AA6DF5" w:rsidRDefault="00AA6DF5" w:rsidP="00AA6DF5">
      <w:pPr>
        <w:spacing w:after="0" w:line="480" w:lineRule="auto"/>
        <w:ind w:firstLine="720"/>
        <w:rPr>
          <w:rFonts w:ascii="Times New Roman" w:hAnsi="Times New Roman" w:cs="Times New Roman"/>
        </w:rPr>
      </w:pPr>
      <w:r w:rsidRPr="00AA6DF5">
        <w:rPr>
          <w:rFonts w:ascii="Times New Roman" w:hAnsi="Times New Roman" w:cs="Times New Roman"/>
        </w:rPr>
        <w:t xml:space="preserve">When examining choice difficulty effects on RTs for each WMC group, choice difficulty was associated with significant differences in RTs in both the low WMC group, </w:t>
      </w:r>
      <w:proofErr w:type="gramStart"/>
      <w:r w:rsidRPr="00AA6DF5">
        <w:rPr>
          <w:rFonts w:ascii="Times New Roman" w:hAnsi="Times New Roman" w:cs="Times New Roman"/>
        </w:rPr>
        <w:t>t(</w:t>
      </w:r>
      <w:proofErr w:type="gramEnd"/>
      <w:r w:rsidRPr="00AA6DF5">
        <w:rPr>
          <w:rFonts w:ascii="Times New Roman" w:hAnsi="Times New Roman" w:cs="Times New Roman"/>
        </w:rPr>
        <w:t xml:space="preserve">40) = -8.05, p &lt; .001, and the high WMC group, t(40) = -6.63, p &lt; .001. Both groups took longer to make a choice when making difficult choices; low WMC group: </w:t>
      </w:r>
      <w:proofErr w:type="gramStart"/>
      <w:r w:rsidRPr="00AA6DF5">
        <w:rPr>
          <w:rFonts w:ascii="Times New Roman" w:hAnsi="Times New Roman" w:cs="Times New Roman"/>
        </w:rPr>
        <w:t>difficult(</w:t>
      </w:r>
      <w:proofErr w:type="gramEnd"/>
      <w:r w:rsidRPr="00AA6DF5">
        <w:rPr>
          <w:rFonts w:ascii="Times New Roman" w:hAnsi="Times New Roman" w:cs="Times New Roman"/>
        </w:rPr>
        <w:t>M</w:t>
      </w:r>
      <w:r w:rsidRPr="00AA6DF5">
        <w:rPr>
          <w:rFonts w:ascii="Times New Roman" w:hAnsi="Times New Roman" w:cs="Times New Roman"/>
        </w:rPr>
        <w:t xml:space="preserve"> = 1.7, SD = 0.37), easy(M = 1.45, SD = 0.19) and high WMC group: difficulty(M = 1.69, SD = 0.32), easy(M = 1.47, SD = 0.25). </w:t>
      </w:r>
    </w:p>
    <w:p w14:paraId="728DAB87" w14:textId="6D34C276" w:rsidR="00AA6DF5" w:rsidRPr="00AA6DF5" w:rsidRDefault="00AA6DF5" w:rsidP="00AA6DF5">
      <w:pPr>
        <w:spacing w:after="0" w:line="480" w:lineRule="auto"/>
        <w:ind w:firstLine="720"/>
        <w:rPr>
          <w:rFonts w:ascii="Times New Roman" w:hAnsi="Times New Roman" w:cs="Times New Roman"/>
        </w:rPr>
      </w:pPr>
      <w:r w:rsidRPr="00AA6DF5">
        <w:rPr>
          <w:rFonts w:ascii="Times New Roman" w:hAnsi="Times New Roman" w:cs="Times New Roman"/>
        </w:rPr>
        <w:t>In model 1, we examined the role of current and previous difficulty, WMC, and NFC on subject-level average RTs. Regression coefficients revealed an effect of current difficulty, β = -0.23(0.03</w:t>
      </w:r>
      <w:proofErr w:type="gramStart"/>
      <w:r w:rsidRPr="00AA6DF5">
        <w:rPr>
          <w:rFonts w:ascii="Times New Roman" w:hAnsi="Times New Roman" w:cs="Times New Roman"/>
        </w:rPr>
        <w:t>) ,</w:t>
      </w:r>
      <w:proofErr w:type="gramEnd"/>
      <w:r w:rsidRPr="00AA6DF5">
        <w:rPr>
          <w:rFonts w:ascii="Times New Roman" w:hAnsi="Times New Roman" w:cs="Times New Roman"/>
        </w:rPr>
        <w:t xml:space="preserve"> p &lt; .001, but not previous difficulty, β = 0.02(0.13), p = .88, WMC, β = -0.01(0.03), p =.67, or NFC, β = 0.03(0.03), p = 0.38. When regressing only for current difficulty on subject level average RTs, regression coefficients indicate an effect of current difficulty, β = -0.24(0.3), p &lt; .001.</w:t>
      </w:r>
    </w:p>
    <w:p w14:paraId="020BD892" w14:textId="3AC4CBE8" w:rsidR="00AA6DF5" w:rsidRPr="00AA6DF5" w:rsidRDefault="00AA6DF5" w:rsidP="00AA6DF5">
      <w:pPr>
        <w:spacing w:after="0" w:line="480" w:lineRule="auto"/>
        <w:ind w:firstLine="720"/>
        <w:rPr>
          <w:rFonts w:ascii="Times New Roman" w:hAnsi="Times New Roman" w:cs="Times New Roman"/>
        </w:rPr>
      </w:pPr>
      <w:r w:rsidRPr="00AA6DF5">
        <w:rPr>
          <w:rFonts w:ascii="Times New Roman" w:hAnsi="Times New Roman" w:cs="Times New Roman"/>
        </w:rPr>
        <w:t xml:space="preserve">In model 2, we examine the role of current and previous difficulty, WMC, and NFC on trial-by-trial RTs. Regression coefficients revealed an effect of current, β = -0.04(0.02), p &lt; .001, </w:t>
      </w:r>
      <w:r w:rsidRPr="00AA6DF5">
        <w:rPr>
          <w:rFonts w:ascii="Times New Roman" w:hAnsi="Times New Roman" w:cs="Times New Roman"/>
        </w:rPr>
        <w:lastRenderedPageBreak/>
        <w:t>and previous difficulty, β = 0.04(0.02), p &lt; .01, but not WMC, β = -0.03(0.01), p = 0.8 or NFC, β = 0.1(0.01), p = 0.4. When regressing for only current and previous difficulty on trial-by-trial RTs, regression coefficients revealed an effect of current, β = -0.05(0.02), p &lt; .001, and previous difficulty, β = 0.04(0.02), p &lt; .01.</w:t>
      </w:r>
    </w:p>
    <w:p w14:paraId="1B8018BB" w14:textId="77777777" w:rsidR="00AA6DF5" w:rsidRPr="00AA6DF5" w:rsidRDefault="00AA6DF5" w:rsidP="00AA6DF5">
      <w:pPr>
        <w:spacing w:after="0" w:line="480" w:lineRule="auto"/>
        <w:ind w:firstLine="720"/>
        <w:rPr>
          <w:rFonts w:ascii="Times New Roman" w:hAnsi="Times New Roman" w:cs="Times New Roman"/>
        </w:rPr>
      </w:pPr>
      <w:r w:rsidRPr="00AA6DF5">
        <w:rPr>
          <w:rFonts w:ascii="Times New Roman" w:hAnsi="Times New Roman" w:cs="Times New Roman"/>
        </w:rPr>
        <w:t>In model 4, we examined the role of current and previous difficulty, WMC, and NFC on subject level variability of RTs. Regression coefficients revealed an effect of previous difficulty, β = 0.05(0.02</w:t>
      </w:r>
      <w:proofErr w:type="gramStart"/>
      <w:r w:rsidRPr="00AA6DF5">
        <w:rPr>
          <w:rFonts w:ascii="Times New Roman" w:hAnsi="Times New Roman" w:cs="Times New Roman"/>
        </w:rPr>
        <w:t>) ,</w:t>
      </w:r>
      <w:proofErr w:type="gramEnd"/>
      <w:r w:rsidRPr="00AA6DF5">
        <w:rPr>
          <w:rFonts w:ascii="Times New Roman" w:hAnsi="Times New Roman" w:cs="Times New Roman"/>
        </w:rPr>
        <w:t xml:space="preserve"> p &lt; .01, and WMC, β = -0.03(0.01), p &lt; .01 but not current difficulty, β = -0.05(0.02), p = .69, or NFC, β = -0.003(0.01), p = 0.75. When regressing for only previous difficulty and WMC on subject level average RTs, regression coefficients revealed an effect of current difficulty, β = 0.06(0.01</w:t>
      </w:r>
      <w:proofErr w:type="gramStart"/>
      <w:r w:rsidRPr="00AA6DF5">
        <w:rPr>
          <w:rFonts w:ascii="Times New Roman" w:hAnsi="Times New Roman" w:cs="Times New Roman"/>
        </w:rPr>
        <w:t>) ,</w:t>
      </w:r>
      <w:proofErr w:type="gramEnd"/>
      <w:r w:rsidRPr="00AA6DF5">
        <w:rPr>
          <w:rFonts w:ascii="Times New Roman" w:hAnsi="Times New Roman" w:cs="Times New Roman"/>
        </w:rPr>
        <w:t xml:space="preserve"> p &lt; .001, and WMC, β = -0.03(0.01), p &lt; .01.</w:t>
      </w:r>
    </w:p>
    <w:p w14:paraId="31979320" w14:textId="77777777" w:rsidR="00AA6DF5" w:rsidRPr="00AA6DF5" w:rsidRDefault="00AA6DF5" w:rsidP="00AA6DF5">
      <w:pPr>
        <w:spacing w:after="0" w:line="480" w:lineRule="auto"/>
        <w:ind w:firstLine="720"/>
        <w:rPr>
          <w:rFonts w:ascii="Times New Roman" w:hAnsi="Times New Roman" w:cs="Times New Roman"/>
          <w:b/>
          <w:bCs/>
        </w:rPr>
      </w:pPr>
    </w:p>
    <w:p w14:paraId="521DE9E0" w14:textId="77777777" w:rsidR="00A9423F" w:rsidRPr="00A9423F" w:rsidRDefault="00A9423F" w:rsidP="00A9423F">
      <w:pPr>
        <w:spacing w:after="0" w:line="480" w:lineRule="auto"/>
        <w:rPr>
          <w:rFonts w:ascii="Times New Roman" w:hAnsi="Times New Roman" w:cs="Times New Roman"/>
          <w:b/>
          <w:bCs/>
        </w:rPr>
      </w:pPr>
    </w:p>
    <w:p w14:paraId="58F701C9" w14:textId="77777777" w:rsidR="00A9423F" w:rsidRPr="00A9423F" w:rsidRDefault="00A9423F" w:rsidP="00A9423F">
      <w:pPr>
        <w:spacing w:after="0" w:line="480" w:lineRule="auto"/>
        <w:rPr>
          <w:rFonts w:ascii="Times New Roman" w:hAnsi="Times New Roman" w:cs="Times New Roman"/>
        </w:rPr>
      </w:pPr>
    </w:p>
    <w:sectPr w:rsidR="00A9423F" w:rsidRPr="00A94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3F"/>
    <w:rsid w:val="000577B8"/>
    <w:rsid w:val="00222C6B"/>
    <w:rsid w:val="002673AA"/>
    <w:rsid w:val="00A9423F"/>
    <w:rsid w:val="00AA6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838D"/>
  <w15:chartTrackingRefBased/>
  <w15:docId w15:val="{4A3B0016-F2AD-4427-8A0A-4A0A8FA1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2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2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2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2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2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2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2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2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2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2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2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2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2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2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2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2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2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23F"/>
    <w:rPr>
      <w:rFonts w:eastAsiaTheme="majorEastAsia" w:cstheme="majorBidi"/>
      <w:color w:val="272727" w:themeColor="text1" w:themeTint="D8"/>
    </w:rPr>
  </w:style>
  <w:style w:type="paragraph" w:styleId="Title">
    <w:name w:val="Title"/>
    <w:basedOn w:val="Normal"/>
    <w:next w:val="Normal"/>
    <w:link w:val="TitleChar"/>
    <w:uiPriority w:val="10"/>
    <w:qFormat/>
    <w:rsid w:val="00A942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2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2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2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23F"/>
    <w:pPr>
      <w:spacing w:before="160"/>
      <w:jc w:val="center"/>
    </w:pPr>
    <w:rPr>
      <w:i/>
      <w:iCs/>
      <w:color w:val="404040" w:themeColor="text1" w:themeTint="BF"/>
    </w:rPr>
  </w:style>
  <w:style w:type="character" w:customStyle="1" w:styleId="QuoteChar">
    <w:name w:val="Quote Char"/>
    <w:basedOn w:val="DefaultParagraphFont"/>
    <w:link w:val="Quote"/>
    <w:uiPriority w:val="29"/>
    <w:rsid w:val="00A9423F"/>
    <w:rPr>
      <w:i/>
      <w:iCs/>
      <w:color w:val="404040" w:themeColor="text1" w:themeTint="BF"/>
    </w:rPr>
  </w:style>
  <w:style w:type="paragraph" w:styleId="ListParagraph">
    <w:name w:val="List Paragraph"/>
    <w:basedOn w:val="Normal"/>
    <w:uiPriority w:val="34"/>
    <w:qFormat/>
    <w:rsid w:val="00A9423F"/>
    <w:pPr>
      <w:ind w:left="720"/>
      <w:contextualSpacing/>
    </w:pPr>
  </w:style>
  <w:style w:type="character" w:styleId="IntenseEmphasis">
    <w:name w:val="Intense Emphasis"/>
    <w:basedOn w:val="DefaultParagraphFont"/>
    <w:uiPriority w:val="21"/>
    <w:qFormat/>
    <w:rsid w:val="00A9423F"/>
    <w:rPr>
      <w:i/>
      <w:iCs/>
      <w:color w:val="0F4761" w:themeColor="accent1" w:themeShade="BF"/>
    </w:rPr>
  </w:style>
  <w:style w:type="paragraph" w:styleId="IntenseQuote">
    <w:name w:val="Intense Quote"/>
    <w:basedOn w:val="Normal"/>
    <w:next w:val="Normal"/>
    <w:link w:val="IntenseQuoteChar"/>
    <w:uiPriority w:val="30"/>
    <w:qFormat/>
    <w:rsid w:val="00A94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23F"/>
    <w:rPr>
      <w:i/>
      <w:iCs/>
      <w:color w:val="0F4761" w:themeColor="accent1" w:themeShade="BF"/>
    </w:rPr>
  </w:style>
  <w:style w:type="character" w:styleId="IntenseReference">
    <w:name w:val="Intense Reference"/>
    <w:basedOn w:val="DefaultParagraphFont"/>
    <w:uiPriority w:val="32"/>
    <w:qFormat/>
    <w:rsid w:val="00A9423F"/>
    <w:rPr>
      <w:b/>
      <w:bCs/>
      <w:smallCaps/>
      <w:color w:val="0F4761" w:themeColor="accent1" w:themeShade="BF"/>
      <w:spacing w:val="5"/>
    </w:rPr>
  </w:style>
  <w:style w:type="character" w:styleId="CommentReference">
    <w:name w:val="annotation reference"/>
    <w:basedOn w:val="DefaultParagraphFont"/>
    <w:uiPriority w:val="99"/>
    <w:semiHidden/>
    <w:unhideWhenUsed/>
    <w:rsid w:val="00222C6B"/>
    <w:rPr>
      <w:sz w:val="16"/>
      <w:szCs w:val="16"/>
    </w:rPr>
  </w:style>
  <w:style w:type="paragraph" w:styleId="CommentText">
    <w:name w:val="annotation text"/>
    <w:basedOn w:val="Normal"/>
    <w:link w:val="CommentTextChar"/>
    <w:uiPriority w:val="99"/>
    <w:unhideWhenUsed/>
    <w:rsid w:val="00222C6B"/>
    <w:pPr>
      <w:spacing w:line="240" w:lineRule="auto"/>
    </w:pPr>
    <w:rPr>
      <w:sz w:val="20"/>
      <w:szCs w:val="20"/>
    </w:rPr>
  </w:style>
  <w:style w:type="character" w:customStyle="1" w:styleId="CommentTextChar">
    <w:name w:val="Comment Text Char"/>
    <w:basedOn w:val="DefaultParagraphFont"/>
    <w:link w:val="CommentText"/>
    <w:uiPriority w:val="99"/>
    <w:rsid w:val="00222C6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14220">
      <w:bodyDiv w:val="1"/>
      <w:marLeft w:val="0"/>
      <w:marRight w:val="0"/>
      <w:marTop w:val="0"/>
      <w:marBottom w:val="0"/>
      <w:divBdr>
        <w:top w:val="none" w:sz="0" w:space="0" w:color="auto"/>
        <w:left w:val="none" w:sz="0" w:space="0" w:color="auto"/>
        <w:bottom w:val="none" w:sz="0" w:space="0" w:color="auto"/>
        <w:right w:val="none" w:sz="0" w:space="0" w:color="auto"/>
      </w:divBdr>
    </w:div>
    <w:div w:id="341709994">
      <w:bodyDiv w:val="1"/>
      <w:marLeft w:val="0"/>
      <w:marRight w:val="0"/>
      <w:marTop w:val="0"/>
      <w:marBottom w:val="0"/>
      <w:divBdr>
        <w:top w:val="none" w:sz="0" w:space="0" w:color="auto"/>
        <w:left w:val="none" w:sz="0" w:space="0" w:color="auto"/>
        <w:bottom w:val="none" w:sz="0" w:space="0" w:color="auto"/>
        <w:right w:val="none" w:sz="0" w:space="0" w:color="auto"/>
      </w:divBdr>
    </w:div>
    <w:div w:id="107054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2770</Words>
  <Characters>15795</Characters>
  <Application>Microsoft Office Word</Application>
  <DocSecurity>0</DocSecurity>
  <Lines>131</Lines>
  <Paragraphs>37</Paragraphs>
  <ScaleCrop>false</ScaleCrop>
  <Company/>
  <LinksUpToDate>false</LinksUpToDate>
  <CharactersWithSpaces>18528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Monteza</dc:creator>
  <cp:keywords/>
  <dc:description/>
  <cp:lastModifiedBy>Von Monteza</cp:lastModifiedBy>
  <cp:revision>4</cp:revision>
  <dcterms:created xsi:type="dcterms:W3CDTF">2024-09-18T19:38:00Z</dcterms:created>
  <dcterms:modified xsi:type="dcterms:W3CDTF">2024-09-18T19:47:00Z</dcterms:modified>
</cp:coreProperties>
</file>