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
      </w:pPr>
      <w:r>
        <w:drawing>
          <wp:inline>
            <wp:extent cx="5255999" cy="839095"/>
            <wp:effectExtent b="0" l="0" r="0" t="0"/>
            <wp:docPr descr="" title="" id="10" name="Picture"/>
            <a:graphic>
              <a:graphicData uri="http://schemas.openxmlformats.org/drawingml/2006/picture">
                <pic:pic>
                  <pic:nvPicPr>
                    <pic:cNvPr descr="assets/kpi-logo.png" id="11" name="Picture"/>
                    <pic:cNvPicPr>
                      <a:picLocks noChangeArrowheads="1" noChangeAspect="1"/>
                    </pic:cNvPicPr>
                  </pic:nvPicPr>
                  <pic:blipFill>
                    <a:blip r:embed="rId9"/>
                    <a:stretch>
                      <a:fillRect/>
                    </a:stretch>
                  </pic:blipFill>
                  <pic:spPr bwMode="auto">
                    <a:xfrm>
                      <a:off x="0" y="0"/>
                      <a:ext cx="5255999" cy="839095"/>
                    </a:xfrm>
                    <a:prstGeom prst="rect">
                      <a:avLst/>
                    </a:prstGeom>
                    <a:noFill/>
                    <a:ln w="9525">
                      <a:noFill/>
                      <a:headEnd/>
                      <a:tailEnd/>
                    </a:ln>
                  </pic:spPr>
                </pic:pic>
              </a:graphicData>
            </a:graphic>
          </wp:inline>
        </w:drawing>
      </w:r>
    </w:p>
    <w:p>
      <w:pPr>
        <w:pStyle w:val="TitlePage"/>
      </w:pPr>
      <w:r>
        <w:t xml:space="preserve">Міністерство освіти та науки України</w:t>
      </w:r>
    </w:p>
    <w:p>
      <w:pPr>
        <w:pStyle w:val="TitlePage"/>
      </w:pPr>
      <w:r>
        <w:t xml:space="preserve">Національний технічний університет України</w:t>
      </w:r>
    </w:p>
    <w:p>
      <w:pPr>
        <w:pStyle w:val="TitlePage"/>
      </w:pPr>
      <w:r>
        <w:t xml:space="preserve">«Київський політехнічний інститут імені Ігоря Сікорського»</w:t>
      </w:r>
    </w:p>
    <w:p>
      <w:pPr>
        <w:pStyle w:val="TitlePage"/>
      </w:pPr>
      <w:r>
        <w:t xml:space="preserve">Факультет інформатики та обчислювальної техніки</w:t>
      </w:r>
    </w:p>
    <w:p>
      <w:pPr>
        <w:pStyle w:val="TitlePage"/>
      </w:pPr>
      <w:r>
        <w:t xml:space="preserve">Кафедра обчислювальної техніки</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Практична робота</w:t>
      </w:r>
    </w:p>
    <w:p>
      <w:pPr>
        <w:pStyle w:val="TitlePage"/>
      </w:pPr>
      <w:r>
        <w:t xml:space="preserve">з дисципліни «Права і свободи людини»</w:t>
      </w:r>
    </w:p>
    <w:p>
      <w:pPr>
        <w:pStyle w:val="TitlePage"/>
      </w:pPr>
      <w:r>
        <w:t xml:space="preserve">Практичне заняття № 9</w:t>
      </w:r>
    </w:p>
    <w:p>
      <w:pPr>
        <w:pStyle w:val="TitlePage"/>
      </w:pPr>
      <w:r>
        <w:t xml:space="preserve">«Засади антикорупційної політики КПІ ім. Ігоря Сікорського»</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Left"/>
      </w:pPr>
      <w:r>
        <w:rPr>
          <w:b/>
          <w:bCs/>
          <w:u w:val="single"/>
        </w:rPr>
        <w:t xml:space="preserve">Виконав:</w:t>
      </w:r>
    </w:p>
    <w:p>
      <w:pPr>
        <w:pStyle w:val="TitlePageLeft"/>
      </w:pPr>
      <w:r>
        <w:rPr>
          <w:i/>
          <w:iCs/>
        </w:rPr>
        <w:t xml:space="preserve">Студент IV курсу</w:t>
      </w:r>
    </w:p>
    <w:p>
      <w:pPr>
        <w:pStyle w:val="TitlePageLeft"/>
      </w:pPr>
      <w:r>
        <w:rPr>
          <w:i/>
          <w:iCs/>
        </w:rPr>
        <w:t xml:space="preserve">гр. ІП-33</w:t>
      </w:r>
    </w:p>
    <w:p>
      <w:pPr>
        <w:pStyle w:val="TitlePageLeft"/>
      </w:pPr>
      <w:r>
        <w:t xml:space="preserve">Соколов Олександр</w:t>
      </w:r>
    </w:p>
    <w:p>
      <w:pPr>
        <w:pStyle w:val="TitlePageLeft"/>
      </w:pPr>
      <w:r>
        <w:rPr>
          <w:b/>
          <w:bCs/>
          <w:u w:val="single"/>
        </w:rPr>
        <w:t xml:space="preserve">Прийняв:</w:t>
      </w:r>
    </w:p>
    <w:p>
      <w:pPr>
        <w:pStyle w:val="TitlePageLeft"/>
      </w:pPr>
      <w:r>
        <w:t xml:space="preserve">«___» ____________ 2026 р.</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Київ – 2026</w:t>
      </w:r>
    </w:p>
    <w:p>
      <w:r>
        <w:br w:type="page"/>
      </w:r>
    </w:p>
    <w:bookmarkStart w:id="26" w:name="відповіді-на-питання-для-обговорення"/>
    <w:p>
      <w:pPr>
        <w:pStyle w:val="Heading1"/>
      </w:pPr>
      <w:r>
        <w:t xml:space="preserve">Відповіді на питання для обговорення</w:t>
      </w:r>
    </w:p>
    <w:p>
      <w:pPr>
        <w:pStyle w:val="FirstParagraph"/>
      </w:pPr>
      <w:r>
        <w:t xml:space="preserve">Нормативні акти наведено за станом на жовтень 2026 року.</w:t>
      </w:r>
    </w:p>
    <w:bookmarkStart w:id="12" w:name="X804d6b1ddb953624d542ecb5c42cfb848cce26c"/>
    <w:p>
      <w:pPr>
        <w:pStyle w:val="Heading2"/>
      </w:pPr>
      <w:r>
        <w:t xml:space="preserve">1.1. Корупція: поняття та ознаки корупційних і пов’язаних з корупцією правопорушень</w:t>
      </w:r>
    </w:p>
    <w:p>
      <w:pPr>
        <w:pStyle w:val="FirstParagraph"/>
      </w:pPr>
      <w:r>
        <w:t xml:space="preserve">Згідно зі ст. 1 Закону України «Про запобігання корупції» від 14.10.2014 № 1700-VII (далі – ЗПК), корупція – це використання особою, зазначеною в ч. 1 ст. 3 Закону, наданих їй службових повноважень чи пов’язаних з ними можливостей з метою одержання неправомірної вигоди або прийняття такої вигоди чи обіцянки або пропозиції такої вигоди для себе чи інших осіб, а також обіцянка, пропозиція чи надання неправомірної вигоди такій особі або на її вимогу іншим особам, щоб схилити її до протиправного використання повноважень.</w:t>
      </w:r>
    </w:p>
    <w:p>
      <w:pPr>
        <w:pStyle w:val="BodyText"/>
      </w:pPr>
      <w:r>
        <w:t xml:space="preserve">Корупційне правопорушення – діяння, що містить ознаки корупції, вчинене такою особою, за яке законом встановлено кримінальну, дисциплінарну та/або цивільно-правову відповідальність. Правопорушення, пов’язане з корупцією, – діяння, що не містить ознак корупції, але порушує встановлені ЗПК вимоги, заборони та обмеження, за що передбачено кримінальну, адміністративну, дисциплінарну та/або цивільно-правову відповідальність.</w:t>
      </w:r>
    </w:p>
    <w:p>
      <w:pPr>
        <w:pStyle w:val="BodyText"/>
      </w:pPr>
      <w:r>
        <w:t xml:space="preserve">Ознаки: спеціальний суб’єкт (особи за ст. 3 ЗПК); зв’язок діяння зі службовими повноваженнями; мета – неправомірна вигода; винність; протиправність; караність. До корупційних належать, зокрема, злочини за ст. 368, 369, 369-2 Кримінального кодексу України. До пов’язаних з корупцією – порушення обмежень щодо сумісництва, подарунків, фінансового контролю, конфлікту інтересів, незаконне використання інформації та невжиття заходів протидії корупції (ст. 172-4–172-9 КУпАП). Відповідальність за такі діяння визначає ст. 65-1 ЗПК.</w:t>
      </w:r>
    </w:p>
    <w:bookmarkEnd w:id="12"/>
    <w:bookmarkStart w:id="13" w:name="Xe293bce3a667d083cc4573f71685f09cf6b8208"/>
    <w:p>
      <w:pPr>
        <w:pStyle w:val="Heading2"/>
      </w:pPr>
      <w:r>
        <w:t xml:space="preserve">1.2. Передумови виникнення корупції та її негативний вплив на суспільство і державу</w:t>
      </w:r>
    </w:p>
    <w:p>
      <w:pPr>
        <w:pStyle w:val="FirstParagraph"/>
      </w:pPr>
      <w:r>
        <w:t xml:space="preserve">Передумови корупції поділяють на правові, економічні, політичні та соціально-психологічні. Правові: широкі дискреційні повноваження посадових осіб, складні й непрозорі процедури, прогалини та суперечності в законодавстві, непослідовне застосування відповідальності. Саме тому ЗПК передбачає антикорупційну експертизу нормативних актів і оцінювання корупційних ризиків. Економічні: тіньова економіка, залежність бізнесу від рішень органів влади, недостатня оплата праці у публічній сфері. Політичні: злиття бізнесу та влади, непрозоре фінансування політики, слабка підзвітність. Соціально-психологічні: терпимість до «подяк» і неформальних рішень, правовий нігілізм, низька правова культура.</w:t>
      </w:r>
    </w:p>
    <w:p>
      <w:pPr>
        <w:pStyle w:val="BodyText"/>
      </w:pPr>
      <w:r>
        <w:t xml:space="preserve">Негативний вплив: корупція підриває верховенство права та рівність перед законом, спотворює конкуренцію й зменшує інвестиційну привабливість, призводить до втрат державного бюджету, знижує якість публічних послуг і довіру до держави. Вона порушує права людини, зокрема на справедливий суд, освіту й охорону здоров’я. В освіті корупція знецінює дипломи та руйнує академічну доброчесність.</w:t>
      </w:r>
    </w:p>
    <w:p>
      <w:pPr>
        <w:pStyle w:val="BodyText"/>
      </w:pPr>
      <w:r>
        <w:t xml:space="preserve">Державна відповідь – Антикорупційна стратегія, затверджена Законом «Про засади державної антикорупційної політики на 2021–2025 роки» від 20.06.2022 № 2322-IX, яка реалізується державною антикорупційною програмою. На рівні університету – Антикорупційна програма КПІ ім. Ігоря Сікорського.</w:t>
      </w:r>
    </w:p>
    <w:bookmarkEnd w:id="13"/>
    <w:bookmarkStart w:id="14" w:name="X98d02702a50b6be50e0529d60edcb1e853600a9"/>
    <w:p>
      <w:pPr>
        <w:pStyle w:val="Heading2"/>
      </w:pPr>
      <w:r>
        <w:t xml:space="preserve">1.3. Загальна характеристика інституту викривання: становлення та розвиток</w:t>
      </w:r>
    </w:p>
    <w:p>
      <w:pPr>
        <w:pStyle w:val="FirstParagraph"/>
      </w:pPr>
      <w:r>
        <w:t xml:space="preserve">Викривання (whistleblowing) – повідомлення особою, якій стала відома інформація у зв’язку з роботою чи навчанням, про порушення, що загрожує суспільним інтересам. Перші закони з’явилися у США. Закон про неправдиві вимоги 1863 року (False Claims Act) дозволив приватним особам повідомляти про шахрайство із держзамовленнями та отримувати частку відшкодування. Закон про захист викривачів 1989 року (Whistleblower Protection Act) захистив федеральних службовців. Після корпоративних скандалів ухвалено Закон Сарбейнза–Окслі 2002 року та Закон Додда–Френка 2010 року. У Європі першим комплексним актом став британський Закон про розкриття інформації в суспільних інтересах 1998 року (Public Interest Disclosure Act, PIDA).</w:t>
      </w:r>
    </w:p>
    <w:p>
      <w:pPr>
        <w:pStyle w:val="BodyText"/>
      </w:pPr>
      <w:r>
        <w:t xml:space="preserve">Міжнародним орієнтиром стала Конвенція ООН проти корупції 2003 року, ст. 33 якої закликає держави розглянути захист осіб, які повідомляють про корупцію. Згодом ухвалено Рекомендацію Комітету міністрів Ради Європи CM/Rec(2014)7 від 30.04.2014 та Директиву ЄС 2019/1937.</w:t>
      </w:r>
    </w:p>
    <w:p>
      <w:pPr>
        <w:pStyle w:val="BodyText"/>
      </w:pPr>
      <w:r>
        <w:t xml:space="preserve">Розвиток інституту йшов від заохочення доносів до комплексного захисту: заборони переслідування, конфіденційності, звільнення від відповідальності, багаторівневих каналів повідомлення (внутрішніх, зовнішніх, публічного розкриття). В Україні інститут сформувався системно у 2019–2021 роках змінами до ЗПК (питання 1.4).</w:t>
      </w:r>
    </w:p>
    <w:bookmarkEnd w:id="14"/>
    <w:bookmarkStart w:id="15" w:name="X149012ada996b15010f6d0d6292560df68e360d"/>
    <w:p>
      <w:pPr>
        <w:pStyle w:val="Heading2"/>
      </w:pPr>
      <w:r>
        <w:t xml:space="preserve">1.4. Викривачі в Україні: розвиток законодавства України про викривачів</w:t>
      </w:r>
    </w:p>
    <w:p>
      <w:pPr>
        <w:pStyle w:val="FirstParagraph"/>
      </w:pPr>
      <w:r>
        <w:t xml:space="preserve">Основа – ЗПК від 14.10.2014 № 1700-VII. Статус викривачів закріплено Законом від 17.10.2019 № 198-IX «Про внесення змін до Закону України</w:t>
      </w:r>
      <w:r>
        <w:t xml:space="preserve"> </w:t>
      </w:r>
      <w:r>
        <w:t xml:space="preserve">“Про запобігання корупції”</w:t>
      </w:r>
      <w:r>
        <w:t xml:space="preserve"> </w:t>
      </w:r>
      <w:r>
        <w:t xml:space="preserve">щодо викривачів корупції», чинним з 01.01.2020. Він ввів визначення викривача (ст. 1) і Розділ VIII «Захист викривачів»: державний захист (ст. 53), права та гарантії (ст. 53-3), захист трудових прав (ст. 53-4), конфіденційність та анонімність (ст. 53-5), винагороду в розмірі 10 відсотків від предмета корупційного злочину чи завданих збитків (ст. 53-7), звільнення від відповідальності (ст. 53-8). Також змінено КЗпП: ст. 2-1 та ч. 4 ст. 235. Закон від 02.10.2019 № 140-IX запровадив уповноважені підрозділи (ст. 13-1).</w:t>
      </w:r>
    </w:p>
    <w:p>
      <w:pPr>
        <w:pStyle w:val="BodyText"/>
      </w:pPr>
      <w:r>
        <w:t xml:space="preserve">Закон від 01.06.2021 № 1502-IX «щодо упорядкування окремих питань захисту викривачів» розрізнив внутрішні, регулярні та зовнішні канали повідомлення, запровадив Єдиний портал повідомлень викривачів (ст. 53-1) і порядок розгляду повідомлень (ст. 53-2). Закон від 10.04.2023 № 3022-IX «щодо спрощення доступу до безоплатної правничої допомоги» уточнив право викривача на безоплатну правничу допомогу. Повноваження уповноважених підрозділів у цій сфері визначає ст. 53-9. Нагляд за виконанням закону здійснює НАЗК (ч. 7 ст. 53).</w:t>
      </w:r>
    </w:p>
    <w:bookmarkEnd w:id="15"/>
    <w:bookmarkStart w:id="16" w:name="міжнародний-досвід-захисту-викривачів"/>
    <w:p>
      <w:pPr>
        <w:pStyle w:val="Heading2"/>
      </w:pPr>
      <w:r>
        <w:t xml:space="preserve">1.5. Міжнародний досвід захисту викривачів</w:t>
      </w:r>
    </w:p>
    <w:p>
      <w:pPr>
        <w:pStyle w:val="FirstParagraph"/>
      </w:pPr>
      <w:r>
        <w:t xml:space="preserve">Універсальний стандарт – ст. 33 Конвенції ООН проти корупції 2003 року. У Європі діють два ключові акти. Рекомендація Комітету міністрів Ради Європи CM/Rec(2014)7 від 30.04.2014 не є обов’язковою, але містить принципи: широке коло осіб і порушень, нормативна основа, канали повідомлення, конфіденційність, захист від переслідування, консультування та оцінювання національних систем.</w:t>
      </w:r>
    </w:p>
    <w:p>
      <w:pPr>
        <w:pStyle w:val="BodyText"/>
      </w:pPr>
      <w:r>
        <w:t xml:space="preserve">Директива (ЄС) 2019/1937 від 23.10.2019 «про захист осіб, які повідомляють про порушення законодавства Союзу» є обов’язковою для держав-членів. Строк імплементації – 17.12.2021, а для приватних організацій із 50–249 працівників обов’язок створити внутрішні канали – 17.12.2023. Директива передбачає три рівні повідомлення (внутрішній, зовнішній, публічне розкриття), підтвердження отримання повідомлення протягом семи днів, зворотний зв’язок у розумний строк, що не перевищує трьох місяців, заборону репресій і перенесення тягаря доведення на особу, яка вжила негативних заходів.</w:t>
      </w:r>
    </w:p>
    <w:p>
      <w:pPr>
        <w:pStyle w:val="BodyText"/>
      </w:pPr>
      <w:r>
        <w:t xml:space="preserve">У США викривачів захищають закони 1989 і 2002 років, а за Законом Додда–Френка програма Комісії з цінних паперів і бірж виплачує винагороду 10–30 відсотків стягнутих коштів, якщо санкції перевищують 1 мільйон доларів. У Великій Британії діє PIDA 1998 року: захист від звільнення та негативних наслідків і розгляд позовів трудовими трибуналами.</w:t>
      </w:r>
    </w:p>
    <w:bookmarkEnd w:id="16"/>
    <w:bookmarkStart w:id="17" w:name="X572a379dc98d76e287a6799e7551d7efcb07c4b"/>
    <w:p>
      <w:pPr>
        <w:pStyle w:val="Heading2"/>
      </w:pPr>
      <w:r>
        <w:t xml:space="preserve">1.6. Правовий статус викривача: права та гарантії</w:t>
      </w:r>
    </w:p>
    <w:p>
      <w:pPr>
        <w:pStyle w:val="FirstParagraph"/>
      </w:pPr>
      <w:r>
        <w:t xml:space="preserve">Викривач – фізична особа, яка за наявності переконання в достовірності інформації повідомила про можливі корупційні або пов’язані з корупцією правопорушення, інші порушення ЗПК, що стали їй відомі у зв’язку з трудовою, професійною, господарською, громадською, науковою діяльністю, службою чи навчанням (ст. 1 ЗПК). Права виникають з моменту повідомлення, поширюються на близьких осіб (ст. 53-3).</w:t>
      </w:r>
    </w:p>
    <w:p>
      <w:pPr>
        <w:pStyle w:val="BodyText"/>
      </w:pPr>
      <w:r>
        <w:t xml:space="preserve">Викривач має право: знати свої права та обов’язки, подавати докази, отримати підтвердження реєстрації повідомлення, на конфіденційність і анонімність, безоплатну правничу допомогу, безпеку у разі загрози, відшкодування витрат, винагороду, психологічну допомогу, інформацію про стан і результати розгляду (ст. 53-6 – не пізніше п’яти днів після заяви).</w:t>
      </w:r>
    </w:p>
    <w:p>
      <w:pPr>
        <w:pStyle w:val="BodyText"/>
      </w:pPr>
      <w:r>
        <w:t xml:space="preserve">Трудові гарантії (ст. 53-4): заборона звільнення, дисциплінарних стягнень та інших негативних заходів, зокрема формально правомірних вибіркових рішень; негайне поновлення на роботі з виплатою середнього заробітку за вимушений прогул, але не більш як за один рік; у разі відмови від поновлення – компенсація у розмірі шестимісячного, а за неможливості поновлення – дворічного середнього заробітку.</w:t>
      </w:r>
    </w:p>
    <w:p>
      <w:pPr>
        <w:pStyle w:val="BodyText"/>
      </w:pPr>
      <w:r>
        <w:t xml:space="preserve">Викривач не несе юридичної відповідальності за повідомлення та звільняється від цивільно-правової відповідальності, крім завідомо неправдивого повідомлення (ст. 53-8). Розкривати відомості про викривача заборонено (ст. 53-5). Держава захищає викривача також за Законом про безпеку осіб, які беруть участь у кримінальному судочинстві (ст. 53).</w:t>
      </w:r>
    </w:p>
    <w:bookmarkEnd w:id="17"/>
    <w:bookmarkStart w:id="18" w:name="порядок-повідомлення-про-корупцію"/>
    <w:p>
      <w:pPr>
        <w:pStyle w:val="Heading2"/>
      </w:pPr>
      <w:r>
        <w:t xml:space="preserve">1.7. Порядок повідомлення про корупцію</w:t>
      </w:r>
    </w:p>
    <w:p>
      <w:pPr>
        <w:pStyle w:val="FirstParagraph"/>
      </w:pPr>
      <w:r>
        <w:t xml:space="preserve">Викривач самостійно обирає канал повідомлення (ч. 1 ст. 53-2 ЗПК). Внутрішні канали – повідомлення керівнику чи уповноваженому підрозділу (особі) органу або юридичної особи, де викривач працює чи навчається. Регулярні канали – повідомлення прокуратурі, Національній поліції, НАБУ, ДБР і НАЗК. Зовнішні – повідомлення через фізичних і юридичних осіб, зокрема медіа, журналістів, громадські об’єднання. Повідомлення можна подати через Єдиний портал повідомлень викривачів або спеціальні телефонні лінії, у тому числі анонімно; інформацію з інших каналів вносять до порталу не пізніше наступного робочого дня (ст. 53-1).</w:t>
      </w:r>
    </w:p>
    <w:p>
      <w:pPr>
        <w:pStyle w:val="BodyText"/>
      </w:pPr>
      <w:r>
        <w:t xml:space="preserve">Повідомлення має містити фактичні дані, які можна перевірити (ч. 2 ст. 53-2). Для інформації з обмеженим доступом зовнішні канали допускаються, якщо внутрішні та регулярні канали не дали результату, внутрішні канали будуть неефективними через суспільний інтерес, до викривача застосовано негативні заходи, відповідних каналів немає або існує загроза знищення доказів (ч. 4 ст. 53-2).</w:t>
      </w:r>
    </w:p>
    <w:p>
      <w:pPr>
        <w:pStyle w:val="BodyText"/>
      </w:pPr>
      <w:r>
        <w:t xml:space="preserve">У КПІ повідомити можна електронною поштою anticor@kpi.ua, письмово на адресу 03056, м. Київ, пр. Берестейський, 37, через Telegram-бот чи за телефоном відділу з питань запобігання та виявлення корупції (сторінка kpi.ua/anticor), а також безпосередньо ректору (Антикорупційна програма, п. 3.1 розд. VII).</w:t>
      </w:r>
    </w:p>
    <w:bookmarkEnd w:id="18"/>
    <w:bookmarkStart w:id="19" w:name="X7bbf26654be60ec9587db85c25689db224e1c68"/>
    <w:p>
      <w:pPr>
        <w:pStyle w:val="Heading2"/>
      </w:pPr>
      <w:r>
        <w:t xml:space="preserve">1.8. Процедура розгляду повідомлень про корупцію</w:t>
      </w:r>
    </w:p>
    <w:p>
      <w:pPr>
        <w:pStyle w:val="FirstParagraph"/>
      </w:pPr>
      <w:r>
        <w:t xml:space="preserve">Порядок розгляду визначає ст. 53-2 ЗПК. Повідомлення підлягає попередньому розгляду уповноваженою особою протягом не більше десяти робочих днів з дня внесення до Єдиного порталу повідомлень викривачів. Якщо воно не відповідає вимогам закону, його розглядають як звернення громадян; якщо не належить до компетенції органу, розгляд припиняють і роз’яснюють, куди звертатися. Якщо інформація стосується уповноваженої особи, порядок розгляду визначає керівник; якщо керівника – повідомлення протягом трьох днів надсилають суб’єкту, уповноваженому на розгляд.</w:t>
      </w:r>
    </w:p>
    <w:p>
      <w:pPr>
        <w:pStyle w:val="BodyText"/>
      </w:pPr>
      <w:r>
        <w:t xml:space="preserve">За підтвердження фактів винних притягають до дисциплінарної відповідальності. Дисциплінарне провадження триває до 30 днів, за потреби – до 45 днів, повторне продовження не допускається. За ознак корупційного чи пов’язаного з корупцією правопорушення матеріали передають спеціально уповноваженому суб’єкту у сфері протидії корупції або ДБР; про такі факти слід письмово повідомити протягом 24 годин (ч. 6 ст. 53). Викривачеві протягом трьох днів надають детальну інформацію про результати попереднього розгляду та провадження.</w:t>
      </w:r>
    </w:p>
    <w:p>
      <w:pPr>
        <w:pStyle w:val="BodyText"/>
      </w:pPr>
      <w:r>
        <w:t xml:space="preserve">У КПІ внутрішнє розслідування проводить комісія за участю Уповноваженого протягом 30 днів, а за рішенням ректора – 45 днів (Антикорупційна програма, розд. VII, п. 4).</w:t>
      </w:r>
    </w:p>
    <w:bookmarkEnd w:id="19"/>
    <w:bookmarkStart w:id="20" w:name="антикорупційна-політика-університету"/>
    <w:p>
      <w:pPr>
        <w:pStyle w:val="Heading2"/>
      </w:pPr>
      <w:r>
        <w:t xml:space="preserve">1.9. Антикорупційна політика Університету</w:t>
      </w:r>
    </w:p>
    <w:p>
      <w:pPr>
        <w:pStyle w:val="FirstParagraph"/>
      </w:pPr>
      <w:r>
        <w:t xml:space="preserve">Антикорупційна політика КПІ ім. Ігоря Сікорського – документ «Антикорупційна політика університету, політика протидії хабарництву та розвитку доброчесності», що розвиває Антикорупційну програму, затверджену наказом № НУ/99/2023 від 08.06.2023. Політика проголошує принцип нульової терпимості до корупції та хабарництва в усіх формах і ставить мету створити етичне середовище, де чесність, прозорість і відповідальність є основними цінностями.</w:t>
      </w:r>
    </w:p>
    <w:p>
      <w:pPr>
        <w:pStyle w:val="BodyText"/>
      </w:pPr>
      <w:r>
        <w:t xml:space="preserve">Серед дванадцяти завдань політики: запобігання корупції через внутрішній контроль, комплаєнс, формування доброчесного середовища, антикорупційна освіта та включення відповідного модуля до освітніх програм, виявлення й оцінка корупційних ризиків, регулярні аудити, захист і заохочення викривачів, співпраця з громадськістю та правоохоронцями. Принципи політики – відповідальне лідерство, прозорість, підзвітність, управління ризиками, незалежність контролю, захист викривачів, нульова терпимість, процедури подання скарг, внутрішній контроль.</w:t>
      </w:r>
    </w:p>
    <w:p>
      <w:pPr>
        <w:pStyle w:val="BodyText"/>
      </w:pPr>
      <w:r>
        <w:t xml:space="preserve">Політика містить зобов’язання університету у сферах управління, освіти, науки, виховання, господарської діяльності, комунікацій, фінансів, трудових відносин і міжнародної діяльності. Статус і повноваження уповноваженої особи названо гарантією дотримання політики.</w:t>
      </w:r>
    </w:p>
    <w:bookmarkEnd w:id="20"/>
    <w:bookmarkStart w:id="21" w:name="антикорупційна-програма-університету"/>
    <w:p>
      <w:pPr>
        <w:pStyle w:val="Heading2"/>
      </w:pPr>
      <w:r>
        <w:t xml:space="preserve">1.10. Антикорупційна програма Університету</w:t>
      </w:r>
    </w:p>
    <w:p>
      <w:pPr>
        <w:pStyle w:val="FirstParagraph"/>
      </w:pPr>
      <w:r>
        <w:t xml:space="preserve">Згідно зі ст. 62 ЗПК антикорупційна програма юридичної особи – комплекс правил, стандартів і процедур щодо виявлення, протидії та запобігання корупції; вона затверджується після обговорення з працівниками та має бути у відкритому доступі. Зміст програми орієнтує ст. 63 Закону.</w:t>
      </w:r>
    </w:p>
    <w:p>
      <w:pPr>
        <w:pStyle w:val="BodyText"/>
      </w:pPr>
      <w:r>
        <w:t xml:space="preserve">Антикорупційну програму КПІ ухвалила Конференція трудового колективу 20.04.2023 і затверджено наказом № НУ/99/2023 від 08.06.2023; попередня діяла з 2015 року. Мета оновлення – впровадити засади Антикорупційної стратегії на 2021–2025 роки та підвищити ефективність запобігання корупції. Програма обов’язкова для ректора, проректорів, керівників підрозділів, працівників, представників Університету та осіб, які навчаються в ньому.</w:t>
      </w:r>
    </w:p>
    <w:p>
      <w:pPr>
        <w:pStyle w:val="BodyText"/>
      </w:pPr>
      <w:r>
        <w:t xml:space="preserve">Структура: І. Загальні положення; ІІ. Права, обов’язки, заборони; ІІІ. Правовий статус Уповноваженого; IV. Управління корупційними ризиками; V. Просвітницькі заходи; VI. Заходи запобігання та перевірки (конфлікт інтересів, ділові партнери, подарунки, кандидати на посади); VII. Повідомлення, їх перевірка та відповідальність; VIII. Нагляд, контроль і внесення змін. Уповноважений не рідше ніж раз на шість місяців готує звіт про виконання програми й не рідше ніж раз на рік організовує оцінювання результатів. Результати моніторингу оприлюднюють на сайті університету.</w:t>
      </w:r>
    </w:p>
    <w:bookmarkEnd w:id="21"/>
    <w:bookmarkStart w:id="22" w:name="X9e6d632d2d323082ff5de9ed6010dd86b24d070"/>
    <w:p>
      <w:pPr>
        <w:pStyle w:val="Heading2"/>
      </w:pPr>
      <w:r>
        <w:t xml:space="preserve">1.11. Працівники закладу вищої освіти як суб’єкти, на яких поширюється дія антикорупційного законодавства</w:t>
      </w:r>
    </w:p>
    <w:p>
      <w:pPr>
        <w:pStyle w:val="FirstParagraph"/>
      </w:pPr>
      <w:r>
        <w:t xml:space="preserve">Коло суб’єктів визначає ч. 1 ст. 3 ЗПК. Заклад вищої освіти – юридична особа приватного або публічного права (ст. 1 Закону «Про вищу освіту»). Для державного закладу це означає, що суб’єктами за пп. «а» п. 2 ч. 1 ст. 3 ЗПК є посадові особи юридичних осіб публічного права: за ст. 1 ЗПК це керівник, заступники керівника, головний бухгалтер, голова та члени наглядової ради та іншого органу управління, передбаченого законом або статутом. Для КПІ це ректор, проректори та інші особи, які входять до цього переліку. На них поширюються обмеження щодо використання службових повноважень (ст. 22), подарунків (ст. 23), сумісництва (ст. 25), вимоги щодо конфлікту інтересів (ст. 28) та відповідальність за ст. 172-4–172-9 КУпАП і ст. 368 ККУ.</w:t>
      </w:r>
    </w:p>
    <w:p>
      <w:pPr>
        <w:pStyle w:val="BodyText"/>
      </w:pPr>
      <w:r>
        <w:t xml:space="preserve">Решта працівників, зокрема викладачі, не є суб’єктами ст. 3, але відповідають за ККУ, якщо виконують організаційно-розпорядчі чи адміністративно-господарські функції і тому є службовими особами (примітка до ст. 364 ККУ). Крім того, вони зобов’язані дотримуватися Антикорупційної програми, положення про яку включають до трудових договорів. Посадові особи юридичних осіб публічного права мають негайно, протягом 24 годин, письмово повідомити про виявлене корупційне правопорушення (ч. 6 ст. 53 ЗПК).</w:t>
      </w:r>
    </w:p>
    <w:bookmarkEnd w:id="22"/>
    <w:bookmarkStart w:id="23" w:name="X34ec5fc269ea238308ce26c0530821fa211bcdb"/>
    <w:p>
      <w:pPr>
        <w:pStyle w:val="Heading2"/>
      </w:pPr>
      <w:r>
        <w:t xml:space="preserve">1.12. Здобувачі вищої освіти як суб’єкти, на яких поширюється дія антикорупційного законодавства</w:t>
      </w:r>
    </w:p>
    <w:p>
      <w:pPr>
        <w:pStyle w:val="FirstParagraph"/>
      </w:pPr>
      <w:r>
        <w:t xml:space="preserve">Здобувачі вищої освіти не названі в ч. 1 ст. 3 ЗПК, тому не є суб’єктами цього Закону: на них не поширюються обмеження щодо подарунків, сумісництва чи конфлікту інтересів, а також відповідальність за ст. 172-4–172-9 КУпАП. Виняток – ситуація, коли особа водночас належить до кола ст. 3, наприклад, є державним службовцем.</w:t>
      </w:r>
    </w:p>
    <w:p>
      <w:pPr>
        <w:pStyle w:val="BodyText"/>
      </w:pPr>
      <w:r>
        <w:t xml:space="preserve">Проте антикорупційне законодавство їх не оминає. По-перше, будь-яка особа несе кримінальну відповідальність за пропозицію, обіцянку чи надання неправомірної вигоди службовій особі (ст. 369 ККУ) та за зловживання впливом (ст. 369-2 ККУ). Чи є викладач службовою особою, залежить від виконуваних ним функцій (примітка до ст. 364 ККУ). По-друге, студент може бути викривачем: ст. 1 ЗПК охоплює інформацію, що стала відома у зв’язку з навчанням, а внутрішні канали повідомлення включають заклад, де особа навчається. По-третє, Антикорупційна програма КПІ обов’язкова й для осіб, які навчаються, а Уповноважений контролює її дотримання здобувачами. По-четверте, здобувач зобов’язаний дотримуватися академічної доброчесності (п. 1-1 ч. 1 ст. 63 Закону «Про вищу освіту», ст. 42 Закону «Про освіту»); заходи реагування визначають спеціальний закон про академічну доброчесність і внутрішні акти закладу.</w:t>
      </w:r>
    </w:p>
    <w:bookmarkEnd w:id="23"/>
    <w:bookmarkStart w:id="24" w:name="X47950e611f6adf5eeb142fea35993dc8f1c0cb7"/>
    <w:p>
      <w:pPr>
        <w:pStyle w:val="Heading2"/>
      </w:pPr>
      <w:r>
        <w:t xml:space="preserve">1.13. Правовий статус уповноваженої особи з питань запобігання та виявлення корупції</w:t>
      </w:r>
    </w:p>
    <w:p>
      <w:pPr>
        <w:pStyle w:val="FirstParagraph"/>
      </w:pPr>
      <w:r>
        <w:t xml:space="preserve">Уповноважений – посадова особа юридичної особи, яку призначає керівник відповідно до законодавства про працю в порядку, передбаченому антикорупційною програмою (ст. 64 ЗПК). Ст. 65 ЗПК виключено, тому статус визначають ст. 64, ст. 13-1 і Типове положення про уповноважений підрозділ (уповноважену особу), затверджене наказом НАЗК від 27.05.2021 № 277/21.</w:t>
      </w:r>
    </w:p>
    <w:p>
      <w:pPr>
        <w:pStyle w:val="BodyText"/>
      </w:pPr>
      <w:r>
        <w:t xml:space="preserve">Уповноваженою може бути особа з відповідними діловими й моральними якостями та станом здоров’я. Не може бути призначена особа з непогашеною судимістю, визнана недієздатною, а також звільнена з державних органів за порушення присяги чи корупційне правопорушення протягом трьох років. Посада несумісна з роботою на посадах за п. 1 ч. 1 ст. 3 ЗПК та діяльністю, що створює конфлікт інтересів.</w:t>
      </w:r>
    </w:p>
    <w:p>
      <w:pPr>
        <w:pStyle w:val="BodyText"/>
      </w:pPr>
      <w:r>
        <w:t xml:space="preserve">Гарантії: незалежність від втручання, окреме приміщення та ресурси (п. 4–5 Типового положення), звільнення за ініціативою керівника – за згодою НАЗК (п. 2 ч. 5 ст. 64). Основні завдання: заходи запобігання, оцінка корупційних ризиків, консультування, виявлення конфлікту інтересів, перевірка декларацій, контроль за дотриманням законодавства, розгляд повідомлень, захист викривачів (ч. 6 ст. 13-1, ст. 53-9). У КПІ Уповноважений підпорядкований і підзвітний ректору, а Програма закріплює 30 обов’язків і 22 права, зокрема участь у внутрішніх розслідуваннях.</w:t>
      </w:r>
    </w:p>
    <w:bookmarkEnd w:id="24"/>
    <w:bookmarkStart w:id="25" w:name="Xc70d6c71c50eb87221f49ce068b5af2feb6e445"/>
    <w:p>
      <w:pPr>
        <w:pStyle w:val="Heading2"/>
      </w:pPr>
      <w:r>
        <w:t xml:space="preserve">1.14. Прийняття та розгляд повідомлень про можливі факти корупційних або пов’язаних з корупцією правопорушень</w:t>
      </w:r>
    </w:p>
    <w:p>
      <w:pPr>
        <w:pStyle w:val="FirstParagraph"/>
      </w:pPr>
      <w:r>
        <w:t xml:space="preserve">Прийняття повідомлень в Університеті організовує Уповноважений (п. 2.1 розд. III Антикорупційної програми, ст. 53-9 ЗПК). Повідомлення подають електронною поштою anticor@kpi.ua, письмово, через Telegram-бот, телефоном, ректору чи на mail@kpi.ua або через Єдиний портал повідомлень викривачів; анонімне повідомлення розглядають, якщо воно стосується конкретної особи й містить факти, які можна перевірити (п. 1.9 розд. VII Програми). Інформацію вносять до порталу не пізніше наступного робочого дня.</w:t>
      </w:r>
    </w:p>
    <w:p>
      <w:pPr>
        <w:pStyle w:val="BodyText"/>
      </w:pPr>
      <w:r>
        <w:t xml:space="preserve">Далі Уповноважений проводить попередню перевірку в строк до десяти робочих днів і за її результатами приймає одне з рішень: вжити заходів щодо припинення порушення, призначити внутрішнє розслідування, протягом 24 годин письмово повідомити спеціально уповноважений суб’єкт у сфері протидії корупції, закрити провадження. Якщо інформація стосується ректора, її без перевірки протягом трьох днів надсилають суб’єкту, уповноваженому на розгляд, і копію – НАЗК.</w:t>
      </w:r>
    </w:p>
    <w:p>
      <w:pPr>
        <w:pStyle w:val="BodyText"/>
      </w:pPr>
      <w:r>
        <w:t xml:space="preserve">Внутрішнє розслідування проводить комісія з участю Уповноваженого до 30 днів (до 45 – за рішенням ректора). Підсумок: припинення порушення, дисциплінарне стягнення, усунення причин, відновлення прав або передача матеріалів до органу досудового розслідування. Відділ кадрів надсилає до НАЗК копію наказу про стягнення за корупційне правопорушення для внесення до Єдиного державного реєстру осіб, які вчинили такі правопорушення.</w:t>
      </w:r>
    </w:p>
    <w:bookmarkEnd w:id="25"/>
    <w:bookmarkEnd w:id="26"/>
    <w:bookmarkStart w:id="30" w:name="використані-джерела"/>
    <w:p>
      <w:pPr>
        <w:pStyle w:val="Heading1"/>
      </w:pPr>
      <w:r>
        <w:t xml:space="preserve">Використані джерела</w:t>
      </w:r>
    </w:p>
    <w:bookmarkStart w:id="27" w:name="законодавство-україни"/>
    <w:p>
      <w:pPr>
        <w:pStyle w:val="Heading3"/>
      </w:pPr>
      <w:r>
        <w:t xml:space="preserve">Законодавство України</w:t>
      </w:r>
    </w:p>
    <w:p>
      <w:pPr>
        <w:pStyle w:val="Compact"/>
        <w:numPr>
          <w:ilvl w:val="0"/>
          <w:numId w:val="1001"/>
        </w:numPr>
        <w:jc w:val="left"/>
      </w:pPr>
      <w:r>
        <w:t xml:space="preserve">Закон України «Про запобігання корупції» від 14.10.2014 № 1700-VII (ст. 1, 3, 13-1, 18, 19, 22–28, 53–53-9, 62–64, 65-1). https://zakon.rada.gov.ua/laws/show/1700-18</w:t>
      </w:r>
    </w:p>
    <w:p>
      <w:pPr>
        <w:pStyle w:val="Compact"/>
        <w:numPr>
          <w:ilvl w:val="0"/>
          <w:numId w:val="1001"/>
        </w:numPr>
        <w:jc w:val="left"/>
      </w:pPr>
      <w:r>
        <w:t xml:space="preserve">Закон України від 17.10.2019 № 198-IX «Про внесення змін до Закону України</w:t>
      </w:r>
      <w:r>
        <w:t xml:space="preserve"> </w:t>
      </w:r>
      <w:r>
        <w:t xml:space="preserve">“Про запобігання корупції”</w:t>
      </w:r>
      <w:r>
        <w:t xml:space="preserve"> </w:t>
      </w:r>
      <w:r>
        <w:t xml:space="preserve">щодо викривачів корупції». https://zakon.rada.gov.ua/laws/show/198-20</w:t>
      </w:r>
    </w:p>
    <w:p>
      <w:pPr>
        <w:pStyle w:val="Compact"/>
        <w:numPr>
          <w:ilvl w:val="0"/>
          <w:numId w:val="1001"/>
        </w:numPr>
        <w:jc w:val="left"/>
      </w:pPr>
      <w:r>
        <w:t xml:space="preserve">Закон України від 01.06.2021 № 1502-IX «Про внесення змін до Закону України</w:t>
      </w:r>
      <w:r>
        <w:t xml:space="preserve"> </w:t>
      </w:r>
      <w:r>
        <w:t xml:space="preserve">“Про запобігання корупції”</w:t>
      </w:r>
      <w:r>
        <w:t xml:space="preserve"> </w:t>
      </w:r>
      <w:r>
        <w:t xml:space="preserve">щодо упорядкування окремих питань захисту викривачів». https://zakon.rada.gov.ua/laws/show/1502-20</w:t>
      </w:r>
    </w:p>
    <w:p>
      <w:pPr>
        <w:pStyle w:val="Compact"/>
        <w:numPr>
          <w:ilvl w:val="0"/>
          <w:numId w:val="1001"/>
        </w:numPr>
        <w:jc w:val="left"/>
      </w:pPr>
      <w:r>
        <w:t xml:space="preserve">Закон України від 10.04.2023 № 3022-IX «Про внесення змін до деяких законодавчих актів України щодо спрощення доступу до безоплатної правничої допомоги». https://zakon.rada.gov.ua/laws/show/3022-20</w:t>
      </w:r>
    </w:p>
    <w:p>
      <w:pPr>
        <w:pStyle w:val="Compact"/>
        <w:numPr>
          <w:ilvl w:val="0"/>
          <w:numId w:val="1001"/>
        </w:numPr>
        <w:jc w:val="left"/>
      </w:pPr>
      <w:r>
        <w:t xml:space="preserve">Закон України «Про засади державної антикорупційної політики на 2021–2025 роки» (Антикорупційна стратегія). https://zakon.rada.gov.ua/laws/show/2322-20</w:t>
      </w:r>
    </w:p>
    <w:p>
      <w:pPr>
        <w:pStyle w:val="Compact"/>
        <w:numPr>
          <w:ilvl w:val="0"/>
          <w:numId w:val="1001"/>
        </w:numPr>
        <w:jc w:val="left"/>
      </w:pPr>
      <w:r>
        <w:t xml:space="preserve">Кримінальний кодекс України (ст. 364 з приміткою, ст. 368, 369, 369-2). https://zakon.rada.gov.ua/laws/show/2341-14</w:t>
      </w:r>
    </w:p>
    <w:p>
      <w:pPr>
        <w:pStyle w:val="Compact"/>
        <w:numPr>
          <w:ilvl w:val="0"/>
          <w:numId w:val="1001"/>
        </w:numPr>
        <w:jc w:val="left"/>
      </w:pPr>
      <w:r>
        <w:t xml:space="preserve">Кодекс України про адміністративні правопорушення (ст. 172-4–172-9). https://zakon.rada.gov.ua/laws/show/80731-10</w:t>
      </w:r>
    </w:p>
    <w:p>
      <w:pPr>
        <w:pStyle w:val="Compact"/>
        <w:numPr>
          <w:ilvl w:val="0"/>
          <w:numId w:val="1001"/>
        </w:numPr>
        <w:jc w:val="left"/>
      </w:pPr>
      <w:r>
        <w:t xml:space="preserve">Закон України «Про вищу освіту» (ст. 1, ст. 63). https://zakon.rada.gov.ua/laws/show/1556-18</w:t>
      </w:r>
    </w:p>
    <w:p>
      <w:pPr>
        <w:pStyle w:val="Compact"/>
        <w:numPr>
          <w:ilvl w:val="0"/>
          <w:numId w:val="1001"/>
        </w:numPr>
        <w:jc w:val="left"/>
      </w:pPr>
      <w:r>
        <w:t xml:space="preserve">Закон України «Про освіту» (ст. 42). https://zakon.rada.gov.ua/laws/show/2145-19</w:t>
      </w:r>
    </w:p>
    <w:p>
      <w:pPr>
        <w:pStyle w:val="Compact"/>
        <w:numPr>
          <w:ilvl w:val="0"/>
          <w:numId w:val="1001"/>
        </w:numPr>
        <w:jc w:val="left"/>
      </w:pPr>
      <w:r>
        <w:t xml:space="preserve">Наказ НАЗК від 27.05.2021 № 277/21 «Про затвердження Типового положення про уповноважений підрозділ (уповноважену особу) з питань запобігання та виявлення корупції». https://zakon.rada.gov.ua/laws/show/z0914-21</w:t>
      </w:r>
    </w:p>
    <w:bookmarkEnd w:id="27"/>
    <w:bookmarkStart w:id="28" w:name="документи-кпі-ім.-ігоря-сікорського"/>
    <w:p>
      <w:pPr>
        <w:pStyle w:val="Heading3"/>
      </w:pPr>
      <w:r>
        <w:t xml:space="preserve">Документи КПІ ім. Ігоря Сікорського</w:t>
      </w:r>
    </w:p>
    <w:p>
      <w:pPr>
        <w:pStyle w:val="Compact"/>
        <w:numPr>
          <w:ilvl w:val="0"/>
          <w:numId w:val="1002"/>
        </w:numPr>
        <w:jc w:val="left"/>
      </w:pPr>
      <w:r>
        <w:t xml:space="preserve">Антикорупційна програма КПІ ім. Ігоря Сікорського, 2023 (наказ № НУ/99/2023 від 08.06.2023). https://kpi.ua/files/program-anticor-2023.pdf</w:t>
      </w:r>
    </w:p>
    <w:p>
      <w:pPr>
        <w:pStyle w:val="Compact"/>
        <w:numPr>
          <w:ilvl w:val="0"/>
          <w:numId w:val="1002"/>
        </w:numPr>
        <w:jc w:val="left"/>
      </w:pPr>
      <w:r>
        <w:t xml:space="preserve">Пояснювальна записка до проєкту Антикорупційної програми КПІ. https://kpi.ua/files/anticor-2023-info.pdf</w:t>
      </w:r>
    </w:p>
    <w:p>
      <w:pPr>
        <w:pStyle w:val="Compact"/>
        <w:numPr>
          <w:ilvl w:val="0"/>
          <w:numId w:val="1002"/>
        </w:numPr>
        <w:jc w:val="left"/>
      </w:pPr>
      <w:r>
        <w:t xml:space="preserve">Антикорупційна політика університету, політика протидії хабарництву та розвитку доброчесності (копія на сайті ІСЗЗІ). https://icd.kpi.ua/wp-content/uploads/7-Антикорупційна-політика.pdf</w:t>
      </w:r>
    </w:p>
    <w:p>
      <w:pPr>
        <w:pStyle w:val="Compact"/>
        <w:numPr>
          <w:ilvl w:val="0"/>
          <w:numId w:val="1002"/>
        </w:numPr>
        <w:jc w:val="left"/>
      </w:pPr>
      <w:r>
        <w:t xml:space="preserve">Сторінка «Антикорупційні заходи» (канали повідомлення). https://kpi.ua/anticor</w:t>
      </w:r>
    </w:p>
    <w:p>
      <w:pPr>
        <w:pStyle w:val="Compact"/>
        <w:numPr>
          <w:ilvl w:val="0"/>
          <w:numId w:val="1002"/>
        </w:numPr>
        <w:jc w:val="left"/>
      </w:pPr>
      <w:r>
        <w:t xml:space="preserve">Антикорупційний портал КПІ. https://anticor.kpi.ua/</w:t>
      </w:r>
    </w:p>
    <w:bookmarkEnd w:id="28"/>
    <w:bookmarkStart w:id="29" w:name="міжнародні-акти"/>
    <w:p>
      <w:pPr>
        <w:pStyle w:val="Heading3"/>
      </w:pPr>
      <w:r>
        <w:t xml:space="preserve">Міжнародні акти</w:t>
      </w:r>
    </w:p>
    <w:p>
      <w:pPr>
        <w:pStyle w:val="Compact"/>
        <w:numPr>
          <w:ilvl w:val="0"/>
          <w:numId w:val="1003"/>
        </w:numPr>
        <w:jc w:val="left"/>
      </w:pPr>
      <w:r>
        <w:t xml:space="preserve">Директива (ЄС) 2019/1937 від 23.10.2019 про захист осіб, які повідомляють про порушення законодавства Союзу (ст. 26 – строки імплементації; ст. 8 – внутрішні канали). https://legislation.gov.uk/eudr/2019/1937/pdfs/eudr_20191937_adopted_en.pdf</w:t>
      </w:r>
    </w:p>
    <w:p>
      <w:pPr>
        <w:pStyle w:val="Compact"/>
        <w:numPr>
          <w:ilvl w:val="0"/>
          <w:numId w:val="1003"/>
        </w:numPr>
        <w:jc w:val="left"/>
      </w:pPr>
      <w:r>
        <w:t xml:space="preserve">Рекомендація Комітету міністрів Ради Європи CM/Rec(2014)7 від 30.04.2014 про захист викривачів. https://rm.coe.int/16807096c7</w:t>
      </w:r>
    </w:p>
    <w:p>
      <w:pPr>
        <w:pStyle w:val="Compact"/>
        <w:numPr>
          <w:ilvl w:val="0"/>
          <w:numId w:val="1003"/>
        </w:numPr>
        <w:jc w:val="left"/>
      </w:pPr>
      <w:r>
        <w:t xml:space="preserve">Public Interest Disclosure Act 1998 (Велика Британія). https://www.legislation.gov.uk/ukpga/1998/23/contents</w:t>
      </w:r>
    </w:p>
    <w:p>
      <w:pPr>
        <w:pStyle w:val="Compact"/>
        <w:numPr>
          <w:ilvl w:val="0"/>
          <w:numId w:val="1003"/>
        </w:numPr>
        <w:jc w:val="left"/>
      </w:pPr>
      <w:r>
        <w:t xml:space="preserve">SEC Office of the Whistleblower (програма винагород). https://www.sec.gov/whistleblower</w:t>
      </w:r>
    </w:p>
    <w:bookmarkEnd w:id="29"/>
    <w:bookmarkEnd w:id="30"/>
    <w:sectPr>
      <w:pgSz w:h="16838" w:w="11906"/>
      <w:pgMar w:bottom="1134" w:footer="708" w:gutter="0" w:header="708" w:left="1418"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suff w:val="space"/>
      <w:lvlText w:val=" "/>
      <w:lvlJc w:val="left"/>
      <w:pPr>
        <w:ind w:left="0" w:firstLine="709"/>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suff w:val="space"/>
      <w:lvlText w:val="%1."/>
      <w:lvlJc w:val="left"/>
      <w:pPr>
        <w:ind w:left="0" w:firstLine="709"/>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suff w:val="space"/>
      <w:lvlText w:val="%1."/>
      <w:lvlJc w:val="left"/>
      <w:pPr>
        <w:ind w:left="0" w:firstLine="709"/>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suff w:val="space"/>
      <w:lvlText w:val="%1."/>
      <w:lvlJc w:val="left"/>
      <w:pPr>
        <w:ind w:left="0" w:firstLine="709"/>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ind w:firstLine="709"/>
      <w:jc w:val="both"/>
    </w:pPr>
    <w:rPr>
      <w:rFonts w:ascii="Times New Roman" w:cs="Times New Roman" w:eastAsia="Times New Roman" w:hAnsi="Times New Roman"/>
    </w:rPr>
  </w:style>
  <w:style w:styleId="BodyText" w:type="paragraph">
    <w:name w:val="Body Text"/>
    <w:basedOn w:val="Normal"/>
    <w:link w:val="BodyTextChar"/>
    <w:qFormat/>
    <w:pPr>
      <w:ind w:firstLine="709"/>
      <w:jc w:val="both"/>
    </w:pPr>
  </w:style>
  <w:style w:customStyle="1" w:styleId="FirstParagraph" w:type="paragraph">
    <w:name w:val="First Paragraph"/>
    <w:basedOn w:val="BodyText"/>
    <w:next w:val="BodyText"/>
    <w:qFormat/>
    <w:pPr>
      <w:ind w:firstLine="709"/>
      <w:jc w:val="both"/>
    </w:pPr>
  </w:style>
  <w:style w:customStyle="1" w:styleId="Compact" w:type="paragraph">
    <w:name w:val="Compact"/>
    <w:basedOn w:val="BodyText"/>
    <w:qFormat/>
    <w:pPr>
      <w:ind w:firstLine="0" w:left="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ind w:firstLine="0" w:left="0"/>
      <w:jc w:val="center"/>
    </w:pPr>
    <w:rPr>
      <w:b/>
      <w:caps/>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ind w:firstLine="0" w:left="0"/>
    </w:pPr>
    <w:rPr>
      <w:b/>
      <w:sz w:val="28"/>
      <w:szCs w:val="28"/>
    </w:rPr>
  </w:style>
  <w:style w:styleId="Heading3" w:type="paragraph">
    <w:name w:val="heading 3"/>
    <w:basedOn w:val="Normal"/>
    <w:next w:val="BodyText"/>
    <w:link w:val="Heading3Char"/>
    <w:uiPriority w:val="9"/>
    <w:semiHidden/>
    <w:unhideWhenUsed/>
    <w:qFormat/>
    <w:rsid w:val="00A10FD9"/>
    <w:pPr>
      <w:keepNext/>
      <w:keepLines/>
      <w:spacing w:after="60" w:before="120" w:line="360" w:lineRule="auto"/>
      <w:ind w:firstLine="0" w:left="0"/>
    </w:pPr>
    <w:rPr>
      <w:b/>
      <w:sz w:val="28"/>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360" w:lineRule="auto"/>
      <w:ind w:firstLine="0" w:left="0"/>
    </w:pPr>
    <w:rPr>
      <w:i/>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240" w:lineRule="auto"/>
      <w:ind w:firstLine="0" w:left="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left="0"/>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28"/>
        <w:left w:type="dxa" w:w="85"/>
        <w:bottom w:type="dxa" w:w="28"/>
        <w:right w:type="dxa" w:w="85"/>
      </w:tblCellMar>
    </w:tblPr>
    <w:tblStylePr w:type="firstRow">
      <w:pPr>
        <w:jc w:val="center"/>
      </w:p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line="240" w:lineRule="auto"/>
      <w:ind w:firstLine="0" w:left="0"/>
      <w:jc w:val="center"/>
    </w:pPr>
  </w:style>
  <w:style w:customStyle="1" w:styleId="TableCaption" w:type="paragraph">
    <w:name w:val="Table Caption"/>
    <w:basedOn w:val="Caption"/>
    <w:pPr>
      <w:spacing w:after="240" w:before="0" w:line="240" w:lineRule="auto"/>
      <w:ind w:firstLine="0" w:left="0"/>
      <w:jc w:val="center"/>
    </w:pPr>
  </w:style>
  <w:style w:customStyle="1" w:styleId="ImageCaption" w:type="paragraph">
    <w:name w:val="Image Caption"/>
    <w:basedOn w:val="Caption"/>
    <w:pPr>
      <w:spacing w:after="240" w:before="0" w:line="240" w:lineRule="auto"/>
      <w:ind w:firstLine="0" w:left="0"/>
      <w:jc w:val="center"/>
    </w:pPr>
  </w:style>
  <w:style w:customStyle="1" w:styleId="Figure" w:type="paragraph">
    <w:name w:val="Figure"/>
    <w:basedOn w:val="Normal"/>
    <w:pPr>
      <w:keepNext/>
      <w:keepLines/>
      <w:spacing w:after="60" w:before="240" w:line="240" w:lineRule="auto"/>
      <w:ind w:firstLine="0" w:left="0"/>
      <w:jc w:val="center"/>
    </w:pPr>
  </w:style>
  <w:style w:customStyle="1" w:styleId="CaptionedFigure" w:type="paragraph">
    <w:name w:val="Captioned Figure"/>
    <w:basedOn w:val="Figure"/>
    <w:pPr>
      <w:keepNext/>
      <w:keepLines/>
      <w:spacing w:after="60" w:before="240" w:line="240" w:lineRule="auto"/>
      <w:ind w:firstLine="0" w:left="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pacing w:after="0" w:before="0" w:line="240" w:lineRule="auto"/>
      <w:ind w:firstLine="0" w:left="0"/>
      <w:jc w:val="left"/>
    </w:pPr>
    <w:rPr>
      <w:rFonts w:ascii="Courier New" w:cs="Courier New" w:eastAsia="Courier New" w:hAnsi="Courier New"/>
      <w:sz w:val="20"/>
      <w:szCs w:val="20"/>
    </w:rPr>
  </w:style>
  <w:style w:styleId="TitlePage" w:type="paragraph">
    <w:name w:val="Титульний"/>
    <w:basedOn w:val="Normal"/>
    <w:qFormat/>
    <w:pPr>
      <w:spacing w:after="0" w:before="0" w:line="240" w:lineRule="auto"/>
      <w:ind w:firstLine="0" w:left="0"/>
      <w:jc w:val="center"/>
    </w:pPr>
  </w:style>
  <w:style w:styleId="TitlePageLeft" w:type="paragraph">
    <w:name w:val="Титульний лівий"/>
    <w:basedOn w:val="Normal"/>
    <w:qFormat/>
    <w:pPr>
      <w:spacing w:after="0" w:before="0" w:line="240" w:lineRule="auto"/>
      <w:ind w:firstLine="0" w:left="709"/>
      <w:jc w:val="left"/>
    </w:pPr>
  </w:style>
  <w:style w:styleId="FigureImage" w:type="paragraph">
    <w:name w:val="Рисунок"/>
    <w:basedOn w:val="Normal"/>
    <w:qFormat/>
    <w:pPr>
      <w:keepNext/>
      <w:keepLines/>
      <w:spacing w:after="60" w:before="240" w:line="240" w:lineRule="auto"/>
      <w:ind w:firstLine="0" w:left="0"/>
      <w:jc w:val="center"/>
    </w:pPr>
  </w:style>
  <w:style w:styleId="FigureCaption" w:type="paragraph">
    <w:name w:val="Підпис"/>
    <w:basedOn w:val="Normal"/>
    <w:qFormat/>
    <w:pPr>
      <w:spacing w:after="240" w:before="0" w:line="240" w:lineRule="auto"/>
      <w:ind w:firstLine="0" w:left="0"/>
      <w:jc w:val="center"/>
    </w:pPr>
  </w:style>
  <w:style w:styleId="TOC1" w:type="paragraph">
    <w:name w:val="toc 1"/>
    <w:basedOn w:val="Normal"/>
    <w:next w:val="Normal"/>
    <w:uiPriority w:val="39"/>
    <w:unhideWhenUsed/>
    <w:pPr>
      <w:spacing w:after="0" w:before="0" w:line="360" w:lineRule="auto"/>
      <w:tabs>
        <w:tab w:leader="dot" w:pos="9354" w:val="right"/>
      </w:tabs>
      <w:ind w:firstLine="0" w:left="0"/>
      <w:jc w:val="left"/>
    </w:pPr>
  </w:style>
  <w:style w:styleId="TOC2" w:type="paragraph">
    <w:name w:val="toc 2"/>
    <w:basedOn w:val="Normal"/>
    <w:next w:val="Normal"/>
    <w:uiPriority w:val="39"/>
    <w:unhideWhenUsed/>
    <w:pPr>
      <w:spacing w:after="0" w:before="0" w:line="360" w:lineRule="auto"/>
      <w:tabs>
        <w:tab w:leader="dot" w:pos="9354" w:val="right"/>
      </w:tabs>
      <w:ind w:firstLine="0" w:left="284"/>
      <w:jc w:val="left"/>
    </w:pPr>
  </w:style>
  <w:style w:styleId="TableCaptionOwn" w:type="paragraph">
    <w:name w:val="Підпис таблиці"/>
    <w:basedOn w:val="Normal"/>
    <w:qFormat/>
    <w:pPr>
      <w:keepNext/>
      <w:keepLines/>
      <w:spacing w:after="60" w:before="240" w:line="240" w:lineRule="auto"/>
      <w:ind w:firstLine="0" w:left="0"/>
      <w:jc w:val="lef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2026-10-27T21:16:09Z</dcterms:created>
  <dcterms:modified xsi:type="dcterms:W3CDTF">2026-10-27T21:16:09Z</dcterms:modified>
</cp:coreProperties>
</file>

<file path=docProps/custom.xml><?xml version="1.0" encoding="utf-8"?>
<Properties xmlns="http://schemas.openxmlformats.org/officeDocument/2006/custom-properties" xmlns:vt="http://schemas.openxmlformats.org/officeDocument/2006/docPropsVTypes"/>
</file>