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line="276" w:lineRule="auto"/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spacing w:line="276" w:lineRule="auto"/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spacing w:line="276" w:lineRule="auto"/>
        <w:jc w:val="center"/>
      </w:pPr>
      <w:r>
        <w:rPr>
          <w:b w:val="0"/>
          <w:i w:val="0"/>
        </w:rPr>
        <w:t>Факультет інформатики та обчислювальної техніки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3960000" cy="63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3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b/>
          <w:i w:val="0"/>
        </w:rPr>
        <w:t>ПРАКТИЧНА РОБОТА № 4</w:t>
      </w:r>
    </w:p>
    <w:p>
      <w:pPr>
        <w:jc w:val="center"/>
      </w:pPr>
      <w:r>
        <w:rPr>
          <w:b w:val="0"/>
          <w:i w:val="0"/>
        </w:rPr>
        <w:t>з дисципліни «Права і свободи людини»</w:t>
      </w:r>
    </w:p>
    <w:p>
      <w:pPr>
        <w:jc w:val="center"/>
      </w:pPr>
      <w:r>
        <w:rPr>
          <w:b w:val="0"/>
          <w:i w:val="0"/>
        </w:rPr>
        <w:t>Тема 4. Основи публічного права (конституційне право, кримінальне право, адміністративне право)</w:t>
      </w:r>
    </w:p>
    <w:p>
      <w:pPr>
        <w:jc w:val="center"/>
      </w:pPr>
      <w:r>
        <w:rPr>
          <w:b w:val="0"/>
          <w:i/>
        </w:rPr>
        <w:t>Кваліфікація кримінальних правопорушень: склад злочину (злочинів)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spacing w:line="276" w:lineRule="auto"/>
        <w:jc w:val="right"/>
      </w:pPr>
      <w:r>
        <w:rPr>
          <w:b w:val="0"/>
          <w:i w:val="0"/>
        </w:rPr>
        <w:t>Виконав: студент IV курсу групи ІП-33</w:t>
      </w:r>
    </w:p>
    <w:p>
      <w:pPr>
        <w:spacing w:line="276" w:lineRule="auto"/>
        <w:jc w:val="right"/>
      </w:pPr>
      <w:r>
        <w:rPr>
          <w:b w:val="0"/>
          <w:i w:val="0"/>
        </w:rPr>
        <w:t>Соколов Олександр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b w:val="0"/>
          <w:i w:val="0"/>
        </w:rPr>
        <w:t>Київ – 2026</w:t>
      </w:r>
      <w:r>
        <w:br w:type="page"/>
      </w:r>
    </w:p>
    <w:p>
      <w:pPr>
        <w:pStyle w:val="Heading1"/>
      </w:pPr>
      <w:r>
        <w:t>1. Умова задачі</w:t>
      </w:r>
    </w:p>
    <w:p>
      <w:pPr>
        <w:ind w:firstLine="709"/>
        <w:jc w:val="both"/>
      </w:pPr>
      <w:r>
        <w:rPr>
          <w:b w:val="0"/>
          <w:i/>
        </w:rPr>
        <w:t>«Група студентів з 5 осіб вирішила створити власну ІТ компанію. Для отримання швидкого стартового капіталу ними було створено та розповсюджено ПО для автоматизації роботи підприємств, яке: збирало конфіденційну інформацію, за нерозголошення якої в подальшому вимагали кошти шляхом надсилання листів з погрозами; надавало доступ до приватних комп’ютерних систем співробітників та/або блокувало їх роботу до введення коду, тобто містило віруси, прогами-вимагачі та шпигунські прогами. Код, так званий «викуп» можна було отримати після оплати коштів на надісланий зловмисниками рахунок. Загалом постраждалим було завдано збитків на 150 млн. доларів США.»</w:t>
      </w:r>
    </w:p>
    <w:p>
      <w:pPr>
        <w:ind w:firstLine="709"/>
        <w:jc w:val="both"/>
      </w:pPr>
      <w:r>
        <w:rPr>
          <w:b w:val="0"/>
          <w:i w:val="0"/>
        </w:rPr>
        <w:t>Завдання: написати склад злочину (злочинів) за ознаками – суб’єкт, суб’єктивна сторона, об’єкт, об’єктивна сторона.</w:t>
      </w:r>
    </w:p>
    <w:p>
      <w:pPr>
        <w:pStyle w:val="Heading1"/>
      </w:pPr>
      <w:r>
        <w:t>2. Правова оцінка діяння</w:t>
      </w:r>
    </w:p>
    <w:p>
      <w:pPr>
        <w:ind w:firstLine="709"/>
        <w:jc w:val="both"/>
      </w:pPr>
      <w:r>
        <w:rPr>
          <w:b w:val="0"/>
          <w:i w:val="0"/>
        </w:rPr>
        <w:t>Поведінку групи можна розкласти на чотири взаємопов’язані епізоди, кожен з яких має власну кримінально-правову оцінку за Кримінальним кодексом України (ККУ, редакція від 18.09.2026):</w:t>
      </w:r>
    </w:p>
    <w:p>
      <w:pPr>
        <w:ind w:left="709" w:hanging="340"/>
        <w:jc w:val="both"/>
      </w:pPr>
      <w:r>
        <w:rPr>
          <w:b w:val="0"/>
          <w:i w:val="0"/>
        </w:rPr>
        <w:t>– створення й розповсюдження програмного забезпечення з вірусами, програмами-вимагачами та шпигунськими програмами – ст. 361-1 ККУ;</w:t>
      </w:r>
    </w:p>
    <w:p>
      <w:pPr>
        <w:ind w:left="709" w:hanging="340"/>
        <w:jc w:val="both"/>
      </w:pPr>
      <w:r>
        <w:rPr>
          <w:b w:val="0"/>
          <w:i w:val="0"/>
        </w:rPr>
        <w:t>– збут чи розповсюдження вже зібраної інформації з обмеженим доступом – ст. 361-2 ККУ, але лише за умови, що таке розповсюдження було (в умові є тільки погроза нерозголошення);</w:t>
      </w:r>
    </w:p>
    <w:p>
      <w:pPr>
        <w:ind w:left="709" w:hanging="340"/>
        <w:jc w:val="both"/>
      </w:pPr>
      <w:r>
        <w:rPr>
          <w:b w:val="0"/>
          <w:i w:val="0"/>
        </w:rPr>
        <w:t>– доступ до приватних комп’ютерних систем, збирання інформації та блокування їх роботи – ст. 361 ККУ;</w:t>
      </w:r>
    </w:p>
    <w:p>
      <w:pPr>
        <w:ind w:left="709" w:hanging="340"/>
        <w:jc w:val="both"/>
      </w:pPr>
      <w:r>
        <w:rPr>
          <w:b w:val="0"/>
          <w:i w:val="0"/>
        </w:rPr>
        <w:t>– вимога грошей за нерозголошення інформації та за код розблокування, підкріплена погрозами, – ст. 189 ККУ.</w:t>
      </w:r>
    </w:p>
    <w:p>
      <w:pPr>
        <w:ind w:firstLine="709"/>
        <w:jc w:val="both"/>
      </w:pPr>
      <w:r>
        <w:rPr>
          <w:b w:val="0"/>
          <w:i w:val="0"/>
        </w:rPr>
        <w:t>Усі діяння вчинено умисно, з корисливим мотивом, групою з п’яти осіб. Склади розписано в таблицях 1–4.</w:t>
      </w:r>
    </w:p>
    <w:p>
      <w:pPr>
        <w:pStyle w:val="Heading1"/>
      </w:pPr>
      <w:r>
        <w:t>3. Склад злочинів</w:t>
      </w:r>
    </w:p>
    <w:p>
      <w:pPr>
        <w:keepNext/>
        <w:spacing w:line="240" w:lineRule="auto" w:after="80" w:before="160"/>
        <w:jc w:val="left"/>
      </w:pPr>
      <w:r>
        <w:rPr>
          <w:b w:val="0"/>
          <w:i w:val="0"/>
        </w:rPr>
        <w:t>Таблиця 1 – Склад злочину за ч. 2 ст. 361-1 ККУ (створення і розповсюдження шкідливих програмних засобів)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 злочину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Суб’єктивна сторона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 злочину</w:t>
            </w:r>
          </w:p>
        </w:tc>
        <w:tc>
          <w:tcPr>
            <w:tcW w:type="dxa" w:w="345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Об’єктивна сторона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Загальний: фізичні осудні особи, яким до вчинення діяння виповнилося 16 років (ст. 18, ч. 1 ст. 22 ККУ). П’ятеро студентів – співвиконавці (ч. 2 ст. 27 ККУ), які діяли за попередньою змовою групою осіб (ч. 2 ст. 28 ККУ).</w:t>
            </w:r>
          </w:p>
        </w:tc>
        <w:tc>
          <w:tcPr>
            <w:tcW w:type="dxa" w:w="204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Прямий умисел: особи усвідомлювали, що створене ПЗ шкідливе, і бажали його створити та розповсюдити. Обов’язкова ознака – мета протиправного використання, розповсюдження чи збуту.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Мотив корисливий: «швидкий стартовий капітал».</w:t>
            </w:r>
          </w:p>
        </w:tc>
        <w:tc>
          <w:tcPr>
            <w:tcW w:type="dxa" w:w="226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Родовий – відносини у сфері використання комп’ютерів, систем і мереж (розділ XVI ККУ).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Безпосередній – безпечне функціонування інформаційних та електронних комунікаційних систем і мереж (конфіденційність, цілісність, доступність інформації).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Предмет – шкідливі програмні засоби: віруси, програми-вимагачі, шпигунські програми.</w:t>
            </w:r>
          </w:p>
        </w:tc>
        <w:tc>
          <w:tcPr>
            <w:tcW w:type="dxa" w:w="345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Діяння: створення та подальше розповсюдження ПЗ, призначеного для несанкціонованого втручання в роботу систем (поширювалося під виглядом ПЗ для автоматизації підприємств).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Склад формальний: закінчений із моменту створення (за наявності мети) чи розповсюдження.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Кваліфікуючі ознаки ч. 2: за попередньою змовою групою осіб; значна шкода (примітка до ст. 361 – 300 і більше неоподатковуваних мінімумів доходів громадян).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Санкція ч. 2: позбавлення волі до п’яти років (нетяжкий злочин, ч. 4 ст. 12 ККУ).</w:t>
            </w:r>
          </w:p>
        </w:tc>
      </w:tr>
    </w:tbl>
    <w:p>
      <w:pPr>
        <w:keepNext/>
        <w:spacing w:line="240" w:lineRule="auto" w:after="80" w:before="160"/>
        <w:jc w:val="left"/>
      </w:pPr>
      <w:r>
        <w:rPr>
          <w:b w:val="0"/>
          <w:i w:val="0"/>
        </w:rPr>
        <w:t>Таблиця 2 – Склад злочину за ч. 2 ст. 361-2 ККУ (несанкціоновані збут або розповсюдження інформації з обмеженим доступом) – за наявності факту збуту чи розповсюдження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 злочину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Суб’єктивна сторона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 злочину</w:t>
            </w:r>
          </w:p>
        </w:tc>
        <w:tc>
          <w:tcPr>
            <w:tcW w:type="dxa" w:w="345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Об’єктивна сторона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Загальний: фізичні осудні особи з 16 років; співвиконавці за попередньою змовою групою осіб (ч. 2 ст. 28 ККУ).</w:t>
            </w:r>
          </w:p>
        </w:tc>
        <w:tc>
          <w:tcPr>
            <w:tcW w:type="dxa" w:w="204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Прямий умисел: усвідомлювали, що інформація має обмежений доступ і збувають чи розповсюджують її без дозволу власника. Мотив корисливий.</w:t>
            </w:r>
          </w:p>
        </w:tc>
        <w:tc>
          <w:tcPr>
            <w:tcW w:type="dxa" w:w="226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Родовий – розділ XVI ККУ.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Безпосередній – охорона інформації з обмеженим доступом, що зберігається в комп’ютерах, системах, мережах чи на носіях.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Предмет – інформація з обмеженим доступом, створена та захищена відповідно до законодавства.</w:t>
            </w:r>
          </w:p>
        </w:tc>
        <w:tc>
          <w:tcPr>
            <w:tcW w:type="dxa" w:w="345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Діяння: збут або розповсюдження такої інформації (оприлюднення, передача третім особам).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Склад формальний. Кваліфікуючі ознаки ч. 2: за попередньою змовою групою осіб; значна шкода.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Санкція ч. 2: позбавлення волі від 2 до 5 років.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Примітка: в умові задачі йдеться лише про погрозу нерозголошення, яка охоплюється ст. 189 ККУ. Без доведеного факту збуту чи розповсюдження склад за ст. 361-2 не виникає.</w:t>
            </w:r>
          </w:p>
        </w:tc>
      </w:tr>
    </w:tbl>
    <w:p>
      <w:pPr>
        <w:keepNext/>
        <w:spacing w:line="240" w:lineRule="auto" w:after="80" w:before="160"/>
        <w:jc w:val="left"/>
      </w:pPr>
      <w:r>
        <w:rPr>
          <w:b w:val="0"/>
          <w:i w:val="0"/>
        </w:rPr>
        <w:t>Таблиця 3 – Склад злочину за ст. 361 ККУ (несанкціоноване втручання в роботу інформаційних, електронних комунікаційних, інформаційно-комунікаційних систем, електронних комунікаційних мереж)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 злочину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Суб’єктивна сторона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 злочину</w:t>
            </w:r>
          </w:p>
        </w:tc>
        <w:tc>
          <w:tcPr>
            <w:tcW w:type="dxa" w:w="345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Об’єктивна сторона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Загальний: фізичні осудні особи з 16 років (ст. 18, ч. 1 ст. 22 ККУ); п’ятеро студентів – співвиконавці, група за попередньою змовою (ч. 2 ст. 28 ККУ).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Ознак спеціального суб’єкта немає: права доступу до чужих систем ці особи не мали, тому ст. 362 ККУ не застосовується.</w:t>
            </w:r>
          </w:p>
        </w:tc>
        <w:tc>
          <w:tcPr>
            <w:tcW w:type="dxa" w:w="204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Прямий умисел щодо самого втручання: усвідомлювали, що діють без дозволу власників і користувачів. До наслідків (блокування, втрата, витік інформації, шкода) ставлення – умисел: вони передбачали такі наслідки й бажали їх як спосіб тиску.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Мета – примусити потерпілих сплатити «викуп»; мотив корисливий.</w:t>
            </w:r>
          </w:p>
        </w:tc>
        <w:tc>
          <w:tcPr>
            <w:tcW w:type="dxa" w:w="226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Родовий – розділ XVI ККУ.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Безпосередній – безпечне функціонування систем і мереж, права їх власників і користувачів на інформацію та її захист.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Предмет – приватні комп’ютерні системи співробітників і підприємств та інформація в них.</w:t>
            </w:r>
          </w:p>
        </w:tc>
        <w:tc>
          <w:tcPr>
            <w:tcW w:type="dxa" w:w="345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Діяння: через встановлене ПЗ отримували доступ до приватних комп’ютерних систем, збирали інформацію, блокували роботу систем до введення коду.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Наслідки: блокування та витік інформації (ч. 3), значна шкода – збитки на 150 млн дол. США (ч. 4; примітка до ст. 361: 300 і більше неоподатковуваних мінімумів). Причинний зв’язок між втручанням і шкодою є. Склад матеріальний.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Кваліфікація: за найсуворішою частиною – ч. 4 (ознаки ч. 2 і ч. 3 нею охоплюються). Санкція ч. 4: позбавлення волі від 8 до 12 років з позбавленням права обіймати певні посади чи займатися певною діяльністю на строк до 3 років або без такого – особливо тяжкий злочин (ч. 6, 7 ст. 12 ККУ). Якщо діяння тривали під час воєнного стану – ч. 5 (від 10 до 15 років).</w:t>
            </w:r>
          </w:p>
        </w:tc>
      </w:tr>
    </w:tbl>
    <w:p>
      <w:pPr>
        <w:keepNext/>
        <w:spacing w:line="240" w:lineRule="auto" w:after="80" w:before="160"/>
        <w:jc w:val="left"/>
      </w:pPr>
      <w:r>
        <w:rPr>
          <w:b w:val="0"/>
          <w:i w:val="0"/>
        </w:rPr>
        <w:t>Таблиця 4 – Склад злочину за ч. 4 ст. 189 ККУ (вимагання)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 злочину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Суб’єктивна сторона</w:t>
            </w:r>
          </w:p>
        </w:tc>
        <w:tc>
          <w:tcPr>
            <w:tcW w:type="dxa" w:w="226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 злочину</w:t>
            </w:r>
          </w:p>
        </w:tc>
        <w:tc>
          <w:tcPr>
            <w:tcW w:type="dxa" w:w="3458"/>
          </w:tcPr>
          <w:p>
            <w:pPr>
              <w:keepNext/>
              <w:spacing w:line="240" w:lineRule="auto" w:after="60"/>
              <w:jc w:val="center"/>
            </w:pPr>
            <w:r/>
            <w:r>
              <w:rPr>
                <w:b/>
                <w:sz w:val="20"/>
              </w:rPr>
              <w:t>Об’єктивна сторона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Загальний: фізичні осудні особи з 16 років (ст. 18, 22 ККУ; за ст. 189 відповідальність настає з 14 років, ч. 2 ст. 22 ККУ).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Якщо група – організована (ч. 3 ст. 28 ККУ: три й більше осіб, стійке об’єднання, єдиний план, розподіл функцій), учасники відповідають за ст. 30 ККУ незалежно від ролі.</w:t>
            </w:r>
          </w:p>
        </w:tc>
        <w:tc>
          <w:tcPr>
            <w:tcW w:type="dxa" w:w="2041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Прямий умисел: усвідомлювали, що вимагають гроші незаконно і з погрозою, і бажали отримати кошти.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Мета – корислива: заволодіти чужими грошима («викуп»).</w:t>
            </w:r>
          </w:p>
        </w:tc>
        <w:tc>
          <w:tcPr>
            <w:tcW w:type="dxa" w:w="226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Основний – відносини власності (розділ VI ККУ).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Додатковий – права, свободи та законні інтереси потерпілих (право на таємницю інформації, на користування своїми системами).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Предмет – гроші (кошти, які перераховувалися на рахунок зловмисників).</w:t>
            </w:r>
          </w:p>
        </w:tc>
        <w:tc>
          <w:tcPr>
            <w:tcW w:type="dxa" w:w="3458"/>
          </w:tcPr>
          <w:p>
            <w:pPr>
              <w:spacing w:line="240" w:lineRule="auto" w:after="60"/>
              <w:jc w:val="left"/>
            </w:pPr>
            <w:r/>
            <w:r>
              <w:rPr>
                <w:b w:val="0"/>
                <w:sz w:val="20"/>
              </w:rPr>
              <w:t>Діяння: вимога передачі майна (оплатити «викуп» за нерозголошення інформації та за код розблокування), поєднана з погрозою розголошення відомостей, які потерпілі бажають зберегти в таємниці, та обмеження їхніх законних інтересів (блокування роботи систем).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Склад формальний: злочин закінчений із моменту пред’явлення вимоги з погрозою.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Кваліфікація за ч. 4: майнова шкода в особливо великих розмірах (примітка до ст. 185 – 600 і більше неоподатковуваних мінімумів) та/або вчинення організованою групою.</w:t>
            </w:r>
          </w:p>
          <w:p>
            <w:pPr>
              <w:spacing w:line="240" w:lineRule="auto" w:after="60"/>
              <w:jc w:val="left"/>
            </w:pPr>
            <w:r>
              <w:rPr>
                <w:b w:val="0"/>
                <w:sz w:val="20"/>
              </w:rPr>
              <w:t>Санкція ч. 4: позбавлення волі від 7 до 12 років з конфіскацією майна – особливо тяжкий злочин.</w:t>
            </w:r>
          </w:p>
        </w:tc>
      </w:tr>
    </w:tbl>
    <w:p>
      <w:pPr>
        <w:pStyle w:val="Heading1"/>
      </w:pPr>
      <w:r>
        <w:t>4. Співучасть і форма вчинення</w:t>
      </w:r>
    </w:p>
    <w:p>
      <w:pPr>
        <w:ind w:firstLine="709"/>
        <w:jc w:val="both"/>
      </w:pPr>
      <w:r>
        <w:rPr>
          <w:b w:val="0"/>
          <w:i w:val="0"/>
        </w:rPr>
        <w:t>П’ятеро студентів діяли спільно, тому кожен із них – співвиконавець (ч. 2 ст. 27 ККУ) і відповідає за статтею Особливої частини, яка передбачає вчинене діяння (ч. 1 ст. 29 ККУ). Якщо між учасниками був розподіл ролей, то особа, яка організувала чи керувала діяльністю, є організатором (ч. 3 ст. 27 ККУ), а та, що надавала поради, засоби чи усувала перешкоди, – пособником (ч. 5 ст. 27 ККУ).</w:t>
      </w:r>
    </w:p>
    <w:p>
      <w:pPr>
        <w:ind w:firstLine="709"/>
        <w:jc w:val="both"/>
      </w:pPr>
      <w:r>
        <w:rPr>
          <w:b w:val="0"/>
          <w:i w:val="0"/>
        </w:rPr>
        <w:t>Форма співучасті: щонайменше група осіб за попередньою змовою (ч. 2 ст. 28 ККУ) – це кваліфікуюча ознака в ч. 2 ст. 361-1 та ч. 2 ст. 361 ККУ. Для ч. 4 ст. 189 ККУ потрібна організована група (ч. 3 ст. 28 ККУ): група створена заздалегідь, діяла за єдиним планом (створення ПЗ, розповсюдження, розсилка листів, одержання коштів), тобто ознаки стійкості й розподілу функцій на користь цієї кваліфікації є, але їх треба довести. Ознаки злочинної організації (ч. 4 ст. 28 ККУ) – стійке ієрархічне об’єднання п’яти й більше осіб – в умові не названі, тому така кваліфікація без додаткових даних недоведена.</w:t>
      </w:r>
    </w:p>
    <w:p>
      <w:pPr>
        <w:pStyle w:val="Heading1"/>
      </w:pPr>
      <w:r>
        <w:t>5. Сукупність і покарання</w:t>
      </w:r>
    </w:p>
    <w:p>
      <w:pPr>
        <w:ind w:firstLine="709"/>
        <w:jc w:val="both"/>
      </w:pPr>
      <w:r>
        <w:rPr>
          <w:b w:val="0"/>
          <w:i w:val="0"/>
        </w:rPr>
        <w:t>Діяння містять ознаки кількох злочинів, передбачених різними статтями, за жодне з яких особу не засуджено, тож вони становлять сукупність (ч. 1 ст. 33 ККУ), і кожне кваліфікується окремо за відповідною статтею (ч. 2 ст. 33 ККУ). Остаточне покарання визначається за ст. 70 ККУ поглинанням менш суворого суворішим або складанням; якщо хоча б один із злочинів особливо тяжкий, суд може призначити покарання в межах максимального строку, встановленого Загальною частиною для позбавлення волі.</w:t>
      </w:r>
    </w:p>
    <w:p>
      <w:pPr>
        <w:ind w:firstLine="709"/>
        <w:jc w:val="both"/>
      </w:pPr>
      <w:r>
        <w:rPr>
          <w:b w:val="0"/>
          <w:i w:val="0"/>
        </w:rPr>
        <w:t>Не підлягають кваліфікації: ст. 163 ККУ – вона стосується порушення таємниці листування особи, а тут втручання в системи підприємств, яке охоплюється ст. 361 ККУ; ст. 362 ККУ – спеціальний суб’єкт із правом доступу, якого немає; ст. 209 ККУ (легалізація майна) – в умові немає даних про відмивання отриманих коштів.</w:t>
      </w:r>
    </w:p>
    <w:p>
      <w:pPr>
        <w:pStyle w:val="Heading1"/>
      </w:pPr>
      <w:r>
        <w:t>6. Висновок</w:t>
      </w:r>
    </w:p>
    <w:p>
      <w:pPr>
        <w:ind w:firstLine="709"/>
        <w:jc w:val="both"/>
      </w:pPr>
      <w:r>
        <w:rPr>
          <w:b w:val="0"/>
          <w:i w:val="0"/>
        </w:rPr>
        <w:t>Дії п’ятьох студентів утворюють сукупність трьох злочинів: ч. 2 ст. 361-1 ККУ (створення й розповсюдження шкідливих програм групою за попередньою змовою); ч. 4 ст. 361 ККУ (несанкціоноване втручання в роботу систем, що завдало значної шкоди); ч. 4 ст. 189 ККУ (вимагання, що завдало майнової шкоди в особливо великих розмірах, а за доведення ознак – вчинене організованою групою). Два останні злочини – особливо тяжкі. Ст. 361-2 ККУ додається лише за доведеного факту збуту чи розповсюдження зібраної інформації.</w:t>
      </w:r>
    </w:p>
    <w:p>
      <w:pPr>
        <w:ind w:firstLine="709"/>
        <w:jc w:val="both"/>
      </w:pPr>
      <w:r>
        <w:rPr>
          <w:b w:val="0"/>
          <w:i w:val="0"/>
        </w:rPr>
        <w:t>Для точної кваліфікації слід розмежувати суму сплачених «викупів» (шкода від вимагання) і збитки від блокування та витоку (шкода від втручання в системи): 150 млн дол. США в умові названо загальною сумою. Порогів значної шкоди (300) та особливо великих розмірів (600 неоподатковуваних мінімумів) ця сума сягає багаторазово.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="Times New Roman" w:hAnsi="Times New Roman" w:cs="Times New Roman" w:eastAsia="Times New Roman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