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3.png" ContentType="image/png"/>
  <Override PartName="/word/media/rId31.png" ContentType="image/png"/>
  <Override PartName="/word/media/rId34.png" ContentType="image/png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Page"/>
        <w:jc w:val="left"/>
      </w:pPr>
      <w:r>
        <w:drawing>
          <wp:inline>
            <wp:extent cx="5255999" cy="839095"/>
            <wp:effectExtent b="0" l="0" r="0" t="0"/>
            <wp:docPr descr="" title="" id="10" name="Picture"/>
            <a:graphic>
              <a:graphicData uri="http://schemas.openxmlformats.org/drawingml/2006/picture">
                <pic:pic>
                  <pic:nvPicPr>
                    <pic:cNvPr descr="assets/kpi-logo.png" id="11" name="Picture"/>
                    <pic:cNvPicPr>
                      <a:picLocks noChangeArrowheads="1"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55999" cy="83909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TitlePage"/>
      </w:pPr>
      <w:r>
        <w:t xml:space="preserve">Міністерство освіти та науки України</w:t>
      </w:r>
    </w:p>
    <w:p>
      <w:pPr>
        <w:pStyle w:val="TitlePage"/>
      </w:pPr>
      <w:r>
        <w:t xml:space="preserve">Національний технічний університет України</w:t>
      </w:r>
    </w:p>
    <w:p>
      <w:pPr>
        <w:pStyle w:val="TitlePage"/>
      </w:pPr>
      <w:r>
        <w:t xml:space="preserve">«Київський політехнічний інститут імені Ігоря Сікорського»</w:t>
      </w:r>
    </w:p>
    <w:p>
      <w:pPr>
        <w:pStyle w:val="TitlePage"/>
      </w:pPr>
      <w:r>
        <w:t xml:space="preserve">Факультет інформатики та обчислювальної техніки</w:t>
      </w:r>
    </w:p>
    <w:p>
      <w:pPr>
        <w:pStyle w:val="TitlePage"/>
      </w:pPr>
      <w:r>
        <w:t xml:space="preserve">Кафедра інформатики і програмної інженерії</w:t>
      </w:r>
    </w:p>
    <w:p>
      <w:pPr>
        <w:pStyle w:val="TitlePage"/>
      </w:pPr>
      <w:r>
        <w:t xml:space="preserve"> </w:t>
      </w:r>
    </w:p>
    <w:p>
      <w:pPr>
        <w:pStyle w:val="TitlePage"/>
      </w:pPr>
      <w:r>
        <w:t xml:space="preserve"> </w:t>
      </w:r>
    </w:p>
    <w:p>
      <w:pPr>
        <w:pStyle w:val="TitlePage"/>
      </w:pPr>
      <w:r>
        <w:t xml:space="preserve"> </w:t>
      </w:r>
    </w:p>
    <w:p>
      <w:pPr>
        <w:pStyle w:val="TitlePage"/>
      </w:pPr>
      <w:r>
        <w:t xml:space="preserve"> </w:t>
      </w:r>
    </w:p>
    <w:p>
      <w:pPr>
        <w:pStyle w:val="TitlePage"/>
      </w:pPr>
      <w:r>
        <w:rPr>
          <w:b/>
          <w:bCs/>
        </w:rPr>
        <w:t xml:space="preserve">Звіт</w:t>
      </w:r>
    </w:p>
    <w:p>
      <w:pPr>
        <w:pStyle w:val="TitlePage"/>
      </w:pPr>
      <w:r>
        <w:t xml:space="preserve">з дисципліни «Менеджмент в продуктовому ІТ»</w:t>
      </w:r>
    </w:p>
    <w:p>
      <w:pPr>
        <w:pStyle w:val="TitlePage"/>
      </w:pPr>
      <w:r>
        <w:t xml:space="preserve">Практична робота № 3</w:t>
      </w:r>
    </w:p>
    <w:p>
      <w:pPr>
        <w:pStyle w:val="TitlePage"/>
      </w:pPr>
      <w:r>
        <w:t xml:space="preserve">«Lean Startup: MVP та тестування гіпотез»</w:t>
      </w:r>
    </w:p>
    <w:p>
      <w:pPr>
        <w:pStyle w:val="TitlePage"/>
      </w:pPr>
      <w:r>
        <w:t xml:space="preserve"> </w:t>
      </w:r>
    </w:p>
    <w:p>
      <w:pPr>
        <w:pStyle w:val="TitlePage"/>
      </w:pPr>
      <w:r>
        <w:t xml:space="preserve"> </w:t>
      </w:r>
    </w:p>
    <w:p>
      <w:pPr>
        <w:pStyle w:val="TitlePage"/>
      </w:pPr>
      <w:r>
        <w:t xml:space="preserve"> </w:t>
      </w:r>
    </w:p>
    <w:p>
      <w:pPr>
        <w:pStyle w:val="TitlePage"/>
      </w:pPr>
      <w:r>
        <w:t xml:space="preserve"> </w:t>
      </w:r>
    </w:p>
    <w:p>
      <w:pPr>
        <w:pStyle w:val="TitlePage"/>
      </w:pPr>
      <w:r>
        <w:t xml:space="preserve"> </w:t>
      </w:r>
    </w:p>
    <w:p>
      <w:pPr>
        <w:pStyle w:val="TitlePage"/>
      </w:pPr>
      <w:r>
        <w:t xml:space="preserve"> </w:t>
      </w:r>
    </w:p>
    <w:p>
      <w:pPr>
        <w:pStyle w:val="TitlePageLeft"/>
      </w:pPr>
      <w:r>
        <w:rPr>
          <w:b/>
          <w:bCs/>
          <w:u w:val="single"/>
        </w:rPr>
        <w:t xml:space="preserve">Виконав:</w:t>
      </w:r>
    </w:p>
    <w:p>
      <w:pPr>
        <w:pStyle w:val="TitlePageLeft"/>
      </w:pPr>
      <w:r>
        <w:rPr>
          <w:i/>
          <w:iCs/>
        </w:rPr>
        <w:t xml:space="preserve">Студент IV курсу</w:t>
      </w:r>
    </w:p>
    <w:p>
      <w:pPr>
        <w:pStyle w:val="TitlePageLeft"/>
      </w:pPr>
      <w:r>
        <w:rPr>
          <w:i/>
          <w:iCs/>
        </w:rPr>
        <w:t xml:space="preserve">гр. ІП-33</w:t>
      </w:r>
    </w:p>
    <w:p>
      <w:pPr>
        <w:pStyle w:val="TitlePageLeft"/>
      </w:pPr>
      <w:r>
        <w:t xml:space="preserve">Соколов О. В.</w:t>
      </w:r>
    </w:p>
    <w:p>
      <w:pPr>
        <w:pStyle w:val="TitlePageLeft"/>
      </w:pPr>
      <w:r>
        <w:rPr>
          <w:b/>
          <w:bCs/>
          <w:u w:val="single"/>
        </w:rPr>
        <w:t xml:space="preserve">Прийняла:</w:t>
      </w:r>
    </w:p>
    <w:p>
      <w:pPr>
        <w:pStyle w:val="TitlePageLeft"/>
      </w:pPr>
      <w:r>
        <w:t xml:space="preserve">Марченко О. І.</w:t>
      </w:r>
    </w:p>
    <w:p>
      <w:pPr>
        <w:pStyle w:val="TitlePageLeft"/>
      </w:pPr>
      <w:r>
        <w:t xml:space="preserve">«___» ____________ 2026 р.</w:t>
      </w:r>
    </w:p>
    <w:p>
      <w:pPr>
        <w:pStyle w:val="TitlePage"/>
      </w:pPr>
      <w:r>
        <w:t xml:space="preserve"> </w:t>
      </w:r>
    </w:p>
    <w:p>
      <w:pPr>
        <w:pStyle w:val="TitlePage"/>
      </w:pPr>
      <w:r>
        <w:t xml:space="preserve"> </w:t>
      </w:r>
    </w:p>
    <w:p>
      <w:pPr>
        <w:pStyle w:val="TitlePage"/>
      </w:pPr>
      <w:r>
        <w:t xml:space="preserve"> </w:t>
      </w:r>
    </w:p>
    <w:p>
      <w:pPr>
        <w:pStyle w:val="TitlePage"/>
      </w:pPr>
      <w:r>
        <w:t xml:space="preserve"> </w:t>
      </w:r>
    </w:p>
    <w:p>
      <w:pPr>
        <w:pStyle w:val="TitlePage"/>
      </w:pPr>
      <w:r>
        <w:t xml:space="preserve"> </w:t>
      </w:r>
    </w:p>
    <w:p>
      <w:pPr>
        <w:pStyle w:val="TitlePage"/>
      </w:pPr>
      <w:r>
        <w:t xml:space="preserve"> </w:t>
      </w:r>
    </w:p>
    <w:p>
      <w:pPr>
        <w:pStyle w:val="TitlePage"/>
      </w:pPr>
      <w:r>
        <w:t xml:space="preserve"> </w:t>
      </w:r>
    </w:p>
    <w:p>
      <w:pPr>
        <w:pStyle w:val="TitlePage"/>
      </w:pPr>
      <w:r>
        <w:t xml:space="preserve"> </w:t>
      </w:r>
    </w:p>
    <w:p>
      <w:pPr>
        <w:pStyle w:val="TitlePage"/>
      </w:pPr>
      <w:r>
        <w:t xml:space="preserve"> </w:t>
      </w:r>
    </w:p>
    <w:p>
      <w:pPr>
        <w:pStyle w:val="TitlePage"/>
      </w:pPr>
      <w:r>
        <w:t xml:space="preserve"> </w:t>
      </w:r>
    </w:p>
    <w:p>
      <w:pPr>
        <w:pStyle w:val="TitlePage"/>
      </w:pPr>
      <w:r>
        <w:t xml:space="preserve"> </w:t>
      </w:r>
    </w:p>
    <w:p>
      <w:pPr>
        <w:pStyle w:val="TitlePage"/>
      </w:pPr>
      <w:r>
        <w:rPr>
          <w:b/>
          <w:bCs/>
        </w:rPr>
        <w:t xml:space="preserve">Київ – 2026</w:t>
      </w:r>
    </w:p>
    <w:p>
      <w:r>
        <w:br w:type="page"/>
      </w:r>
    </w:p>
    <w:p>
      <w:pPr>
        <w:jc w:val="center"/>
      </w:pPr>
      <w:r>
        <w:rPr>
          <w:b/>
        </w:rPr>
        <w:t>ЗМІСТ</w:t>
      </w:r>
    </w:p>
    <w:p>
      <w:r>
        <w:fldChar w:fldCharType="begin" w:dirty="true"/>
      </w:r>
      <w:r>
        <w:instrText xml:space="preserve"> TOC \o "1-2" \h \z \u </w:instrText>
      </w:r>
      <w:r>
        <w:fldChar w:fldCharType="separate"/>
      </w:r>
      <w:r>
        <w:t>Оновіть зміст: правою кнопкою – «Оновити поле»</w:t>
      </w:r>
      <w:r>
        <w:fldChar w:fldCharType="end"/>
      </w:r>
    </w:p>
    <w:bookmarkStart w:id="12" w:name="мета-роботи"/>
    <w:p>
      <w:pPr>
        <w:pStyle w:val="Heading1"/>
        <w:pageBreakBefore/>
      </w:pPr>
      <w:r>
        <w:t xml:space="preserve">Мета роботи</w:t>
      </w:r>
    </w:p>
    <w:p>
      <w:pPr>
        <w:pStyle w:val="FirstParagraph"/>
      </w:pPr>
      <w:r>
        <w:t xml:space="preserve">Навчитись формулювати продуктові гіпотези на трьох рівнях, обирати та будувати відповідний тип MVP, планувати і проводити валідаційні експерименти для перевірки гіпотез.</w:t>
      </w:r>
    </w:p>
    <w:p>
      <w:pPr>
        <w:pStyle w:val="BodyText"/>
      </w:pPr>
      <w:r>
        <w:t xml:space="preserve">Робота продовжує практичні роботи № 1 і № 2 для продукту Classno – застосунку для обліку занять, оплат і нагадувань для приватних репетиторів. Гіпотези спираються на Job Statements, Pains і Gains персон Аліна (студентка-репетиторка, 8 учнів онлайн) та Ірина (вчителька англійської з приватною практикою, 22 учні), а також на рішення, обрані в матриці оцінки рішень: журнал оплат, підсумок тижня і нагадування про оплату від імені сервісу.</w:t>
      </w:r>
    </w:p>
    <w:bookmarkEnd w:id="12"/>
    <w:bookmarkStart w:id="19" w:name="дерево-гіпотез"/>
    <w:p>
      <w:pPr>
        <w:pStyle w:val="Heading1"/>
      </w:pPr>
      <w:r>
        <w:t xml:space="preserve">1. Дерево гіпотез</w:t>
      </w:r>
    </w:p>
    <w:bookmarkStart w:id="16" w:name="структура-дерева"/>
    <w:p>
      <w:pPr>
        <w:pStyle w:val="Heading2"/>
      </w:pPr>
      <w:r>
        <w:t xml:space="preserve">1.1. Структура дерева</w:t>
      </w:r>
    </w:p>
    <w:p>
      <w:pPr>
        <w:pStyle w:val="FirstParagraph"/>
      </w:pPr>
      <w:r>
        <w:t xml:space="preserve">Дерево побудовано за методологією Lean Startup [1] зверху вниз. Дві бізнес-гіпотези описують, чи готові репетитори платити за продукт і як вони про нього дізнаються. Продуктові гіпотези конкретизують, які функції створюють цю цінність, а функціональні – які UX-рішення змусять ці функції працювати. Стрілка на рисунку 1 означає, що нижня гіпотеза має сенс лише за умови, що підтвердиться верхня. Кожну гіпотезу показано під тією, від якої вона залежить найбільше.</w:t>
      </w:r>
    </w:p>
    <w:p>
      <w:pPr>
        <w:pStyle w:val="FigureImage"/>
        <w:jc w:val="left"/>
      </w:pPr>
      <w:r>
        <w:drawing>
          <wp:inline>
            <wp:extent cx="5930900" cy="3494994"/>
            <wp:effectExtent b="0" l="0" r="0" t="0"/>
            <wp:docPr descr="Блок-схема алгоритму" title="" id="14" name="Picture"/>
            <a:graphic>
              <a:graphicData uri="http://schemas.openxmlformats.org/drawingml/2006/picture">
                <pic:pic>
                  <pic:nvPicPr>
                    <pic:cNvPr descr="assets/00_blockscheme.png" id="15" name="Picture"/>
                    <pic:cNvPicPr>
                      <a:picLocks noChangeArrowheads="1"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0900" cy="349499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FigureCaption"/>
      </w:pPr>
      <w:r>
        <w:t xml:space="preserve">Рисунок 1 – Дерево гіпотез Classno</w:t>
      </w:r>
    </w:p>
    <w:bookmarkEnd w:id="16"/>
    <w:bookmarkStart w:id="17" w:name="таблиця-гіпотез"/>
    <w:p>
      <w:pPr>
        <w:pStyle w:val="Heading2"/>
      </w:pPr>
      <w:r>
        <w:t xml:space="preserve">1.2. Таблиця гіпотез</w:t>
      </w:r>
    </w:p>
    <w:p>
      <w:pPr>
        <w:pStyle w:val="FirstParagraph"/>
      </w:pPr>
      <w:r>
        <w:t xml:space="preserve">У колонці зв’язку Job – номер Job Statement, P – Pain із канвасу відповідної персони з практичної роботи № 2. Ризик оцінено за шкалою від 1 (є поведінкові докази) до 5 (лише думки з інтерв’ю).</w:t>
      </w:r>
    </w:p>
    <w:p>
      <w:pPr>
        <w:pStyle w:val="TableCaptionOwn"/>
        <w:keepNext/>
      </w:pPr>
      <w:r>
        <w:t xml:space="preserve">Таблиця 1 – Дерево гіпотез Classno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029"/>
        <w:gridCol w:w="871"/>
        <w:gridCol w:w="2851"/>
        <w:gridCol w:w="1188"/>
        <w:gridCol w:w="792"/>
        <w:gridCol w:w="1188"/>
      </w:tblGrid>
      <w:tr>
        <w:trPr>
          <w:cantSplit/>
          <w:tblHeader w:val="on"/>
        </w:trPr>
        <w:tc>
          <w:tcPr/>
          <w:p>
            <w:pPr>
              <w:pStyle w:val="Compact"/>
              <w:keepNext/>
              <w:jc w:val="center"/>
            </w:pPr>
            <w:r>
              <w:t xml:space="preserve">ID</w:t>
            </w:r>
          </w:p>
        </w:tc>
        <w:tc>
          <w:tcPr/>
          <w:p>
            <w:pPr>
              <w:pStyle w:val="Compact"/>
              <w:keepNext/>
              <w:jc w:val="center"/>
            </w:pPr>
            <w:r>
              <w:t xml:space="preserve">Рівень</w:t>
            </w:r>
          </w:p>
        </w:tc>
        <w:tc>
          <w:tcPr/>
          <w:p>
            <w:pPr>
              <w:pStyle w:val="Compact"/>
              <w:keepNext/>
              <w:jc w:val="center"/>
            </w:pPr>
            <w:r>
              <w:t xml:space="preserve">Формулювання гіпотези</w:t>
            </w:r>
          </w:p>
        </w:tc>
        <w:tc>
          <w:tcPr/>
          <w:p>
            <w:pPr>
              <w:pStyle w:val="Compact"/>
              <w:keepNext/>
              <w:jc w:val="center"/>
            </w:pPr>
            <w:r>
              <w:t xml:space="preserve">JTBD / Pain</w:t>
            </w:r>
          </w:p>
        </w:tc>
        <w:tc>
          <w:tcPr/>
          <w:p>
            <w:pPr>
              <w:pStyle w:val="Compact"/>
              <w:keepNext/>
              <w:jc w:val="center"/>
            </w:pPr>
            <w:r>
              <w:t xml:space="preserve">Ризик</w:t>
            </w:r>
          </w:p>
        </w:tc>
        <w:tc>
          <w:tcPr/>
          <w:p>
            <w:pPr>
              <w:pStyle w:val="Compact"/>
              <w:keepNext/>
              <w:jc w:val="center"/>
            </w:pPr>
            <w:r>
              <w:t xml:space="preserve">Пріоритет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jc w:val="left"/>
            </w:pPr>
            <w:r>
              <w:t xml:space="preserve">HYP-001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Бізнес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Якщо ми створимо журнал оплат з нагадуваннями від імені сервісу для репетиторів з 6+ учнями, то щонайменше 30% активних користувачів платитимуть 149 грн/міс за тариф Pro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Job 2, Job 6; P2 Аліни, P1 Ірини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High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jc w:val="left"/>
            </w:pPr>
            <w:r>
              <w:t xml:space="preserve">HYP-002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Бізнес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Якщо ми поширюватимемо Classno через Telegram-спільноти репетиторів і рекомендації колег, то залучимо перших 200 репетиторів без платної реклами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Job 10; канали персон з ПР01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High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jc w:val="left"/>
            </w:pPr>
            <w:r>
              <w:t xml:space="preserve">HYP-003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Продукт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Ми вважаємо, що репетитори доручать нагадування про оплату сервісу, щоб отримувати борги без особистих повідомлень, і щонайменше 60% прострочених оплат погашатимуться протягом 3 днів після нагадування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Job 2, Job 4; P2 Аліни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High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jc w:val="left"/>
            </w:pPr>
            <w:r>
              <w:t xml:space="preserve">HYP-004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Продукт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Ми вважаємо, що репетитори відмічатимуть оплати щонайменше 5 днів на тиждень, щоб бачити актуальні борги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Job 1; P1 Аліни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High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jc w:val="left"/>
            </w:pPr>
            <w:r>
              <w:t xml:space="preserve">HYP-005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Продукт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Ми вважаємо, що вчителі з 15+ учнями користуватимуться автоматичним підсумком тижня замість ручного зведення, і облік займатиме до 30 хв на тиждень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Job 6; P1 Ірини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Med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jc w:val="left"/>
            </w:pPr>
            <w:r>
              <w:t xml:space="preserve">HYP-006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Продукт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Ми вважаємо, що репетитори переноситимуть усі заняття дня однією дією з розсилкою, коли змінюється графік відключень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Job 8; P2 Ірини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Med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jc w:val="left"/>
            </w:pPr>
            <w:r>
              <w:t xml:space="preserve">HYP-007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Продукт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Ми вважаємо, що вчителі надсилатимуть батькам місячний звіт за шаблоном щонайменше раз на місяць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Job 7; P3 Ірини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Low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jc w:val="left"/>
            </w:pPr>
            <w:r>
              <w:t xml:space="preserve">HYP-008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Функція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Якщо нагадування підписане як повідомлення від Classno, помічника репетитора, і має нейтральний тон, то не більше 5% отримувачів відповідатимуть негативно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Job 4; Anxiety Аліни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High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jc w:val="left"/>
            </w:pPr>
            <w:r>
              <w:t xml:space="preserve">HYP-009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Функція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Якщо оплату можна відмітити одним дотиком «готівкою» чи «на картку» біля заняття, то репетитор відмітить щонайменше 80% занять того ж дня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Job 1, Job 6; P1 обох персон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High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jc w:val="left"/>
            </w:pPr>
            <w:r>
              <w:t xml:space="preserve">HYP-010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Функція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Якщо головний екран показує список боргів, відсортований за сумою, то репетитор відкриватиме застосунок щонайменше 4 рази на тиждень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Job 1; G1 Аліни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Med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jc w:val="left"/>
            </w:pPr>
            <w:r>
              <w:t xml:space="preserve">HYP-011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Функція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Якщо репетитор бачить і може змінити текст нагадування перед першим надсиланням, то щонайменше 70% репетиторів увімкнуть нагадування в перший тиждень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Job 2; Anxiety Аліни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Med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jc w:val="left"/>
            </w:pPr>
            <w:r>
              <w:t xml:space="preserve">HYP-012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Функція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Якщо підсумок тижня приходить у Telegram щонеділі о 18:00, то щонайменше 60% репетиторів відкриватимуть його в день отримання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Job 6; G2 Ірини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Med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jc w:val="left"/>
            </w:pPr>
            <w:r>
              <w:t xml:space="preserve">HYP-013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Функція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Якщо після перенесення дня з’являється кнопка «Повідомити всіх» з готовим текстом, то репетитор повідомить щонайменше 80% учнів за 5 хвилин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Job 8; P2 Ірини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Low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jc w:val="left"/>
            </w:pPr>
            <w:r>
              <w:t xml:space="preserve">HYP-014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Функція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Якщо нагадування можна переслати посиланням у Viber, то репетитори, чиї батьки у Viber, користуватимуться нагадуваннями так само часто, як у Telegram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Job 7; G7 Ірини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Low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t xml:space="preserve">HYP-015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Функція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Якщо онбординг складається з 3 кроків без налаштувань, то щонайменше 80% вчителів 40+ завершать його без сторонньої допомоги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Job 9; P5 Ірини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Low</w:t>
            </w:r>
          </w:p>
        </w:tc>
      </w:tr>
    </w:tbl>
    <w:p>
      <w:pPr>
        <w:pStyle w:val="BodyText"/>
        <w:spacing w:before="420"/>
      </w:pPr>
      <w:r>
        <w:t xml:space="preserve">Ризик 5 мають дві гіпотези, від яких залежить решта дерева: HYP-001 і HYP-003. Про обидві в інтерв’ю говорили всі учасники, але жодна не підтверджена поведінкою. Функціональні гіпотези мають нижчий ризик: вони стосуються конкретного інтерфейсу і перевіряються дешевше.</w:t>
      </w:r>
    </w:p>
    <w:bookmarkEnd w:id="17"/>
    <w:bookmarkStart w:id="18" w:name="ключові-припущення-lofas"/>
    <w:p>
      <w:pPr>
        <w:pStyle w:val="Heading2"/>
      </w:pPr>
      <w:r>
        <w:t xml:space="preserve">1.3. Ключові припущення (LOFAs)</w:t>
      </w:r>
    </w:p>
    <w:p>
      <w:pPr>
        <w:pStyle w:val="TableCaptionOwn"/>
        <w:keepNext/>
      </w:pPr>
      <w:r>
        <w:t xml:space="preserve">Таблиця 2 – LOFA № 1 – Value Hypothesis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145"/>
        <w:gridCol w:w="5775"/>
      </w:tblGrid>
      <w:tr>
        <w:trPr>
          <w:cantSplit/>
          <w:tblHeader w:val="on"/>
        </w:trPr>
        <w:tc>
          <w:tcPr/>
          <w:p>
            <w:pPr>
              <w:pStyle w:val="Compact"/>
              <w:keepNext/>
              <w:jc w:val="center"/>
            </w:pPr>
            <w:r>
              <w:t xml:space="preserve">Поле</w:t>
            </w:r>
          </w:p>
        </w:tc>
        <w:tc>
          <w:tcPr/>
          <w:p>
            <w:pPr>
              <w:pStyle w:val="Compact"/>
              <w:keepNext/>
              <w:jc w:val="center"/>
            </w:pPr>
            <w:r>
              <w:t xml:space="preserve">Зміст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jc w:val="left"/>
            </w:pPr>
            <w:r>
              <w:t xml:space="preserve">Формулювання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Ми вважаємо, що репетитори дійсно отримують цінність від Classno, коли нагадування про оплату надходять учням і батькам від імені сервісу: борги повертаються швидше, а репетитору не доводиться писати про гроші самому (HYP-003)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jc w:val="left"/>
            </w:pPr>
            <w:r>
              <w:t xml:space="preserve">Чому це критично?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Нагадування від імені сервісу – головна відмінність Classno від конкурентів і основа UVP Аліни. Якщо учні ігнорують такі повідомлення або сприймають їх негативно, Classno стає ще одним журналом обліку, яких на ринку вже кілька, і причин переходити з нотаток і Excel не лишається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jc w:val="left"/>
            </w:pPr>
            <w:r>
              <w:t xml:space="preserve">Спосіб перевірки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Concierge MVP: два тижні команда вручну веде облік оплат п’яти репетиторів і надсилає нагадування від імені Classno. Метрика – частка прострочених оплат, погашених протягом 3 днів після першого нагадування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t xml:space="preserve">Поточний рівень впевненості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55%. Біль підтверджують 5 з 5 інтерв’ю і 61% респондентів опитування, але як учні реагують на нагадування від сервісу, досі невідомо</w:t>
            </w:r>
          </w:p>
        </w:tc>
      </w:tr>
    </w:tbl>
    <w:p>
      <w:pPr>
        <w:pStyle w:val="TableCaptionOwn"/>
        <w:keepNext/>
        <w:spacing w:before="420"/>
      </w:pPr>
      <w:r>
        <w:t xml:space="preserve">Таблиця 3 – LOFA № 2 – Growth Hypothesis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145"/>
        <w:gridCol w:w="5775"/>
      </w:tblGrid>
      <w:tr>
        <w:trPr>
          <w:cantSplit/>
          <w:tblHeader w:val="on"/>
        </w:trPr>
        <w:tc>
          <w:tcPr/>
          <w:p>
            <w:pPr>
              <w:pStyle w:val="Compact"/>
              <w:keepNext/>
              <w:jc w:val="center"/>
            </w:pPr>
            <w:r>
              <w:t xml:space="preserve">Поле</w:t>
            </w:r>
          </w:p>
        </w:tc>
        <w:tc>
          <w:tcPr/>
          <w:p>
            <w:pPr>
              <w:pStyle w:val="Compact"/>
              <w:keepNext/>
              <w:jc w:val="center"/>
            </w:pPr>
            <w:r>
              <w:t xml:space="preserve">Зміст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jc w:val="left"/>
            </w:pPr>
            <w:r>
              <w:t xml:space="preserve">Формулювання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Ми вважаємо, що нові користувачі дізнаватимуться про Classno через Telegram-спільноти репетиторів і рекомендації колег, тому що там уже шукають учнів і поради 79% репетиторів, а кожне нагадування з підписом Classno бачать батьки, серед яких є інші вчителі (HYP-002)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jc w:val="left"/>
            </w:pPr>
            <w:r>
              <w:t xml:space="preserve">Чому це критично?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Ціна Pro – 149 грн/міс, тож платна реклама з вартістю залучення понад 300–400 грн не окупиться раніше ніж за кілька місяців. Без органічного каналу бізнес-модель SOM з практичної роботи № 1 не виконується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jc w:val="left"/>
            </w:pPr>
            <w:r>
              <w:t xml:space="preserve">Спосіб перевірки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Лендінг з формою передреєстрації і публікації в трьох Telegram-спільнотах репетиторів, метрика – конверсія переходів у заявки. Додатковий сигнал під час Concierge MVP – кількість звернень від колег учасників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t xml:space="preserve">Поточний рівень впевненості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35%. Учасників опитування знайдено саме в цих спільнотах, проте ніхто з них не рекомендував колегам жоден інструмент обліку</w:t>
            </w:r>
          </w:p>
        </w:tc>
      </w:tr>
    </w:tbl>
    <w:p>
      <w:pPr>
        <w:pStyle w:val="BodyText"/>
        <w:spacing w:before="420"/>
      </w:pPr>
      <w:r>
        <w:t xml:space="preserve">Третє ризиковане припущення – готовність платити (HYP-001). Його не винесено окремою LOFA, бо воно має сенс лише після підтвердження цінності, але наприкінці Concierge-тесту учасникам запропоновано передплату.</w:t>
      </w:r>
    </w:p>
    <w:bookmarkEnd w:id="18"/>
    <w:bookmarkEnd w:id="19"/>
    <w:bookmarkStart w:id="23" w:name="вибір-типу-mvp"/>
    <w:p>
      <w:pPr>
        <w:pStyle w:val="Heading1"/>
      </w:pPr>
      <w:r>
        <w:t xml:space="preserve">2. Вибір типу MVP</w:t>
      </w:r>
    </w:p>
    <w:bookmarkStart w:id="20" w:name="гіпотеза-для-першої-перевірки"/>
    <w:p>
      <w:pPr>
        <w:pStyle w:val="Heading2"/>
      </w:pPr>
      <w:r>
        <w:t xml:space="preserve">2.1. Гіпотеза для першої перевірки</w:t>
      </w:r>
    </w:p>
    <w:p>
      <w:pPr>
        <w:pStyle w:val="FirstParagraph"/>
      </w:pPr>
      <w:r>
        <w:t xml:space="preserve">Першою перевіряється HYP-003 – Value LOFA з ризиком 5. Від неї залежать обидві бізнес-гіпотези: якщо нагадування від сервісу не повертають борги, платити за них ніхто не буде, а підпис Classno в повідомленнях не стане каналом зростання. Разом із нею той самий тест вимірює HYP-004 і HYP-008: без регулярних даних про оплати нагадування будуть помилковими, а від тону залежить, як їх сприймуть батьки.</w:t>
      </w:r>
    </w:p>
    <w:p>
      <w:pPr>
        <w:pStyle w:val="BodyText"/>
      </w:pPr>
      <w:r>
        <w:t xml:space="preserve">Важливо, що HYP-003 – це питання поведінки третьої сторони: репетитор лише доручає нагадування, а реагують на нього учні та батьки. Тому MVP має доставляти справжні нагадування справжнім учням, і опитування чи прототип тут не підходять.</w:t>
      </w:r>
    </w:p>
    <w:bookmarkEnd w:id="20"/>
    <w:bookmarkStart w:id="21" w:name="порівняльна-матриця-типів-mvp"/>
    <w:p>
      <w:pPr>
        <w:pStyle w:val="Heading2"/>
      </w:pPr>
      <w:r>
        <w:t xml:space="preserve">2.2. Порівняльна матриця типів MVP</w:t>
      </w:r>
    </w:p>
    <w:p>
      <w:pPr>
        <w:pStyle w:val="TableCaptionOwn"/>
        <w:keepNext/>
      </w:pPr>
      <w:r>
        <w:t xml:space="preserve">Таблиця 4 – Порівняльна матриця типів MVP для HYP-003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46"/>
        <w:gridCol w:w="1029"/>
        <w:gridCol w:w="712"/>
        <w:gridCol w:w="950"/>
        <w:gridCol w:w="1267"/>
        <w:gridCol w:w="633"/>
        <w:gridCol w:w="1980"/>
      </w:tblGrid>
      <w:tr>
        <w:trPr>
          <w:cantSplit/>
          <w:tblHeader w:val="on"/>
        </w:trPr>
        <w:tc>
          <w:tcPr/>
          <w:p>
            <w:pPr>
              <w:pStyle w:val="Compact"/>
              <w:keepNext/>
              <w:jc w:val="center"/>
            </w:pPr>
            <w:r>
              <w:t xml:space="preserve">Тип MVP</w:t>
            </w:r>
          </w:p>
        </w:tc>
        <w:tc>
          <w:tcPr/>
          <w:p>
            <w:pPr>
              <w:pStyle w:val="Compact"/>
              <w:keepNext/>
              <w:jc w:val="center"/>
            </w:pPr>
            <w:r>
              <w:t xml:space="preserve">Гіпотеза</w:t>
            </w:r>
          </w:p>
        </w:tc>
        <w:tc>
          <w:tcPr/>
          <w:p>
            <w:pPr>
              <w:pStyle w:val="Compact"/>
              <w:keepNext/>
              <w:jc w:val="center"/>
            </w:pPr>
            <w:r>
              <w:t xml:space="preserve">Час</w:t>
            </w:r>
          </w:p>
        </w:tc>
        <w:tc>
          <w:tcPr/>
          <w:p>
            <w:pPr>
              <w:pStyle w:val="Compact"/>
              <w:keepNext/>
              <w:jc w:val="center"/>
            </w:pPr>
            <w:r>
              <w:t xml:space="preserve">Інсайти</w:t>
            </w:r>
          </w:p>
        </w:tc>
        <w:tc>
          <w:tcPr/>
          <w:p>
            <w:pPr>
              <w:pStyle w:val="Compact"/>
              <w:keepNext/>
              <w:jc w:val="center"/>
            </w:pPr>
            <w:r>
              <w:t xml:space="preserve">Надійність</w:t>
            </w:r>
          </w:p>
        </w:tc>
        <w:tc>
          <w:tcPr/>
          <w:p>
            <w:pPr>
              <w:pStyle w:val="Compact"/>
              <w:keepNext/>
              <w:jc w:val="center"/>
            </w:pPr>
            <w:r>
              <w:t xml:space="preserve">Сума</w:t>
            </w:r>
          </w:p>
        </w:tc>
        <w:tc>
          <w:tcPr/>
          <w:p>
            <w:pPr>
              <w:pStyle w:val="Compact"/>
              <w:keepNext/>
              <w:jc w:val="center"/>
            </w:pPr>
            <w:r>
              <w:t xml:space="preserve">Рекомендація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jc w:val="left"/>
            </w:pPr>
            <w:r>
              <w:t xml:space="preserve">Landing Page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Для HYP-002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jc w:val="left"/>
            </w:pPr>
            <w:r>
              <w:t xml:space="preserve">Smoke Test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Відхилити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jc w:val="left"/>
            </w:pPr>
            <w:r>
              <w:t xml:space="preserve">Concierge MVP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18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Обрано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jc w:val="left"/>
            </w:pPr>
            <w:r>
              <w:t xml:space="preserve">Wizard of Oz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14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Наступна ітерація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jc w:val="left"/>
            </w:pPr>
            <w:r>
              <w:t xml:space="preserve">Figma Prototype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Для HYP-015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jc w:val="left"/>
            </w:pPr>
            <w:r>
              <w:t xml:space="preserve">Email Campaign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Відхилити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jc w:val="left"/>
            </w:pPr>
            <w:r>
              <w:t xml:space="preserve">Pre-sell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14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Для HYP-001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t xml:space="preserve">Explainer Video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Відхилити</w:t>
            </w:r>
          </w:p>
        </w:tc>
      </w:tr>
    </w:tbl>
    <w:p>
      <w:pPr>
        <w:pStyle w:val="BodyText"/>
        <w:spacing w:before="420"/>
      </w:pPr>
      <w:r>
        <w:t xml:space="preserve">Колонки матриці: гіпотеза – наскільки тип MVP підходить для HYP-003, час – швидкість побудови, інсайти – глибина розуміння поведінки й мотивів, надійність – ризик хибного сигналу (5 – ризик низький). Усі оцінки за шкалою від 1 до 5, де 5 – найкраще.</w:t>
      </w:r>
    </w:p>
    <w:p>
      <w:pPr>
        <w:pStyle w:val="BodyText"/>
      </w:pPr>
      <w:r>
        <w:t xml:space="preserve">Пояснення оцінок:</w:t>
      </w:r>
    </w:p>
    <w:p>
      <w:pPr>
        <w:pStyle w:val="Compact"/>
        <w:numPr>
          <w:ilvl w:val="0"/>
          <w:numId w:val="1001"/>
        </w:numPr>
      </w:pPr>
      <w:r>
        <w:t xml:space="preserve">Landing Page, Explainer Video і Email Campaign показують інтерес репетитора, але нічого не кажуть про реакцію учнів, тому за придатністю отримали 1–2. Email до того ж не канал цієї аудиторії: репетитори працюють у Telegram і Viber.</w:t>
      </w:r>
    </w:p>
    <w:p>
      <w:pPr>
        <w:pStyle w:val="Compact"/>
        <w:numPr>
          <w:ilvl w:val="0"/>
          <w:numId w:val="1001"/>
        </w:numPr>
      </w:pPr>
      <w:r>
        <w:t xml:space="preserve">Smoke Test потребує наявного продукту, у який можна додати кнопку, а Classno ще не існує.</w:t>
      </w:r>
    </w:p>
    <w:p>
      <w:pPr>
        <w:pStyle w:val="Compact"/>
        <w:numPr>
          <w:ilvl w:val="0"/>
          <w:numId w:val="1001"/>
        </w:numPr>
      </w:pPr>
      <w:r>
        <w:t xml:space="preserve">Figma Prototype перевіряє зрозумілість екранів, тож придатний для HYP-015, але нагадування в ньому ніхто з учнів не отримає.</w:t>
      </w:r>
    </w:p>
    <w:p>
      <w:pPr>
        <w:pStyle w:val="Compact"/>
        <w:numPr>
          <w:ilvl w:val="0"/>
          <w:numId w:val="1001"/>
        </w:numPr>
      </w:pPr>
      <w:r>
        <w:t xml:space="preserve">Pre-sell має найменший ризик хибного сигналу, бо гроші – найсильніший доказ, але перевіряє готовність платити, а не те, чи повертаються борги.</w:t>
      </w:r>
    </w:p>
    <w:p>
      <w:pPr>
        <w:pStyle w:val="Compact"/>
        <w:numPr>
          <w:ilvl w:val="0"/>
          <w:numId w:val="1001"/>
        </w:numPr>
      </w:pPr>
      <w:r>
        <w:t xml:space="preserve">Wizard of Oz дає ту саму якість даних, що й Concierge, але потребує Telegram-бота як фасаду, а це 3–7 днів розробки. Приховувати ручну роботу на цьому етапі немає сенсу: репетитору важливий результат, а не інтерфейс.</w:t>
      </w:r>
    </w:p>
    <w:bookmarkEnd w:id="21"/>
    <w:bookmarkStart w:id="22" w:name="обґрунтування-вибору"/>
    <w:p>
      <w:pPr>
        <w:pStyle w:val="Heading2"/>
      </w:pPr>
      <w:r>
        <w:t xml:space="preserve">2.3. Обґрунтування вибору</w:t>
      </w:r>
    </w:p>
    <w:p>
      <w:pPr>
        <w:pStyle w:val="TableCaptionOwn"/>
        <w:keepNext/>
      </w:pPr>
      <w:r>
        <w:t xml:space="preserve">Таблиця 5 – Обґрунтування вибору MVP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296"/>
        <w:gridCol w:w="5623"/>
      </w:tblGrid>
      <w:tr>
        <w:trPr>
          <w:cantSplit/>
          <w:tblHeader w:val="on"/>
        </w:trPr>
        <w:tc>
          <w:tcPr/>
          <w:p>
            <w:pPr>
              <w:pStyle w:val="Compact"/>
              <w:keepNext/>
              <w:jc w:val="center"/>
            </w:pPr>
            <w:r>
              <w:t xml:space="preserve">Поле</w:t>
            </w:r>
          </w:p>
        </w:tc>
        <w:tc>
          <w:tcPr/>
          <w:p>
            <w:pPr>
              <w:pStyle w:val="Compact"/>
              <w:keepNext/>
              <w:jc w:val="center"/>
            </w:pPr>
            <w:r>
              <w:t xml:space="preserve">Зміст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jc w:val="left"/>
            </w:pPr>
            <w:r>
              <w:t xml:space="preserve">Обраний тип MVP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Concierge MVP. Команда вручну веде облік оплат п’яти репетиторів і надсилає нагадування учням від імені Classno. Це єдиний тип з матриці, що за 1–2 дні підготовки доставляє справжні нагадування справжнім учням і дає змогу поговорити з кожним репетитором про його досвід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jc w:val="left"/>
            </w:pPr>
            <w:r>
              <w:t xml:space="preserve">Яку гіпотезу перевіряємо?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HYP-003: репетитори доручать нагадування про оплату сервісу, і щонайменше 60% прострочених оплат погашатимуться протягом 3 днів після нагадування. Разом із нею – HYP-004 і HYP-008, а на фінальному дзвінку – HYP-001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jc w:val="left"/>
            </w:pPr>
            <w:r>
              <w:t xml:space="preserve">Які дані отримаємо?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Частка прострочених оплат, погашених за 3 дні після першого нагадування; середній час від нагадування до оплати; кількість днів на тиждень, коли репетитор передав дані про оплати; частка помилкових і негативних відповідей; цитати з дзвінків зворотного зв’язку; відповідь на пропозицію передплати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jc w:val="left"/>
            </w:pPr>
            <w:r>
              <w:t xml:space="preserve">Порогове значення успіху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MVP підтверджує гіпотезу, якщо частка прострочених оплат, погашених протягом 3 днів після першого нагадування, досягне 60% за 14 днів тесту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jc w:val="left"/>
            </w:pPr>
            <w:r>
              <w:t xml:space="preserve">Альтернативний варіант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Wizard of Oz: Telegram-бот Classno, у якому репетитор відмічає оплати кнопками, а нагадування за ним надсилає оператор. За подвійних ресурсів він перевірив би одночасно цінність і те, чи відмічатимуть репетитори оплати без живої людини на зв’язку, на 10–15 учасниках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t xml:space="preserve">Що НЕ перевіряє цей MVP?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Канал зростання (HYP-002): учасників знайдено особисто. Масову готовність платити: п’ять осіб, які два тижні отримували безкоштовний сервіс, схильні погоджуватися. Функціональні гіпотези інтерфейсу (HYP-009, HYP-010, HYP-015): інтерфейсом слугує чат із командою</w:t>
            </w:r>
          </w:p>
        </w:tc>
      </w:tr>
    </w:tbl>
    <w:bookmarkEnd w:id="22"/>
    <w:bookmarkEnd w:id="23"/>
    <w:bookmarkStart w:id="27" w:name="документація-mvp-concierge"/>
    <w:p>
      <w:pPr>
        <w:pStyle w:val="Heading1"/>
        <w:spacing w:before="420"/>
      </w:pPr>
      <w:r>
        <w:t xml:space="preserve">3. Документація MVP: Concierge</w:t>
      </w:r>
    </w:p>
    <w:bookmarkStart w:id="24" w:name="сервісний-сценарій"/>
    <w:p>
      <w:pPr>
        <w:pStyle w:val="Heading2"/>
      </w:pPr>
      <w:r>
        <w:t xml:space="preserve">3.1. Сервісний сценарій</w:t>
      </w:r>
    </w:p>
    <w:p>
      <w:pPr>
        <w:pStyle w:val="TableCaptionOwn"/>
        <w:keepNext/>
      </w:pPr>
      <w:r>
        <w:t xml:space="preserve">Таблиця 6 – Service Script для Concierge MVP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217"/>
        <w:gridCol w:w="5702"/>
      </w:tblGrid>
      <w:tr>
        <w:trPr>
          <w:cantSplit/>
          <w:tblHeader w:val="on"/>
        </w:trPr>
        <w:tc>
          <w:tcPr/>
          <w:p>
            <w:pPr>
              <w:pStyle w:val="Compact"/>
              <w:keepNext/>
              <w:jc w:val="center"/>
            </w:pPr>
            <w:r>
              <w:t xml:space="preserve">Поле</w:t>
            </w:r>
          </w:p>
        </w:tc>
        <w:tc>
          <w:tcPr/>
          <w:p>
            <w:pPr>
              <w:pStyle w:val="Compact"/>
              <w:keepNext/>
              <w:jc w:val="center"/>
            </w:pPr>
            <w:r>
              <w:t xml:space="preserve">Зміст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jc w:val="left"/>
            </w:pPr>
            <w:r>
              <w:t xml:space="preserve">Що робить клієнт?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На старті надсилає список учнів, ціну заняття, розклад і контакт того, хто платить: учня або батьків. Погоджує текст нагадування. Щовечора до 21:00 пише в чат, хто сьогодні мав заняття і хто заплатив, або пересилає скриншот переказів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jc w:val="left"/>
            </w:pPr>
            <w:r>
              <w:t xml:space="preserve">Що робить команда вручну?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Веде таблицю обліку для кожного репетитора: заняття, оплати, борги. Щоранку о 10:00 перевіряє борги: якщо заняття не оплачене два дні, надсилає нагадування від Classno, через три дні без оплати – повторне. Відповідає на повідомлення учнів і батьків. Щонеділі о 18:00 надсилає репетитору підсумок тижня. Кожну дію записує в журнал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jc w:val="left"/>
            </w:pPr>
            <w:r>
              <w:t xml:space="preserve">Через які канали?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Telegram-акаунт Classno для репетиторів і учнів, Viber-номер Classno для батьків, які не користуються Telegram, Google Sheets для таблиць обліку і журналу, Google Meet для вступних і фінальних дзвінків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jc w:val="left"/>
            </w:pPr>
            <w:r>
              <w:t xml:space="preserve">Який час відповіді?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Повідомлення репетитора обробляється протягом 2 годин з 10:00 до 22:00. Нагадування надсилаються раз на день о 10:00, підсумок тижня – щонеділі о 18:00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t xml:space="preserve">Як виглядає готовий результат?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Репетитор не пише учням про гроші і в будь-який момент може запитати в чаті, хто скільки винен. Щонеділі отримує підсумок: заняття, оплати готівкою і на картку, борг по кожному учню</w:t>
            </w:r>
          </w:p>
        </w:tc>
      </w:tr>
    </w:tbl>
    <w:p>
      <w:pPr>
        <w:pStyle w:val="BodyText"/>
        <w:spacing w:before="420"/>
      </w:pPr>
      <w:r>
        <w:t xml:space="preserve">Текст нагадування погоджено з кожним репетитором перед стартом. Після перших чотирьох днів його змінено: перша версія містила слово «заборгованість» і викликала дві різкі відповіді від учнів Аліни і одну від учня Андрія.</w:t>
      </w:r>
    </w:p>
    <w:p>
      <w:pPr>
        <w:pStyle w:val="TableCaptionOwn"/>
        <w:keepNext/>
      </w:pPr>
      <w:r>
        <w:t xml:space="preserve">Таблиця 7 – Версії тексту нагадування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48"/>
        <w:gridCol w:w="6571"/>
      </w:tblGrid>
      <w:tr>
        <w:trPr>
          <w:cantSplit/>
          <w:tblHeader w:val="on"/>
        </w:trPr>
        <w:tc>
          <w:tcPr/>
          <w:p>
            <w:pPr>
              <w:pStyle w:val="Compact"/>
              <w:keepNext/>
              <w:jc w:val="center"/>
            </w:pPr>
            <w:r>
              <w:t xml:space="preserve">Версія</w:t>
            </w:r>
          </w:p>
        </w:tc>
        <w:tc>
          <w:tcPr/>
          <w:p>
            <w:pPr>
              <w:pStyle w:val="Compact"/>
              <w:keepNext/>
              <w:jc w:val="center"/>
            </w:pPr>
            <w:r>
              <w:t xml:space="preserve">Текст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jc w:val="left"/>
            </w:pPr>
            <w:r>
              <w:t xml:space="preserve">1, дні 1–4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Добрий день! Це Classno – сервіс, через який Аліна веде облік занять. За вами заборгованість 700 грн за заняття у вівторок і четвер. Реквізити для оплати: …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t xml:space="preserve">2, з 5-го дня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Добрий день! Це Classno, помічник Аліни з обліку занять. Нагадуємо про оплату за заняття у вівторок і четвер – 700 грн. Реквізити: … Якщо ви вже оплатили, просто напишіть, і ми все виправимо</w:t>
            </w:r>
          </w:p>
        </w:tc>
      </w:tr>
    </w:tbl>
    <w:bookmarkEnd w:id="24"/>
    <w:bookmarkStart w:id="25" w:name="учасники"/>
    <w:p>
      <w:pPr>
        <w:pStyle w:val="Heading2"/>
        <w:spacing w:before="420"/>
      </w:pPr>
      <w:r>
        <w:t xml:space="preserve">3.2. Учасники</w:t>
      </w:r>
    </w:p>
    <w:p>
      <w:pPr>
        <w:pStyle w:val="FirstParagraph"/>
      </w:pPr>
      <w:r>
        <w:t xml:space="preserve">Учасниць практичної роботи № 1 запрошено особисто, ще двох репетиторів знайдено в Telegram-спільноті репетиторів НМТ через пост із пропозицією безкоштовно вести облік оплат два тижні. На вступному дзвінку кожному пояснили, що сервіс поки працює вручну, і попросили попередити учнів чи батьків, що нагадування надходитимуть від Classno.</w:t>
      </w:r>
    </w:p>
    <w:p>
      <w:pPr>
        <w:pStyle w:val="TableCaptionOwn"/>
        <w:keepNext/>
      </w:pPr>
      <w:r>
        <w:t xml:space="preserve">Таблиця 8 – Учасники Concierge MVP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792"/>
        <w:gridCol w:w="475"/>
        <w:gridCol w:w="1425"/>
        <w:gridCol w:w="792"/>
        <w:gridCol w:w="1188"/>
        <w:gridCol w:w="1821"/>
        <w:gridCol w:w="1425"/>
      </w:tblGrid>
      <w:tr>
        <w:trPr>
          <w:cantSplit/>
          <w:tblHeader w:val="on"/>
        </w:trPr>
        <w:tc>
          <w:tcPr/>
          <w:p>
            <w:pPr>
              <w:pStyle w:val="Compact"/>
              <w:keepNext/>
              <w:jc w:val="center"/>
            </w:pPr>
            <w:r>
              <w:t xml:space="preserve">Ім’я</w:t>
            </w:r>
          </w:p>
        </w:tc>
        <w:tc>
          <w:tcPr/>
          <w:p>
            <w:pPr>
              <w:pStyle w:val="Compact"/>
              <w:keepNext/>
              <w:jc w:val="center"/>
            </w:pPr>
            <w:r>
              <w:t xml:space="preserve">Вік</w:t>
            </w:r>
          </w:p>
        </w:tc>
        <w:tc>
          <w:tcPr/>
          <w:p>
            <w:pPr>
              <w:pStyle w:val="Compact"/>
              <w:keepNext/>
              <w:jc w:val="center"/>
            </w:pPr>
            <w:r>
              <w:t xml:space="preserve">Що викладає</w:t>
            </w:r>
          </w:p>
        </w:tc>
        <w:tc>
          <w:tcPr/>
          <w:p>
            <w:pPr>
              <w:pStyle w:val="Compact"/>
              <w:keepNext/>
              <w:jc w:val="center"/>
            </w:pPr>
            <w:r>
              <w:t xml:space="preserve">Учнів</w:t>
            </w:r>
          </w:p>
        </w:tc>
        <w:tc>
          <w:tcPr/>
          <w:p>
            <w:pPr>
              <w:pStyle w:val="Compact"/>
              <w:keepNext/>
              <w:jc w:val="center"/>
            </w:pPr>
            <w:r>
              <w:t xml:space="preserve">Як платять</w:t>
            </w:r>
          </w:p>
        </w:tc>
        <w:tc>
          <w:tcPr/>
          <w:p>
            <w:pPr>
              <w:pStyle w:val="Compact"/>
              <w:keepNext/>
              <w:jc w:val="center"/>
            </w:pPr>
            <w:r>
              <w:t xml:space="preserve">Хто платить і де</w:t>
            </w:r>
          </w:p>
        </w:tc>
        <w:tc>
          <w:tcPr/>
          <w:p>
            <w:pPr>
              <w:pStyle w:val="Compact"/>
              <w:keepNext/>
              <w:jc w:val="center"/>
            </w:pPr>
            <w:r>
              <w:t xml:space="preserve">Звідки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jc w:val="left"/>
            </w:pPr>
            <w:r>
              <w:t xml:space="preserve">Аліна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20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Математика, НМТ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Переказ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Учні, Telegram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Інтерв’ю ПР01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jc w:val="left"/>
            </w:pPr>
            <w:r>
              <w:t xml:space="preserve">Ірина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43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Англійська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22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Готівка, переказ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Батьки у Viber (16), учні в Telegram (6)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Інтерв’ю ПР01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jc w:val="left"/>
            </w:pPr>
            <w:r>
              <w:t xml:space="preserve">Олена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36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Фортепіано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14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Готівка, переказ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Батьки у Viber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Інтерв’ю ПР01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jc w:val="left"/>
            </w:pPr>
            <w:r>
              <w:t xml:space="preserve">Софія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22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Англійська для дорослих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Переказ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Учні, Telegram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Спільнота НМТ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t xml:space="preserve">Андрій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Фізика, НМТ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Переказ, частково готівка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Учні в Telegram, двоє батьків у Viber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Спільнота НМТ</w:t>
            </w:r>
          </w:p>
        </w:tc>
      </w:tr>
    </w:tbl>
    <w:bookmarkEnd w:id="25"/>
    <w:bookmarkStart w:id="26" w:name="перебіг-тесту"/>
    <w:p>
      <w:pPr>
        <w:pStyle w:val="Heading2"/>
        <w:spacing w:before="420"/>
      </w:pPr>
      <w:r>
        <w:t xml:space="preserve">3.3. Перебіг тесту</w:t>
      </w:r>
    </w:p>
    <w:p>
      <w:pPr>
        <w:pStyle w:val="Compact"/>
        <w:numPr>
          <w:ilvl w:val="0"/>
          <w:numId w:val="1002"/>
        </w:numPr>
      </w:pPr>
      <w:r>
        <w:t xml:space="preserve">Підготовка. На вступному дзвінку репетитор надсилав список учнів і погоджував текст нагадування. Таблиці обліку заповнювались за вечір до старту.</w:t>
      </w:r>
    </w:p>
    <w:p>
      <w:pPr>
        <w:pStyle w:val="Compact"/>
        <w:numPr>
          <w:ilvl w:val="0"/>
          <w:numId w:val="1002"/>
        </w:numPr>
      </w:pPr>
      <w:r>
        <w:t xml:space="preserve">Щоденна робота. Команда звіряла повідомлення репетиторів з таблицею, о 10:00 надсилала нагадування, відповідала учням і батькам. На одного репетитора йшло в середньому 15–20 хвилин на день, на Ірину – до 40.</w:t>
      </w:r>
    </w:p>
    <w:p>
      <w:pPr>
        <w:pStyle w:val="Compact"/>
        <w:numPr>
          <w:ilvl w:val="0"/>
          <w:numId w:val="1002"/>
        </w:numPr>
      </w:pPr>
      <w:r>
        <w:t xml:space="preserve">Зворотний зв’язок. Після першого і другого тижня з кожним репетитором проведено 10-хвилинну розмову: що було корисно, що незрозуміло, чи користувались би регулярно, скільки готові платити. Наприкінці другої розмови запропоновано продовжити сервіс на місяць за 149 грн з передплатою.</w:t>
      </w:r>
    </w:p>
    <w:p>
      <w:pPr>
        <w:pStyle w:val="Compact"/>
        <w:numPr>
          <w:ilvl w:val="0"/>
          <w:numId w:val="1002"/>
        </w:numPr>
      </w:pPr>
      <w:r>
        <w:t xml:space="preserve">Журнал. Усі події – заняття, оплати, нагадування, відповіді, звіти репетиторів – записувались в окремий Log-файл з трьома аркушами: журнал подій, щоденник тестування і підсумки по репетиторах. Фрагмент журналу наведено в додатку А.</w:t>
      </w:r>
    </w:p>
    <w:bookmarkEnd w:id="26"/>
    <w:bookmarkEnd w:id="27"/>
    <w:bookmarkStart w:id="30" w:name="картки-валідаційних-експериментів"/>
    <w:p>
      <w:pPr>
        <w:pStyle w:val="Heading1"/>
      </w:pPr>
      <w:r>
        <w:t xml:space="preserve">4. Картки валідаційних експериментів</w:t>
      </w:r>
    </w:p>
    <w:bookmarkStart w:id="28" w:name="картки-гіпотез"/>
    <w:p>
      <w:pPr>
        <w:pStyle w:val="Heading2"/>
      </w:pPr>
      <w:r>
        <w:t xml:space="preserve">4.1. Картки гіпотез</w:t>
      </w:r>
    </w:p>
    <w:p>
      <w:pPr>
        <w:pStyle w:val="FirstParagraph"/>
      </w:pPr>
      <w:r>
        <w:t xml:space="preserve">Для карток обрано п’ять гіпотез з найвищим пріоритетом: обидві бізнес-гіпотези, дві продуктові і функціональну гіпотезу про тон нагадувань. Формат картки відповідає Test Card з Testing Business Ideas [2]. Статус наведено за результатами тесту з розділу 5.</w:t>
      </w:r>
    </w:p>
    <w:p>
      <w:pPr>
        <w:pStyle w:val="TableCaptionOwn"/>
        <w:keepNext/>
      </w:pPr>
      <w:r>
        <w:t xml:space="preserve">Таблиця 9 – Картка гіпотези № 1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534"/>
        <w:gridCol w:w="5385"/>
      </w:tblGrid>
      <w:tr>
        <w:trPr>
          <w:cantSplit/>
          <w:tblHeader w:val="on"/>
        </w:trPr>
        <w:tc>
          <w:tcPr/>
          <w:p>
            <w:pPr>
              <w:pStyle w:val="Compact"/>
              <w:keepNext/>
              <w:jc w:val="center"/>
            </w:pPr>
            <w:r>
              <w:t xml:space="preserve">Поле</w:t>
            </w:r>
          </w:p>
        </w:tc>
        <w:tc>
          <w:tcPr/>
          <w:p>
            <w:pPr>
              <w:pStyle w:val="Compact"/>
              <w:keepNext/>
              <w:jc w:val="center"/>
            </w:pPr>
            <w:r>
              <w:t xml:space="preserve">Зміст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jc w:val="left"/>
            </w:pPr>
            <w:r>
              <w:t xml:space="preserve">ID гіпотези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HYP-003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jc w:val="left"/>
            </w:pPr>
            <w:r>
              <w:t xml:space="preserve">Рівень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Продукт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jc w:val="left"/>
            </w:pPr>
            <w:r>
              <w:t xml:space="preserve">Формулювання «Ми вважаємо, що…»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Ми вважаємо, що репетитори доручать нагадування про оплату сервісу, щоб отримувати борги без особистих повідомлень. Ми перевіримо це через Concierge MVP. Якщо ми побачимо, що щонайменше 60% прострочених оплат погашено протягом 3 днів після нагадування, то підтвердимо, що нагадування від імені сервісу повертають гроші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jc w:val="left"/>
            </w:pPr>
            <w:r>
              <w:t xml:space="preserve">Пов’язаний JTBD / Pain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Job 2 «отримати борг без особистого нагадування», Job 4 «почуватися спокійно щодо грошей»; Extreme Pain P2 Аліни «соромно нагадувати»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jc w:val="left"/>
            </w:pPr>
            <w:r>
              <w:t xml:space="preserve">Метод перевірки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Concierge MVP, 5 репетиторів, 14 днів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jc w:val="left"/>
            </w:pPr>
            <w:r>
              <w:t xml:space="preserve">Метрика успіху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Частка прострочених оплат, погашених протягом 3 днів після першого нагадування, ≥ 60%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jc w:val="left"/>
            </w:pPr>
            <w:r>
              <w:t xml:space="preserve">Критерій підтвердження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Гіпотеза підтверджена, якщо з усіх боргів, перше нагадування за якими надіслано не пізніше 11-го дня, щонайменше 60% погашено протягом 3 днів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jc w:val="left"/>
            </w:pPr>
            <w:r>
              <w:t xml:space="preserve">Ризик (1–5)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5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jc w:val="left"/>
            </w:pPr>
            <w:r>
              <w:t xml:space="preserve">Пріоритет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High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t xml:space="preserve">Статус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Підтверджена</w:t>
            </w:r>
          </w:p>
        </w:tc>
      </w:tr>
    </w:tbl>
    <w:p>
      <w:pPr>
        <w:pStyle w:val="TableCaptionOwn"/>
        <w:keepNext/>
        <w:spacing w:before="420"/>
      </w:pPr>
      <w:r>
        <w:t xml:space="preserve">Таблиця 10 – Картка гіпотези № 2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534"/>
        <w:gridCol w:w="5385"/>
      </w:tblGrid>
      <w:tr>
        <w:trPr>
          <w:cantSplit/>
          <w:tblHeader w:val="on"/>
        </w:trPr>
        <w:tc>
          <w:tcPr/>
          <w:p>
            <w:pPr>
              <w:pStyle w:val="Compact"/>
              <w:keepNext/>
              <w:jc w:val="center"/>
            </w:pPr>
            <w:r>
              <w:t xml:space="preserve">Поле</w:t>
            </w:r>
          </w:p>
        </w:tc>
        <w:tc>
          <w:tcPr/>
          <w:p>
            <w:pPr>
              <w:pStyle w:val="Compact"/>
              <w:keepNext/>
              <w:jc w:val="center"/>
            </w:pPr>
            <w:r>
              <w:t xml:space="preserve">Зміст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jc w:val="left"/>
            </w:pPr>
            <w:r>
              <w:t xml:space="preserve">ID гіпотези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HYP-004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jc w:val="left"/>
            </w:pPr>
            <w:r>
              <w:t xml:space="preserve">Рівень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Продукт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jc w:val="left"/>
            </w:pPr>
            <w:r>
              <w:t xml:space="preserve">Формулювання «Ми вважаємо, що…»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Ми вважаємо, що репетитори відмічатимуть оплати щонайменше 5 днів на тиждень, щоб бачити актуальні борги. Ми перевіримо це через щоденні звіти в чат Concierge MVP. Якщо 4 з 5 репетиторів звітуватимуть 5+ днів на тиждень обидва тижні, то підтвердимо, що ручна відмітка оплат не стане вузьким місцем продукту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jc w:val="left"/>
            </w:pPr>
            <w:r>
              <w:t xml:space="preserve">Пов’язаний JTBD / Pain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Job 1 «одразу позначити, за які заняття заплатив учень»; Extreme Pain P1 Аліни «втрачає 1–2 оплати на місяць»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jc w:val="left"/>
            </w:pPr>
            <w:r>
              <w:t xml:space="preserve">Метод перевірки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Concierge MVP: кількість днів, коли репетитор передав команді дані про оплати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jc w:val="left"/>
            </w:pPr>
            <w:r>
              <w:t xml:space="preserve">Метрика успіху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Кількість днів зі звітом на тиждень, ≥ 5 з 7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jc w:val="left"/>
            </w:pPr>
            <w:r>
              <w:t xml:space="preserve">Критерій підтвердження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Гіпотеза підтверджена, якщо щонайменше 4 з 5 репетиторів звітують 5+ днів і в першому, і в другому тижні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jc w:val="left"/>
            </w:pPr>
            <w:r>
              <w:t xml:space="preserve">Ризик (1–5)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4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jc w:val="left"/>
            </w:pPr>
            <w:r>
              <w:t xml:space="preserve">Пріоритет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High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t xml:space="preserve">Статус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Спростована</w:t>
            </w:r>
          </w:p>
        </w:tc>
      </w:tr>
    </w:tbl>
    <w:p>
      <w:pPr>
        <w:pStyle w:val="TableCaptionOwn"/>
        <w:keepNext/>
        <w:spacing w:before="420"/>
      </w:pPr>
      <w:r>
        <w:t xml:space="preserve">Таблиця 11 – Картка гіпотези № 3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534"/>
        <w:gridCol w:w="5385"/>
      </w:tblGrid>
      <w:tr>
        <w:trPr>
          <w:cantSplit/>
          <w:tblHeader w:val="on"/>
        </w:trPr>
        <w:tc>
          <w:tcPr/>
          <w:p>
            <w:pPr>
              <w:pStyle w:val="Compact"/>
              <w:keepNext/>
              <w:jc w:val="center"/>
            </w:pPr>
            <w:r>
              <w:t xml:space="preserve">Поле</w:t>
            </w:r>
          </w:p>
        </w:tc>
        <w:tc>
          <w:tcPr/>
          <w:p>
            <w:pPr>
              <w:pStyle w:val="Compact"/>
              <w:keepNext/>
              <w:jc w:val="center"/>
            </w:pPr>
            <w:r>
              <w:t xml:space="preserve">Зміст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jc w:val="left"/>
            </w:pPr>
            <w:r>
              <w:t xml:space="preserve">ID гіпотези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HYP-008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jc w:val="left"/>
            </w:pPr>
            <w:r>
              <w:t xml:space="preserve">Рівень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Функція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jc w:val="left"/>
            </w:pPr>
            <w:r>
              <w:t xml:space="preserve">Формулювання «Ми вважаємо, що…»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Ми вважаємо, що якщо нагадування підписане як повідомлення від Classno, помічника репетитора, і має нейтральний тон, то учні й батьки не сприйматимуть його як недовіру. Ми перевіримо це через відповіді на нагадування Concierge MVP. Якщо негативних відповідей буде не більше 5%, то підтвердимо, що нагадування від сервісу не шкодять стосункам репетитора з учнями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jc w:val="left"/>
            </w:pPr>
            <w:r>
              <w:t xml:space="preserve">Пов’язаний JTBD / Pain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Job 4 «не відчувати сорому, ніби випрошую свої гроші»; Anxiety Аліни «якщо бот напише мамі якось не так, вийде ще гірше»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jc w:val="left"/>
            </w:pPr>
            <w:r>
              <w:t xml:space="preserve">Метод перевірки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Concierge MVP: класифікація відповідей на кожне нагадування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jc w:val="left"/>
            </w:pPr>
            <w:r>
              <w:t xml:space="preserve">Метрика успіху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Частка негативних відповідей від усіх надісланих нагадувань, ≤ 5%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jc w:val="left"/>
            </w:pPr>
            <w:r>
              <w:t xml:space="preserve">Критерій підтвердження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Гіпотеза підтверджена, якщо негативних відповідей (невдоволення, питання «хто це пише», відмова отримувати повідомлення) не більше 5% від усіх нагадувань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jc w:val="left"/>
            </w:pPr>
            <w:r>
              <w:t xml:space="preserve">Ризик (1–5)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4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jc w:val="left"/>
            </w:pPr>
            <w:r>
              <w:t xml:space="preserve">Пріоритет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High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t xml:space="preserve">Статус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Спростована</w:t>
            </w:r>
          </w:p>
        </w:tc>
      </w:tr>
    </w:tbl>
    <w:p>
      <w:pPr>
        <w:pStyle w:val="TableCaptionOwn"/>
        <w:keepNext/>
        <w:spacing w:before="420"/>
      </w:pPr>
      <w:r>
        <w:t xml:space="preserve">Таблиця 12 – Картка гіпотези № 4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534"/>
        <w:gridCol w:w="5385"/>
      </w:tblGrid>
      <w:tr>
        <w:trPr>
          <w:cantSplit/>
          <w:tblHeader w:val="on"/>
        </w:trPr>
        <w:tc>
          <w:tcPr/>
          <w:p>
            <w:pPr>
              <w:pStyle w:val="Compact"/>
              <w:keepNext/>
              <w:jc w:val="center"/>
            </w:pPr>
            <w:r>
              <w:t xml:space="preserve">Поле</w:t>
            </w:r>
          </w:p>
        </w:tc>
        <w:tc>
          <w:tcPr/>
          <w:p>
            <w:pPr>
              <w:pStyle w:val="Compact"/>
              <w:keepNext/>
              <w:jc w:val="center"/>
            </w:pPr>
            <w:r>
              <w:t xml:space="preserve">Зміст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jc w:val="left"/>
            </w:pPr>
            <w:r>
              <w:t xml:space="preserve">ID гіпотези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HYP-001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jc w:val="left"/>
            </w:pPr>
            <w:r>
              <w:t xml:space="preserve">Рівень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Бізнес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jc w:val="left"/>
            </w:pPr>
            <w:r>
              <w:t xml:space="preserve">Формулювання «Ми вважаємо, що…»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Ми вважаємо, що репетитори з 6+ учнями платитимуть 149 грн/міс за облік оплат з нагадуваннями від імені сервісу, тому що це менше за одне заняття, а повернутий борг окупає підписку. Ми перевіримо це пропозицією передплати наприкінці Concierge MVP. Якщо щонайменше 30% учасників внесуть передплату, то отримаємо перший сигнал готовності платити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jc w:val="left"/>
            </w:pPr>
            <w:r>
              <w:t xml:space="preserve">Пов’язаний JTBD / Pain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Job 2, Job 6; Extreme Pain P2 Аліни і P1 Ірини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jc w:val="left"/>
            </w:pPr>
            <w:r>
              <w:t xml:space="preserve">Метод перевірки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Пропозиція продовжити сервіс на місяць за 149 грн з передплатою на фінальному дзвінку; далі Pre-sell на лендінгу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jc w:val="left"/>
            </w:pPr>
            <w:r>
              <w:t xml:space="preserve">Метрика успіху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Частка учасників з 6+ учнями, що внесли передплату, ≥ 30%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jc w:val="left"/>
            </w:pPr>
            <w:r>
              <w:t xml:space="preserve">Критерій підтвердження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Гіпотеза підтверджена, якщо щонайменше 30% репетиторів з 6+ учнями внесуть передплату у вибірці щонайменше з 80 осіб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jc w:val="left"/>
            </w:pPr>
            <w:r>
              <w:t xml:space="preserve">Ризик (1–5)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5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jc w:val="left"/>
            </w:pPr>
            <w:r>
              <w:t xml:space="preserve">Пріоритет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High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t xml:space="preserve">Статус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Недостатньо даних</w:t>
            </w:r>
          </w:p>
        </w:tc>
      </w:tr>
    </w:tbl>
    <w:p>
      <w:pPr>
        <w:pStyle w:val="TableCaptionOwn"/>
        <w:keepNext/>
        <w:spacing w:before="420"/>
      </w:pPr>
      <w:r>
        <w:t xml:space="preserve">Таблиця 13 – Картка гіпотези № 5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534"/>
        <w:gridCol w:w="5385"/>
      </w:tblGrid>
      <w:tr>
        <w:trPr>
          <w:cantSplit/>
          <w:tblHeader w:val="on"/>
        </w:trPr>
        <w:tc>
          <w:tcPr/>
          <w:p>
            <w:pPr>
              <w:pStyle w:val="Compact"/>
              <w:keepNext/>
              <w:jc w:val="center"/>
            </w:pPr>
            <w:r>
              <w:t xml:space="preserve">Поле</w:t>
            </w:r>
          </w:p>
        </w:tc>
        <w:tc>
          <w:tcPr/>
          <w:p>
            <w:pPr>
              <w:pStyle w:val="Compact"/>
              <w:keepNext/>
              <w:jc w:val="center"/>
            </w:pPr>
            <w:r>
              <w:t xml:space="preserve">Зміст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jc w:val="left"/>
            </w:pPr>
            <w:r>
              <w:t xml:space="preserve">ID гіпотези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HYP-002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jc w:val="left"/>
            </w:pPr>
            <w:r>
              <w:t xml:space="preserve">Рівень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Бізнес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jc w:val="left"/>
            </w:pPr>
            <w:r>
              <w:t xml:space="preserve">Формулювання «Ми вважаємо, що…»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Ми вважаємо, що репетитори дізнаватимуться про Classno з Telegram-спільнот і від колег, тому що там вони вже шукають учнів і поради. Ми перевіримо це через лендінг з передреєстрацією і пости в трьох спільнотах. Якщо щонайменше 8% переходів завершаться заявкою, то підтвердимо, що органічний канал здатний дати перших 200 користувачів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jc w:val="left"/>
            </w:pPr>
            <w:r>
              <w:t xml:space="preserve">Пов’язаний JTBD / Pain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Job 10 «виглядати сучасною і надійною викладачкою»; канали персон з практичної роботи № 1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jc w:val="left"/>
            </w:pPr>
            <w:r>
              <w:t xml:space="preserve">Метод перевірки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Landing Page MVP з подією CTA_click і формою заявки; кількість звернень від колег учасників Concierge MVP як додатковий сигнал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jc w:val="left"/>
            </w:pPr>
            <w:r>
              <w:t xml:space="preserve">Метрика успіху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Конверсія переходу зі спільнот у заявку, ≥ 8%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jc w:val="left"/>
            </w:pPr>
            <w:r>
              <w:t xml:space="preserve">Критерій підтвердження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Гіпотеза підтверджена, якщо зі щонайменше 315 унікальних відвідувачів з Telegram-спільнот 8% залишать заявку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jc w:val="left"/>
            </w:pPr>
            <w:r>
              <w:t xml:space="preserve">Ризик (1–5)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4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jc w:val="left"/>
            </w:pPr>
            <w:r>
              <w:t xml:space="preserve">Пріоритет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High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t xml:space="preserve">Статус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Недостатньо даних</w:t>
            </w:r>
          </w:p>
        </w:tc>
      </w:tr>
    </w:tbl>
    <w:bookmarkEnd w:id="28"/>
    <w:bookmarkStart w:id="29" w:name="розрахунок-вибірки"/>
    <w:p>
      <w:pPr>
        <w:pStyle w:val="Heading2"/>
        <w:spacing w:before="420"/>
      </w:pPr>
      <w:r>
        <w:t xml:space="preserve">4.2. Розрахунок вибірки</w:t>
      </w:r>
    </w:p>
    <w:p>
      <w:pPr>
        <w:pStyle w:val="FirstParagraph"/>
      </w:pPr>
      <w:r>
        <w:t xml:space="preserve">Мінімальний розмір вибірки для оцінки частки розраховано за формулою Кокрена [3]:</w:t>
      </w:r>
    </w:p>
    <w:p>
      <w:pPr>
        <w:pStyle w:val="BodyText"/>
      </w:pPr>
      <m:oMathPara>
        <m:oMathParaPr>
          <m:jc m:val="center"/>
        </m:oMathParaPr>
        <m:oMath>
          <m:r>
            <m:t>N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Z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p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r>
                <m:rPr>
                  <m:sty m:val="p"/>
                </m:rPr>
                <m:t>)</m:t>
              </m:r>
            </m:num>
            <m:den>
              <m:sSup>
                <m:e>
                  <m:r>
                    <m:t>e</m:t>
                  </m:r>
                </m:e>
                <m:sup>
                  <m:r>
                    <m:t>2</m:t>
                  </m:r>
                </m:sup>
              </m:sSup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де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1.96</m:t>
        </m:r>
      </m:oMath>
      <w:r>
        <w:t xml:space="preserve"> </w:t>
      </w:r>
      <w:r>
        <w:t xml:space="preserve">для рівня впевненості 95%,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– очікувана частка,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– допустима похибка.</w:t>
      </w:r>
    </w:p>
    <w:p>
      <w:pPr>
        <w:pStyle w:val="BodyText"/>
      </w:pPr>
      <w:r>
        <w:t xml:space="preserve">Для лендінгу HYP-002 з очікуваною конверсією 8% і похибкою ±3 п.п.:</w:t>
      </w:r>
    </w:p>
    <w:p>
      <w:pPr>
        <w:pStyle w:val="BodyText"/>
      </w:pPr>
      <m:oMathPara>
        <m:oMathParaPr>
          <m:jc m:val="center"/>
        </m:oMathParaPr>
        <m:oMath>
          <m:r>
            <m:t>N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1.96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0.08</m:t>
              </m:r>
              <m:r>
                <m:rPr>
                  <m:sty m:val="p"/>
                </m:rPr>
                <m:t>⋅</m:t>
              </m:r>
              <m:r>
                <m:t>0.92</m:t>
              </m:r>
            </m:num>
            <m:den>
              <m:sSup>
                <m:e>
                  <m:r>
                    <m:t>0.03</m:t>
                  </m:r>
                </m:e>
                <m:sup>
                  <m:r>
                    <m:t>2</m:t>
                  </m:r>
                </m:sup>
              </m:sSup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3.8416</m:t>
              </m:r>
              <m:r>
                <m:rPr>
                  <m:sty m:val="p"/>
                </m:rPr>
                <m:t>⋅</m:t>
              </m:r>
              <m:r>
                <m:t>0.0736</m:t>
              </m:r>
            </m:num>
            <m:den>
              <m:r>
                <m:t>0.0009</m:t>
              </m:r>
            </m:den>
          </m:f>
          <m:r>
            <m:rPr>
              <m:sty m:val="p"/>
            </m:rPr>
            <m:t>≈</m:t>
          </m:r>
          <m:r>
            <m:t>315</m:t>
          </m:r>
          <m:r>
            <m:rPr>
              <m:nor/>
              <m:sty m:val="p"/>
            </m:rPr>
            <m:t> відвідувачів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Для Pre-sell HYP-001 з очікуваною часткою 30% і похибкою ±10 п.п. потрібно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3.8416</m:t>
        </m:r>
        <m:r>
          <m:rPr>
            <m:sty m:val="p"/>
          </m:rPr>
          <m:t>⋅</m:t>
        </m:r>
        <m:r>
          <m:t>0.21</m:t>
        </m:r>
        <m:r>
          <m:rPr>
            <m:sty m:val="p"/>
          </m:rPr>
          <m:t>/</m:t>
        </m:r>
        <m:r>
          <m:t>0.01</m:t>
        </m:r>
        <m:r>
          <m:rPr>
            <m:sty m:val="p"/>
          </m:rPr>
          <m:t>≈</m:t>
        </m:r>
        <m:r>
          <m:t>81</m:t>
        </m:r>
      </m:oMath>
      <w:r>
        <w:t xml:space="preserve"> </w:t>
      </w:r>
      <w:r>
        <w:t xml:space="preserve">репетитор, якому показано пропозицію.</w:t>
      </w:r>
    </w:p>
    <w:p>
      <w:pPr>
        <w:pStyle w:val="BodyText"/>
      </w:pPr>
      <w:r>
        <w:t xml:space="preserve">Для HYP-003 одиниця вибірки – прострочена оплата, а не репетитор. За очікуваної частки 60% і похибки ±10 п.п. потрібно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3.8416</m:t>
        </m:r>
        <m:r>
          <m:rPr>
            <m:sty m:val="p"/>
          </m:rPr>
          <m:t>⋅</m:t>
        </m:r>
        <m:r>
          <m:t>0.24</m:t>
        </m:r>
        <m:r>
          <m:rPr>
            <m:sty m:val="p"/>
          </m:rPr>
          <m:t>/</m:t>
        </m:r>
        <m:r>
          <m:t>0.01</m:t>
        </m:r>
        <m:r>
          <m:rPr>
            <m:sty m:val="p"/>
          </m:rPr>
          <m:t>≈</m:t>
        </m:r>
        <m:r>
          <m:t>93</m:t>
        </m:r>
      </m:oMath>
      <w:r>
        <w:t xml:space="preserve"> </w:t>
      </w:r>
      <w:r>
        <w:t xml:space="preserve">борги. П’ять репетиторів за два тижні дають близько 35 боргів, тож Concierge MVP дає оцінку з похибкою близько ±15 п.п. Цього досить, щоб відрізнити «працює» від «не працює», але замало для точної цифри. Точнішу оцінку дасть наступна ітерація на 12–15 репетиторах.</w:t>
      </w:r>
    </w:p>
    <w:p>
      <w:pPr>
        <w:pStyle w:val="TableCaptionOwn"/>
        <w:keepNext/>
      </w:pPr>
      <w:r>
        <w:t xml:space="preserve">Таблиця 14 – Параметри експериментів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334"/>
        <w:gridCol w:w="2584"/>
        <w:gridCol w:w="3001"/>
      </w:tblGrid>
      <w:tr>
        <w:trPr>
          <w:cantSplit/>
          <w:tblHeader w:val="on"/>
        </w:trPr>
        <w:tc>
          <w:tcPr/>
          <w:p>
            <w:pPr>
              <w:pStyle w:val="Compact"/>
              <w:keepNext/>
              <w:jc w:val="center"/>
            </w:pPr>
            <w:r>
              <w:t xml:space="preserve">Параметр</w:t>
            </w:r>
          </w:p>
        </w:tc>
        <w:tc>
          <w:tcPr/>
          <w:p>
            <w:pPr>
              <w:pStyle w:val="Compact"/>
              <w:keepNext/>
              <w:jc w:val="center"/>
            </w:pPr>
            <w:r>
              <w:t xml:space="preserve">Рекомендоване значення</w:t>
            </w:r>
          </w:p>
        </w:tc>
        <w:tc>
          <w:tcPr/>
          <w:p>
            <w:pPr>
              <w:pStyle w:val="Compact"/>
              <w:keepNext/>
              <w:jc w:val="center"/>
            </w:pPr>
            <w:r>
              <w:t xml:space="preserve">У цій роботі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jc w:val="left"/>
            </w:pPr>
            <w:r>
              <w:t xml:space="preserve">Рівень значущості (α)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0.05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0.05 для всіх розрахунків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jc w:val="left"/>
            </w:pPr>
            <w:r>
              <w:t xml:space="preserve">Статистична потужність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0.80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0.80 для наступної ітерації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jc w:val="left"/>
            </w:pPr>
            <w:r>
              <w:t xml:space="preserve">Мінімальний виявлюваний ефект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20% відносного покращення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60% погашених боргів проти 30–40%, які погашаються без нагадувань за оцінкою репетиторів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jc w:val="left"/>
            </w:pPr>
            <w:r>
              <w:t xml:space="preserve">Тривалість тесту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Мінімум 2 тижні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14 днів, два повні тижні з вихідними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jc w:val="left"/>
            </w:pPr>
            <w:r>
              <w:t xml:space="preserve">Вибірка для Landing Page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Мінімум 200 відвідувачів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315 відвідувачів (HYP-002)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t xml:space="preserve">Вибірка для Concierge MVP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3–5 клієнтів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 репетиторів, 60 учнів, 34 борги з повним вікном спостереження</w:t>
            </w:r>
          </w:p>
        </w:tc>
      </w:tr>
    </w:tbl>
    <w:bookmarkEnd w:id="29"/>
    <w:bookmarkEnd w:id="30"/>
    <w:bookmarkStart w:id="39" w:name="результати-тестування"/>
    <w:p>
      <w:pPr>
        <w:pStyle w:val="Heading1"/>
        <w:spacing w:before="420"/>
      </w:pPr>
      <w:r>
        <w:t xml:space="preserve">5. Результати тестування</w:t>
      </w:r>
    </w:p>
    <w:bookmarkStart w:id="37" w:name="щоденник-тестування"/>
    <w:p>
      <w:pPr>
        <w:pStyle w:val="Heading2"/>
      </w:pPr>
      <w:r>
        <w:t xml:space="preserve">5.1. Щоденник тестування</w:t>
      </w:r>
    </w:p>
    <w:p>
      <w:pPr>
        <w:pStyle w:val="FirstParagraph"/>
      </w:pPr>
      <w:r>
        <w:t xml:space="preserve">Головна метрика щоденника – частка боргів, погашених протягом 3 днів після першого нагадування. Вона рахується лише для боргів, за якими вже минуло 3 дні з нагадування, тому перші значення з’являються на 6-й день. Ціль – поріг 60%, дельту наведено в процентних пунктах відносно нього.</w:t>
      </w:r>
    </w:p>
    <w:p>
      <w:pPr>
        <w:pStyle w:val="TableCaptionOwn"/>
        <w:keepNext/>
      </w:pPr>
      <w:r>
        <w:t xml:space="preserve">Таблиця 15 – Щоденник тестування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871"/>
        <w:gridCol w:w="1188"/>
        <w:gridCol w:w="633"/>
        <w:gridCol w:w="1108"/>
        <w:gridCol w:w="871"/>
        <w:gridCol w:w="3247"/>
      </w:tblGrid>
      <w:tr>
        <w:trPr>
          <w:cantSplit/>
          <w:tblHeader w:val="on"/>
        </w:trPr>
        <w:tc>
          <w:tcPr/>
          <w:p>
            <w:pPr>
              <w:pStyle w:val="Compact"/>
              <w:keepNext/>
              <w:jc w:val="center"/>
            </w:pPr>
            <w:r>
              <w:t xml:space="preserve">Дата</w:t>
            </w:r>
          </w:p>
        </w:tc>
        <w:tc>
          <w:tcPr/>
          <w:p>
            <w:pPr>
              <w:pStyle w:val="Compact"/>
              <w:keepNext/>
              <w:jc w:val="center"/>
            </w:pPr>
            <w:r>
              <w:t xml:space="preserve">Метрика</w:t>
            </w:r>
          </w:p>
        </w:tc>
        <w:tc>
          <w:tcPr/>
          <w:p>
            <w:pPr>
              <w:pStyle w:val="Compact"/>
              <w:keepNext/>
              <w:jc w:val="center"/>
            </w:pPr>
            <w:r>
              <w:t xml:space="preserve">Ціль</w:t>
            </w:r>
          </w:p>
        </w:tc>
        <w:tc>
          <w:tcPr/>
          <w:p>
            <w:pPr>
              <w:pStyle w:val="Compact"/>
              <w:keepNext/>
              <w:jc w:val="center"/>
            </w:pPr>
            <w:r>
              <w:t xml:space="preserve">Факт</w:t>
            </w:r>
          </w:p>
        </w:tc>
        <w:tc>
          <w:tcPr/>
          <w:p>
            <w:pPr>
              <w:pStyle w:val="Compact"/>
              <w:keepNext/>
              <w:jc w:val="center"/>
            </w:pPr>
            <w:r>
              <w:t xml:space="preserve">Дельта</w:t>
            </w:r>
          </w:p>
        </w:tc>
        <w:tc>
          <w:tcPr/>
          <w:p>
            <w:pPr>
              <w:pStyle w:val="Compact"/>
              <w:keepNext/>
              <w:jc w:val="center"/>
            </w:pPr>
            <w:r>
              <w:t xml:space="preserve">Нотатки / Спостереження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jc w:val="left"/>
            </w:pPr>
            <w:r>
              <w:t xml:space="preserve">День 1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Погашено за ≤ 3 дні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60%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–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–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Таблиці заповнено, 4 з 5 репетиторів надіслали звіт увечері. Нагадувань ще немає: боргів старших за два дні не було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jc w:val="left"/>
            </w:pPr>
            <w:r>
              <w:t xml:space="preserve">День 3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Погашено за ≤ 3 дні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60%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–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–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Перші 4 нагадування, 1 негативна відповідь від учня Аліни: «Я ж писав, що скину в п’ятницю»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jc w:val="left"/>
            </w:pPr>
            <w:r>
              <w:t xml:space="preserve">День 5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Погашено за ≤ 3 дні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60%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–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–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17 нагадувань, 3 негативні відповіді на першу версію тексту. Текст змінено на версію 2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jc w:val="left"/>
            </w:pPr>
            <w:r>
              <w:t xml:space="preserve">День 7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Погашено за ≤ 3 дні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60%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81.8% (9 з 11)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+21.8 п.п.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30 нагадувань. Перший підсумок тижня надіслано всім п’ятьом; Ірина звірила його з журналом – збіглося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jc w:val="left"/>
            </w:pPr>
            <w:r>
              <w:t xml:space="preserve">День 10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Погашено за ≤ 3 дні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60%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71.4% (15 з 21)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+11.4 п.п.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Аліна, Ірина й Андрій два дні після вихідних не надсилали звітів. 11 нагадувань за день пішли тим, хто вже заплатив: «Ми ж оплатили в понеділок»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jc w:val="left"/>
            </w:pPr>
            <w:r>
              <w:t xml:space="preserve">День 12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Погашено за ≤ 3 дні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60%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72.7% (16 з 22)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+12.7 п.п.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Помилкових нагадувань уже 20. Олена: готівку записує в зошит і пише команді ввечері, якщо згадає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jc w:val="left"/>
            </w:pPr>
            <w:r>
              <w:t xml:space="preserve">День 14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Погашено за ≤ 3 дні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60%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73.5% (25 з 34)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+13.5 п.п.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91 нагадування, з них 28 помилкових. Фінальні дзвінки, пропозиція передплати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t xml:space="preserve">Фінал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Погашено за ≤ 3 дні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73.5%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+13.5 п.п.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Середній час від нагадування до оплати – 1.9 дня. 9 боргів на кінець тесту не погашено, з них 7 відкрито в останні три дні</w:t>
            </w:r>
          </w:p>
        </w:tc>
      </w:tr>
    </w:tbl>
    <w:p>
      <w:pPr>
        <w:pStyle w:val="BodyText"/>
        <w:spacing w:before="420"/>
      </w:pPr>
      <w:r>
        <w:t xml:space="preserve">Динаміку метрик за даними журналу наведено на рисунках 2 і 3.</w:t>
      </w:r>
    </w:p>
    <w:p>
      <w:pPr>
        <w:pStyle w:val="FigureImage"/>
        <w:jc w:val="left"/>
      </w:pPr>
      <w:r>
        <w:drawing>
          <wp:inline>
            <wp:extent cx="5930900" cy="2253742"/>
            <wp:effectExtent b="0" l="0" r="0" t="0"/>
            <wp:docPr descr="" title="" id="32" name="Picture"/>
            <a:graphic>
              <a:graphicData uri="http://schemas.openxmlformats.org/drawingml/2006/picture">
                <pic:pic>
                  <pic:nvPicPr>
                    <pic:cNvPr descr="assets/concierge_payments.png" id="33" name="Picture"/>
                    <pic:cNvPicPr>
                      <a:picLocks noChangeArrowheads="1"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0900" cy="225374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FigureCaption"/>
      </w:pPr>
      <w:r>
        <w:t xml:space="preserve">Рисунок 2 – Частка погашених боргів і надіслані нагадування за днями тесту</w:t>
      </w:r>
    </w:p>
    <w:p>
      <w:pPr>
        <w:pStyle w:val="FigureImage"/>
        <w:jc w:val="left"/>
      </w:pPr>
      <w:r>
        <w:drawing>
          <wp:inline>
            <wp:extent cx="5930900" cy="2135124"/>
            <wp:effectExtent b="0" l="0" r="0" t="0"/>
            <wp:docPr descr="" title="" id="35" name="Picture"/>
            <a:graphic>
              <a:graphicData uri="http://schemas.openxmlformats.org/drawingml/2006/picture">
                <pic:pic>
                  <pic:nvPicPr>
                    <pic:cNvPr descr="assets/concierge_tutors.png" id="36" name="Picture"/>
                    <pic:cNvPicPr>
                      <a:picLocks noChangeArrowheads="1"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0900" cy="213512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FigureCaption"/>
      </w:pPr>
      <w:r>
        <w:t xml:space="preserve">Рисунок 3 – Регулярність звітів репетиторів і результат нагадувань за каналом</w:t>
      </w:r>
    </w:p>
    <w:p>
      <w:pPr>
        <w:pStyle w:val="TableCaptionOwn"/>
        <w:keepNext/>
      </w:pPr>
      <w:r>
        <w:t xml:space="preserve">Таблиця 16 – Підсумки по репетиторах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46"/>
        <w:gridCol w:w="1267"/>
        <w:gridCol w:w="1267"/>
        <w:gridCol w:w="1425"/>
        <w:gridCol w:w="1346"/>
        <w:gridCol w:w="1267"/>
      </w:tblGrid>
      <w:tr>
        <w:trPr>
          <w:cantSplit/>
          <w:tblHeader w:val="on"/>
        </w:trPr>
        <w:tc>
          <w:tcPr/>
          <w:p>
            <w:pPr>
              <w:pStyle w:val="Compact"/>
              <w:keepNext/>
              <w:jc w:val="center"/>
            </w:pPr>
            <w:r>
              <w:t xml:space="preserve">Репетитор</w:t>
            </w:r>
          </w:p>
        </w:tc>
        <w:tc>
          <w:tcPr/>
          <w:p>
            <w:pPr>
              <w:pStyle w:val="Compact"/>
              <w:keepNext/>
              <w:jc w:val="center"/>
            </w:pPr>
            <w:r>
              <w:t xml:space="preserve">Нагадувань</w:t>
            </w:r>
          </w:p>
        </w:tc>
        <w:tc>
          <w:tcPr/>
          <w:p>
            <w:pPr>
              <w:pStyle w:val="Compact"/>
              <w:keepNext/>
              <w:jc w:val="center"/>
            </w:pPr>
            <w:r>
              <w:t xml:space="preserve">Погашено за ≤ 3 дні</w:t>
            </w:r>
          </w:p>
        </w:tc>
        <w:tc>
          <w:tcPr/>
          <w:p>
            <w:pPr>
              <w:pStyle w:val="Compact"/>
              <w:keepNext/>
              <w:jc w:val="center"/>
            </w:pPr>
            <w:r>
              <w:t xml:space="preserve">Днів зі звітом, тиждень 1 / 2</w:t>
            </w:r>
          </w:p>
        </w:tc>
        <w:tc>
          <w:tcPr/>
          <w:p>
            <w:pPr>
              <w:pStyle w:val="Compact"/>
              <w:keepNext/>
              <w:jc w:val="center"/>
            </w:pPr>
            <w:r>
              <w:t xml:space="preserve">Помилкових нагадувань</w:t>
            </w:r>
          </w:p>
        </w:tc>
        <w:tc>
          <w:tcPr/>
          <w:p>
            <w:pPr>
              <w:pStyle w:val="Compact"/>
              <w:keepNext/>
              <w:jc w:val="center"/>
            </w:pPr>
            <w:r>
              <w:t xml:space="preserve">Негативних відповідей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jc w:val="left"/>
            </w:pPr>
            <w:r>
              <w:t xml:space="preserve">Аліна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22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4 з 8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7 / 3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3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jc w:val="left"/>
            </w:pPr>
            <w:r>
              <w:t xml:space="preserve">Ірина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18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4 з 6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6 / 4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2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jc w:val="left"/>
            </w:pPr>
            <w:r>
              <w:t xml:space="preserve">Олена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24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8 з 9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4 / 5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2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jc w:val="left"/>
            </w:pPr>
            <w:r>
              <w:t xml:space="preserve">Софія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14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5 з 6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7 / 5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0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jc w:val="left"/>
            </w:pPr>
            <w:r>
              <w:t xml:space="preserve">Андрій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13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4 з 5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7 / 4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1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t xml:space="preserve">Разом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 з 34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6.2 / 4.2 в середньому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</w:tr>
    </w:tbl>
    <w:bookmarkEnd w:id="37"/>
    <w:bookmarkStart w:id="38" w:name="аналіз-гіпотез"/>
    <w:p>
      <w:pPr>
        <w:pStyle w:val="Heading2"/>
        <w:spacing w:before="420"/>
      </w:pPr>
      <w:r>
        <w:t xml:space="preserve">5.2. Аналіз гіпотез</w:t>
      </w:r>
    </w:p>
    <w:p>
      <w:pPr>
        <w:pStyle w:val="TableCaptionOwn"/>
        <w:keepNext/>
      </w:pPr>
      <w:r>
        <w:t xml:space="preserve">Таблиця 17 – Результати гіпотези HYP-003: нагадування від сервісу повертають борги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217"/>
        <w:gridCol w:w="5702"/>
      </w:tblGrid>
      <w:tr>
        <w:trPr>
          <w:cantSplit/>
          <w:tblHeader w:val="on"/>
        </w:trPr>
        <w:tc>
          <w:tcPr/>
          <w:p>
            <w:pPr>
              <w:pStyle w:val="Compact"/>
              <w:keepNext/>
              <w:jc w:val="center"/>
            </w:pPr>
            <w:r>
              <w:t xml:space="preserve">Поле</w:t>
            </w:r>
          </w:p>
        </w:tc>
        <w:tc>
          <w:tcPr/>
          <w:p>
            <w:pPr>
              <w:pStyle w:val="Compact"/>
              <w:keepNext/>
              <w:jc w:val="center"/>
            </w:pPr>
            <w:r>
              <w:t xml:space="preserve">Зміст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jc w:val="left"/>
            </w:pPr>
            <w:r>
              <w:t xml:space="preserve">Метрика успіху (план)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Частка прострочених оплат, погашених протягом 3 днів після першого нагадування, ≥ 60%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jc w:val="left"/>
            </w:pPr>
            <w:r>
              <w:t xml:space="preserve">Фактичний результат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73.5%: 25 з 34 боргів. 95% довірчий інтервал – від 58.7% до 88.3%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jc w:val="left"/>
            </w:pPr>
            <w:r>
              <w:t xml:space="preserve">Статус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Підтверджена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jc w:val="left"/>
            </w:pPr>
            <w:r>
              <w:t xml:space="preserve">Ключові кількісні дані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Середній час від нагадування до оплати – 1.9 дня. Повторне нагадування знадобилось у 19 випадках. Батьки, яким нагадування надходили у Viber, погасили 13 з 15 боргів (87%), учні в Telegram – 12 з 19 (63%). Найнижчий результат в Аліни – 4 з 8: її учні – підлітки, які платять самі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jc w:val="left"/>
            </w:pPr>
            <w:r>
              <w:t xml:space="preserve">Ключові якісні інсайти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«Вперше за рік я нікому не писала про гроші» (Аліна). «За два тижні мені віддали два старі борги, про які я вже й забув» (Андрій). «Мама Каті сказала, що їй так навіть зручніше – не ніяково самій питати, скільки винні» (Олена). Софія: «Мої учні дорослі, я й сама могла б їм написати, мені не соромно» – для неї біль P2 слабкий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t xml:space="preserve">Що змінили б у наступній ітерації?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Рахувати метрику окремо для боргів учнів і батьків з першого дня. Для учнів-підлітків тестувати копію нагадування батькам після другого нагадування. Збільшити вибірку до 90+ боргів, щоб нижня межа інтервалу була вищою за поріг</w:t>
            </w:r>
          </w:p>
        </w:tc>
      </w:tr>
    </w:tbl>
    <w:p>
      <w:pPr>
        <w:pStyle w:val="TableCaptionOwn"/>
        <w:keepNext/>
        <w:spacing w:before="420"/>
      </w:pPr>
      <w:r>
        <w:t xml:space="preserve">Таблиця 18 – Результати гіпотези HYP-004: репетитори регулярно відмічають оплати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217"/>
        <w:gridCol w:w="5702"/>
      </w:tblGrid>
      <w:tr>
        <w:trPr>
          <w:cantSplit/>
          <w:tblHeader w:val="on"/>
        </w:trPr>
        <w:tc>
          <w:tcPr/>
          <w:p>
            <w:pPr>
              <w:pStyle w:val="Compact"/>
              <w:keepNext/>
              <w:jc w:val="center"/>
            </w:pPr>
            <w:r>
              <w:t xml:space="preserve">Поле</w:t>
            </w:r>
          </w:p>
        </w:tc>
        <w:tc>
          <w:tcPr/>
          <w:p>
            <w:pPr>
              <w:pStyle w:val="Compact"/>
              <w:keepNext/>
              <w:jc w:val="center"/>
            </w:pPr>
            <w:r>
              <w:t xml:space="preserve">Зміст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jc w:val="left"/>
            </w:pPr>
            <w:r>
              <w:t xml:space="preserve">Метрика успіху (план)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4 з 5 репетиторів звітують про оплати щонайменше 5 днів на тиждень обидва тижні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jc w:val="left"/>
            </w:pPr>
            <w:r>
              <w:t xml:space="preserve">Фактичний результат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Тиждень 1 – 4 з 5 репетиторів, тиждень 2 – 2 з 5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jc w:val="left"/>
            </w:pPr>
            <w:r>
              <w:t xml:space="preserve">Статус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Спростована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jc w:val="left"/>
            </w:pPr>
            <w:r>
              <w:t xml:space="preserve">Ключові кількісні дані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У середньому 6.2 дня зі звітом у першому тижні і 4.2 – у другому. Найбільше падіння в Аліни: з 7 до 3 днів. Через пропущені звіти 28 з 91 нагадування (31%) пішли тим, хто вже заплатив; 25 з них – у другому тижні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jc w:val="left"/>
            </w:pPr>
            <w:r>
              <w:t xml:space="preserve">Ключові якісні інсайти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«Звітувати щовечора – це та сама рутина, тільки тепер вам. На парах я про це забуваю» (Аліна). Олена записує готівку в зошит і переносить у чат, коли згадає. Ірина звітувала регулярніше в дні, коли була вдома з ноутбуком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t xml:space="preserve">Що змінили б у наступній ітерації?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Не чекати звіту від репетитора, а щовечора самим питати «Хто сьогодні заплатив?» зі списком учнів дня. Не надсилати нагадування, якщо від репетитора не було даних понад два дні. Для переказів – перевірити, чи погодяться репетитори пересилати сповіщення банку</w:t>
            </w:r>
          </w:p>
        </w:tc>
      </w:tr>
    </w:tbl>
    <w:p>
      <w:pPr>
        <w:pStyle w:val="TableCaptionOwn"/>
        <w:keepNext/>
        <w:spacing w:before="420"/>
      </w:pPr>
      <w:r>
        <w:t xml:space="preserve">Таблиця 19 – Результати гіпотези HYP-008: нейтральний тон нагадування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217"/>
        <w:gridCol w:w="5702"/>
      </w:tblGrid>
      <w:tr>
        <w:trPr>
          <w:cantSplit/>
          <w:tblHeader w:val="on"/>
        </w:trPr>
        <w:tc>
          <w:tcPr/>
          <w:p>
            <w:pPr>
              <w:pStyle w:val="Compact"/>
              <w:keepNext/>
              <w:jc w:val="center"/>
            </w:pPr>
            <w:r>
              <w:t xml:space="preserve">Поле</w:t>
            </w:r>
          </w:p>
        </w:tc>
        <w:tc>
          <w:tcPr/>
          <w:p>
            <w:pPr>
              <w:pStyle w:val="Compact"/>
              <w:keepNext/>
              <w:jc w:val="center"/>
            </w:pPr>
            <w:r>
              <w:t xml:space="preserve">Зміст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jc w:val="left"/>
            </w:pPr>
            <w:r>
              <w:t xml:space="preserve">Метрика успіху (план)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Не більше 5% негативних відповідей від усіх надісланих нагадувань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jc w:val="left"/>
            </w:pPr>
            <w:r>
              <w:t xml:space="preserve">Фактичний результат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8 негативних відповідей на 91 нагадування – 8.8%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jc w:val="left"/>
            </w:pPr>
            <w:r>
              <w:t xml:space="preserve">Статус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Спростована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jc w:val="left"/>
            </w:pPr>
            <w:r>
              <w:t xml:space="preserve">Ключові кількісні дані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На нагадування про справжні борги – 3 негативні відповіді з 63 (4.8%), усі в перші 4 дні на першу версію тексту. Після зміни тексту негативних відповідей на справжні борги не було. Решта 5 негативних відповідей – на помилкові нагадування тим, хто вже заплатив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jc w:val="left"/>
            </w:pPr>
            <w:r>
              <w:t xml:space="preserve">Ключові якісні інсайти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«А чому мені пише якийсь сервіс, а не Аліна?» – учень Аліни на першу версію тексту. «Ми віддали гроші Олені Петрівні в руки, навіщо це повідомлення?» – мати учениці Олени після помилкового нагадування. Двоє батьків учнів Ірини подякували за нагадування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t xml:space="preserve">Що змінили б у наступній ітерації?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Окремо міряти реакцію на тон і точність даних: сам тон після правки працює, а невдоволення викликають помилки обліку. Залишити в тексті фразу «Якщо ви вже оплатили, просто напишіть»: на неї відповіли спокійно 23 з 28 отримувачів помилкових нагадувань</w:t>
            </w:r>
          </w:p>
        </w:tc>
      </w:tr>
    </w:tbl>
    <w:p>
      <w:pPr>
        <w:pStyle w:val="TableCaptionOwn"/>
        <w:keepNext/>
        <w:spacing w:before="420"/>
      </w:pPr>
      <w:r>
        <w:t xml:space="preserve">Таблиця 20 – Результати гіпотези HYP-001: готовність платити 149 грн/міс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217"/>
        <w:gridCol w:w="5702"/>
      </w:tblGrid>
      <w:tr>
        <w:trPr>
          <w:cantSplit/>
          <w:tblHeader w:val="on"/>
        </w:trPr>
        <w:tc>
          <w:tcPr/>
          <w:p>
            <w:pPr>
              <w:pStyle w:val="Compact"/>
              <w:keepNext/>
              <w:jc w:val="center"/>
            </w:pPr>
            <w:r>
              <w:t xml:space="preserve">Поле</w:t>
            </w:r>
          </w:p>
        </w:tc>
        <w:tc>
          <w:tcPr/>
          <w:p>
            <w:pPr>
              <w:pStyle w:val="Compact"/>
              <w:keepNext/>
              <w:jc w:val="center"/>
            </w:pPr>
            <w:r>
              <w:t xml:space="preserve">Зміст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jc w:val="left"/>
            </w:pPr>
            <w:r>
              <w:t xml:space="preserve">Метрика успіху (план)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Щонайменше 30% репетиторів з 6+ учнями вносять передплату за місяць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jc w:val="left"/>
            </w:pPr>
            <w:r>
              <w:t xml:space="preserve">Фактичний результат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Передплату 149 грн внесли 3 з 5: Ірина, Олена й Андрій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jc w:val="left"/>
            </w:pPr>
            <w:r>
              <w:t xml:space="preserve">Статус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Недостатньо даних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jc w:val="left"/>
            </w:pPr>
            <w:r>
              <w:t xml:space="preserve">Ключові кількісні дані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60% у вибірці з 5 осіб. Троє учасників знайомі з автором з інтерв’ю і два тижні отримували сервіс безкоштовно, тому їхня згода частково може бути вдячністю. Для висновку потрібно щонайменше 81 репетитор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jc w:val="left"/>
            </w:pPr>
            <w:r>
              <w:t xml:space="preserve">Ключові якісні інсайти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«Сто п’ятдесят за те, що мені не треба писати батькам, – нормально» (Олена). «Гривень сто я б дала, але зараз, чесно, не готова» (Аліна; та сама сума, що й в інтерв’ю практичної роботи № 1). Платити погодились репетитори, у яких платять батьки або учнів більше 8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t xml:space="preserve">Що змінили б у наступній ітерації?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Pre-sell на лендінгу для репетиторів, не знайомих з командою. Показувати два варіанти ціни – 99 і 149 грн – і розділити відповіді за тим, хто платить: учні чи батьки</w:t>
            </w:r>
          </w:p>
        </w:tc>
      </w:tr>
    </w:tbl>
    <w:p>
      <w:pPr>
        <w:pStyle w:val="TableCaptionOwn"/>
        <w:keepNext/>
        <w:spacing w:before="420"/>
      </w:pPr>
      <w:r>
        <w:t xml:space="preserve">Таблиця 21 – Результати гіпотези HYP-002: канал зростання через спільноти й колег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217"/>
        <w:gridCol w:w="5702"/>
      </w:tblGrid>
      <w:tr>
        <w:trPr>
          <w:cantSplit/>
          <w:tblHeader w:val="on"/>
        </w:trPr>
        <w:tc>
          <w:tcPr/>
          <w:p>
            <w:pPr>
              <w:pStyle w:val="Compact"/>
              <w:keepNext/>
              <w:jc w:val="center"/>
            </w:pPr>
            <w:r>
              <w:t xml:space="preserve">Поле</w:t>
            </w:r>
          </w:p>
        </w:tc>
        <w:tc>
          <w:tcPr/>
          <w:p>
            <w:pPr>
              <w:pStyle w:val="Compact"/>
              <w:keepNext/>
              <w:jc w:val="center"/>
            </w:pPr>
            <w:r>
              <w:t xml:space="preserve">Зміст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jc w:val="left"/>
            </w:pPr>
            <w:r>
              <w:t xml:space="preserve">Метрика успіху (план)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Конверсія переходів зі спільнот у заявку на лендінгу ≥ 8%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jc w:val="left"/>
            </w:pPr>
            <w:r>
              <w:t xml:space="preserve">Фактичний результат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Лендінг у цій ітерації не запускався. Під час тесту надійшло 3 звернення від нових репетиторів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jc w:val="left"/>
            </w:pPr>
            <w:r>
              <w:t xml:space="preserve">Статус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Недостатньо даних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jc w:val="left"/>
            </w:pPr>
            <w:r>
              <w:t xml:space="preserve">Ключові кількісні дані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Два з трьох звернень надійшли від людей, які побачили нагадування Classno як батьки: колега Олени з музичної школи і мама учня Андрія, яка сама репетиторка. Третє – колега Ірини з ліцею, якій Ірина розповіла про підсумок тижня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jc w:val="left"/>
            </w:pPr>
            <w:r>
              <w:t xml:space="preserve">Ключові якісні інсайти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«Мені переслали ваше нагадування, а можна і мені так?» – колега Олени. Підпис Classno в нагадуванні працює як реклама серед батьків, частина з яких сама викладає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t xml:space="preserve">Що змінили б у наступній ітерації?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Запустити лендінг з UTM-мітками для кожної спільноти і окремою міткою для посилання в підписі нагадування, набрати 315 відвідувачів</w:t>
            </w:r>
          </w:p>
        </w:tc>
      </w:tr>
    </w:tbl>
    <w:bookmarkEnd w:id="38"/>
    <w:bookmarkEnd w:id="39"/>
    <w:bookmarkStart w:id="40" w:name="фінальне-рішення"/>
    <w:p>
      <w:pPr>
        <w:pStyle w:val="Heading1"/>
        <w:spacing w:before="420"/>
      </w:pPr>
      <w:r>
        <w:t xml:space="preserve">6. Фінальне рішення</w:t>
      </w:r>
    </w:p>
    <w:p>
      <w:pPr>
        <w:pStyle w:val="FirstParagraph"/>
      </w:pPr>
      <w:r>
        <w:t xml:space="preserve">Дані тесту зіставлено з ознаками рішень Persevere і Pivot.</w:t>
      </w:r>
    </w:p>
    <w:p>
      <w:pPr>
        <w:pStyle w:val="TableCaptionOwn"/>
        <w:keepNext/>
      </w:pPr>
      <w:r>
        <w:t xml:space="preserve">Таблиця 22 – Ознаки для рішення Pivot чи Persevere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376"/>
        <w:gridCol w:w="3643"/>
        <w:gridCol w:w="1900"/>
      </w:tblGrid>
      <w:tr>
        <w:trPr>
          <w:cantSplit/>
          <w:tblHeader w:val="on"/>
        </w:trPr>
        <w:tc>
          <w:tcPr/>
          <w:p>
            <w:pPr>
              <w:pStyle w:val="Compact"/>
              <w:keepNext/>
              <w:jc w:val="center"/>
            </w:pPr>
            <w:r>
              <w:t xml:space="preserve">Ознака</w:t>
            </w:r>
          </w:p>
        </w:tc>
        <w:tc>
          <w:tcPr/>
          <w:p>
            <w:pPr>
              <w:pStyle w:val="Compact"/>
              <w:keepNext/>
              <w:jc w:val="center"/>
            </w:pPr>
            <w:r>
              <w:t xml:space="preserve">Результат Concierge MVP</w:t>
            </w:r>
          </w:p>
        </w:tc>
        <w:tc>
          <w:tcPr/>
          <w:p>
            <w:pPr>
              <w:pStyle w:val="Compact"/>
              <w:keepNext/>
              <w:jc w:val="center"/>
            </w:pPr>
            <w:r>
              <w:t xml:space="preserve">На користь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jc w:val="left"/>
            </w:pPr>
            <w:r>
              <w:t xml:space="preserve">Метрика досягла порогу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73.5% проти 60% для HYP-003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Persevere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jc w:val="left"/>
            </w:pPr>
            <w:r>
              <w:t xml:space="preserve">Користувачі повертаються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Усі 5 репетиторів пройшли обидва тижні, 3 з 5 заплатили за продовження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Persevere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jc w:val="left"/>
            </w:pPr>
            <w:r>
              <w:t xml:space="preserve">Якісний фідбек підтверджує цінність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4 з 5 назвали нагадування найкориснішою частиною сервісу, Софія – підсумок тижня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Persevere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jc w:val="left"/>
            </w:pPr>
            <w:r>
              <w:t xml:space="preserve">Органічні рекомендації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3 звернення від нових репетиторів за два тижні без жодної реклами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Persevere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jc w:val="left"/>
            </w:pPr>
            <w:r>
              <w:t xml:space="preserve">Готовність платити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3 з 5, вибірка замала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Невизначено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jc w:val="left"/>
            </w:pPr>
            <w:r>
              <w:t xml:space="preserve">Використовують не так, як очікували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Регулярно звітувати про оплати репетитори не готові: у другому тижні 2 з 5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Змінити механізм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t xml:space="preserve">Знаходять іншу ЦА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Найкращий результат там, де платять батьки (87% проти 63%), а основна персона Аліна має найнижчий – 4 з 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Стежити за сегментом</w:t>
            </w:r>
          </w:p>
        </w:tc>
      </w:tr>
    </w:tbl>
    <w:p>
      <w:pPr>
        <w:pStyle w:val="BodyText"/>
        <w:spacing w:before="420"/>
      </w:pPr>
      <w:r>
        <w:t xml:space="preserve">Цінність нагадувань від імені сервісу підтверджена, тому напрям продукту зберігається. Спростовано механізм збору даних: розрахунок на те, що репетитор сам щодня відмічає оплати, не працює вже з другого тижня, і саме це зробило частину нагадувань помилковими. Це вимагає змінити функцію, а не продукт.</w:t>
      </w:r>
    </w:p>
    <w:p>
      <w:pPr>
        <w:pStyle w:val="BodyText"/>
      </w:pPr>
      <w:r>
        <w:t xml:space="preserve">Окремий сигнал стосується сегмента. Найсильніший ефект і готовність платити показали вчителі, чиї учні – діти, а платять батьки (Ірина, Олена). Для основної персони Аліни ефект найслабший. Двох тижнів і 34 боргів замало, щоб змінювати основну персону, тому наступна ітерація має перевірити цю різницю на більшій вибірці. Якщо вона підтвердиться, наступним кроком буде Customer Segment Pivot на вчителів з батьками-платниками.</w:t>
      </w:r>
    </w:p>
    <w:p>
      <w:pPr>
        <w:pStyle w:val="TableCaptionOwn"/>
        <w:keepNext/>
      </w:pPr>
      <w:r>
        <w:t xml:space="preserve">Таблиця 23 – Фінальне рішення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376"/>
        <w:gridCol w:w="5544"/>
      </w:tblGrid>
      <w:tr>
        <w:trPr>
          <w:cantSplit/>
          <w:tblHeader w:val="on"/>
        </w:trPr>
        <w:tc>
          <w:tcPr/>
          <w:p>
            <w:pPr>
              <w:pStyle w:val="Compact"/>
              <w:keepNext/>
              <w:jc w:val="center"/>
            </w:pPr>
            <w:r>
              <w:t xml:space="preserve">Поле</w:t>
            </w:r>
          </w:p>
        </w:tc>
        <w:tc>
          <w:tcPr/>
          <w:p>
            <w:pPr>
              <w:pStyle w:val="Compact"/>
              <w:keepNext/>
              <w:jc w:val="center"/>
            </w:pPr>
            <w:r>
              <w:t xml:space="preserve">Зміст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jc w:val="left"/>
            </w:pPr>
            <w:r>
              <w:t xml:space="preserve">Рішення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Persevere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jc w:val="left"/>
            </w:pPr>
            <w:r>
              <w:t xml:space="preserve">Якщо Persevere: наступна гіпотеза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HYP-004 у новому формулюванні: якщо щовечора бот сам питає «Хто сьогодні заплатив?» і показує список учнів дня з кнопками, то щонайменше 4 з 5 репетиторів відмічатимуть оплати 5+ днів на тиждень протягом 3 тижнів, а частка помилкових нагадувань буде нижчою за 5%. Наступний MVP – Wizard of Oz: Telegram-бот з кнопками відмітки, за яким нагадування надсилає оператор, 12–15 репетиторів, з них щонайменше половина з батьками-платниками. Паралельно – лендінг з Pre-sell для HYP-001 і HYP-002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jc w:val="left"/>
            </w:pPr>
            <w:r>
              <w:t xml:space="preserve">Якщо Pivot: тип Pivot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Не застосовується. Кандидат на наступну ітерацію – Customer Segment Pivot, якщо різниця між батьками й учнями підтвердиться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jc w:val="left"/>
            </w:pPr>
            <w:r>
              <w:t xml:space="preserve">Якщо Pivot: що зберігаємо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Не застосовується. За можливого Pivot зберігаються текст нагадування версії 2, сервісний сценарій і журнал з 91 нагадування як базовий рівень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jc w:val="left"/>
            </w:pPr>
            <w:r>
              <w:t xml:space="preserve">Якщо Pivot: нова гіпотеза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Не застосовується. Можливе формулювання: вчителі з 10+ учнями-дітьми платитимуть 149 грн/міс за нагадування батькам у Viber і Telegram від імені сервісу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t xml:space="preserve">Що б ви зробили інакше?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 Міряти частку помилкових нагадувань з першого дня і заборонити нагадування без свіжих даних від репетитора – тоді 25 помилкових нагадувань другого тижня можна було б уникнути. 2. Перед стартом перевірити текст нагадування на 2–3 учнях: перша версія за чотири дні дала всі три негативні відповіді на справжні борги. 3. Закласти в картку експерименту поділ за тим, хто платить – учень чи батьки: різницю виявлено вже після тесту, і на 15 боргах у Viber вона лише вказує напрям</w:t>
            </w:r>
          </w:p>
        </w:tc>
      </w:tr>
    </w:tbl>
    <w:bookmarkEnd w:id="40"/>
    <w:bookmarkStart w:id="41" w:name="висновки"/>
    <w:p>
      <w:pPr>
        <w:pStyle w:val="Heading1"/>
        <w:spacing w:before="420"/>
      </w:pPr>
      <w:r>
        <w:t xml:space="preserve">Висновки</w:t>
      </w:r>
    </w:p>
    <w:p>
      <w:pPr>
        <w:pStyle w:val="FirstParagraph"/>
      </w:pPr>
      <w:r>
        <w:t xml:space="preserve">Робота перевела бачення Classno з рівня інтерв’ю на рівень поведінки. Із 15 гіпотез дерева перевірено п’ять ключових, і результати змінили пріоритети продукту.</w:t>
      </w:r>
    </w:p>
    <w:p>
      <w:pPr>
        <w:pStyle w:val="Compact"/>
        <w:numPr>
          <w:ilvl w:val="0"/>
          <w:numId w:val="1003"/>
        </w:numPr>
      </w:pPr>
      <w:r>
        <w:t xml:space="preserve">Головна ціннісна гіпотеза підтвердилась: 73.5% боргів погашено протягом 3 днів після нагадування від імені сервісу, і репетиторам не довелося самим писати учням про гроші. Нагадування від Classno лишаються ядром продукту і його UVP.</w:t>
      </w:r>
    </w:p>
    <w:p>
      <w:pPr>
        <w:pStyle w:val="Compact"/>
        <w:numPr>
          <w:ilvl w:val="0"/>
          <w:numId w:val="1003"/>
        </w:numPr>
      </w:pPr>
      <w:r>
        <w:t xml:space="preserve">Найслабшим місцем виявилось те, що в практичній роботі № 2 здавалось найпростішим, – ручна відмітка оплат. У другому тижні регулярно звітували лише 2 з 5 репетиторів, і через це 31% нагадувань були помилковими. Невдоволення батьків спричиняв саме помилковий облік, тоді як до тону після правки тексту претензій не було. Тому наступна ітерація перевіряє механізм збору даних, а не нагадування.</w:t>
      </w:r>
    </w:p>
    <w:p>
      <w:pPr>
        <w:pStyle w:val="Compact"/>
        <w:numPr>
          <w:ilvl w:val="0"/>
          <w:numId w:val="1003"/>
        </w:numPr>
      </w:pPr>
      <w:r>
        <w:t xml:space="preserve">Тест показав можливий зсув цільової аудиторії: нагадування батькам у Viber працюють краще, ніж учням у Telegram, і платити погодились саме вчителі з батьками-платниками. Інтеграція з Viber, яку в практичній роботі № 2 віднесено до backlog, може виявитись частиною MVP.</w:t>
      </w:r>
    </w:p>
    <w:p>
      <w:pPr>
        <w:pStyle w:val="Compact"/>
        <w:numPr>
          <w:ilvl w:val="0"/>
          <w:numId w:val="1003"/>
        </w:numPr>
      </w:pPr>
      <w:r>
        <w:t xml:space="preserve">Concierge MVP за п’ять днів підготовки дав відповідь на ризиковану гіпотезу і якісні пояснення до кожної цифри. Водночас вибірка з 34 боргів дає похибку ±15 п.п., тож висновки потребують підтвердження на 12–15 репетиторах у Wizard of Oz MVP.</w:t>
      </w:r>
    </w:p>
    <w:bookmarkEnd w:id="41"/>
    <w:bookmarkStart w:id="42" w:name="список-джерел"/>
    <w:p>
      <w:pPr>
        <w:pStyle w:val="Heading1"/>
      </w:pPr>
      <w:r>
        <w:t xml:space="preserve">Список джерел</w:t>
      </w:r>
    </w:p>
    <w:p>
      <w:pPr>
        <w:pStyle w:val="Compact"/>
        <w:numPr>
          <w:ilvl w:val="0"/>
          <w:numId w:val="1004"/>
        </w:numPr>
        <w:jc w:val="left"/>
      </w:pPr>
      <w:r>
        <w:t xml:space="preserve">Ries E. The Lean Startup: How Today’s Entrepreneurs Use Continuous Innovation to Create Radically Successful Businesses. New York : Crown Business, 2011. 336 p. URL: https://theleanstartup.com/book (дата звернення: 17.10.2026).</w:t>
      </w:r>
    </w:p>
    <w:p>
      <w:pPr>
        <w:pStyle w:val="Compact"/>
        <w:numPr>
          <w:ilvl w:val="0"/>
          <w:numId w:val="1004"/>
        </w:numPr>
        <w:jc w:val="left"/>
      </w:pPr>
      <w:r>
        <w:t xml:space="preserve">Bland D. J., Osterwalder A. Testing Business Ideas: A Field Guide for Rapid Experimentation. Hoboken : Wiley, 2019. 352 p. URL: https://www.strategyzer.com/library/testing-business-ideas-book (дата звернення: 17.10.2026).</w:t>
      </w:r>
    </w:p>
    <w:p>
      <w:pPr>
        <w:pStyle w:val="Compact"/>
        <w:numPr>
          <w:ilvl w:val="0"/>
          <w:numId w:val="1004"/>
        </w:numPr>
      </w:pPr>
      <w:r>
        <w:t xml:space="preserve">Cochran W. G. Sampling Techniques. 3rd ed. New York : John Wiley &amp; Sons, 1977. 428 p.</w:t>
      </w:r>
    </w:p>
    <w:bookmarkEnd w:id="42"/>
    <w:bookmarkStart w:id="43" w:name="Xe43c2b0c7242b223edda6d8f7a85e418ee93422"/>
    <w:p>
      <w:pPr>
        <w:pStyle w:val="Heading1"/>
      </w:pPr>
      <w:r>
        <w:t xml:space="preserve">Додаток А. Фрагмент журналу Concierge MVP</w:t>
      </w:r>
    </w:p>
    <w:p>
      <w:pPr>
        <w:pStyle w:val="FirstParagraph"/>
      </w:pPr>
      <w:r>
        <w:t xml:space="preserve">Журнал вівся по кожному репетитору окремо. Нижче – усі записи журналу Ірини за 10-й день тесту, коли після двох днів без звітів більшість нагадувань виявились помилковими.</w:t>
      </w:r>
    </w:p>
    <w:p>
      <w:pPr>
        <w:pStyle w:val="BodyText"/>
        <w:keepNext/>
      </w:pPr>
      <w:r>
        <w:t xml:space="preserve">Таблиця А.1 – Журнал подій Ірини, день 10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554"/>
        <w:gridCol w:w="633"/>
        <w:gridCol w:w="2534"/>
        <w:gridCol w:w="1029"/>
        <w:gridCol w:w="792"/>
        <w:gridCol w:w="2376"/>
      </w:tblGrid>
      <w:tr>
        <w:trPr>
          <w:cantSplit/>
          <w:tblHeader w:val="on"/>
        </w:trPr>
        <w:tc>
          <w:tcPr/>
          <w:p>
            <w:pPr>
              <w:pStyle w:val="Compact"/>
              <w:keepNext/>
              <w:jc w:val="center"/>
            </w:pPr>
            <w:r>
              <w:t xml:space="preserve">День</w:t>
            </w:r>
          </w:p>
        </w:tc>
        <w:tc>
          <w:tcPr/>
          <w:p>
            <w:pPr>
              <w:pStyle w:val="Compact"/>
              <w:keepNext/>
              <w:jc w:val="center"/>
            </w:pPr>
            <w:r>
              <w:t xml:space="preserve">Учень</w:t>
            </w:r>
          </w:p>
        </w:tc>
        <w:tc>
          <w:tcPr/>
          <w:p>
            <w:pPr>
              <w:pStyle w:val="Compact"/>
              <w:keepNext/>
              <w:jc w:val="center"/>
            </w:pPr>
            <w:r>
              <w:t xml:space="preserve">Подія</w:t>
            </w:r>
          </w:p>
        </w:tc>
        <w:tc>
          <w:tcPr/>
          <w:p>
            <w:pPr>
              <w:pStyle w:val="Compact"/>
              <w:keepNext/>
              <w:jc w:val="center"/>
            </w:pPr>
            <w:r>
              <w:t xml:space="preserve">Канал</w:t>
            </w:r>
          </w:p>
        </w:tc>
        <w:tc>
          <w:tcPr/>
          <w:p>
            <w:pPr>
              <w:pStyle w:val="Compact"/>
              <w:keepNext/>
              <w:jc w:val="center"/>
            </w:pPr>
            <w:r>
              <w:t xml:space="preserve">Сума, грн</w:t>
            </w:r>
          </w:p>
        </w:tc>
        <w:tc>
          <w:tcPr/>
          <w:p>
            <w:pPr>
              <w:pStyle w:val="Compact"/>
              <w:keepNext/>
              <w:jc w:val="center"/>
            </w:pPr>
            <w:r>
              <w:t xml:space="preserve">Примітка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І04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нагадування, оплату вже внесено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Viber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350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оплату не передано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І04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негативна відповідь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Viber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–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–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І06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нагадування, оплату вже внесено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Viber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400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оплату не передано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І06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відповідь «вже оплатили»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Viber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–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–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І07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нагадування, оплату вже внесено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Viber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300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оплату не передано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І07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відповідь «вже оплатили»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Viber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–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–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І08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нагадування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Viber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350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–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І09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нагадування, оплату вже внесено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Viber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350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оплату не передано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І09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відповідь «вже оплатили»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Viber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–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–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І11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нагадування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Viber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350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–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І17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нагадування, оплату вже внесено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Telegram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400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оплату не передано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І17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відповідь «вже оплатили»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Telegram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–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–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І19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нагадування, оплату вже внесено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Telegram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800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оплату не передано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І19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відповідь «вже оплатили»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Telegram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–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–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І20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нагадування, оплату вже внесено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Telegram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350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оплату не передано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І20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відповідь «вже оплатили»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Telegram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–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–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І02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заняття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–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400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–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І02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оплата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–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400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готівка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І07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заняття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–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300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–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І07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оплата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–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300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готівка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І08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заняття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–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350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–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І11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заняття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–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350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–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І11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оплата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–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700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після нагадування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І13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заняття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–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300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–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І13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оплата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–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300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готівка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І16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заняття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–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350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–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І16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оплата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–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350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готівка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І22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заняття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–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400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–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І22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оплата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–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400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готівка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звіт репетитора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Telegram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–</w:t>
            </w:r>
          </w:p>
        </w:tc>
      </w:tr>
    </w:tbl>
    <w:bookmarkEnd w:id="43"/>
    <w:sectPr>
      <w:pgSz w:h="16838" w:w="11906"/>
      <w:pgMar w:bottom="1134" w:footer="708" w:gutter="0" w:header="708" w:left="1418" w:right="1134" w:top="1134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suff w:val="space"/>
      <w:lvlText w:val=" "/>
      <w:lvlJc w:val="left"/>
      <w:pPr>
        <w:ind w:left="0" w:firstLine="709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suff w:val="space"/>
      <w:lvlText w:val="%1."/>
      <w:lvlJc w:val="left"/>
      <w:pPr>
        <w:ind w:left="0" w:firstLine="709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cs="Times New Roman" w:eastAsia="Times New Roman" w:hAnsi="Times New Roman"/>
        <w:sz w:val="28"/>
        <w:szCs w:val="28"/>
        <w:lang w:val="uk-UA"/>
      </w:rPr>
    </w:rPrDefault>
    <w:pPrDefault>
      <w:pPr>
        <w:spacing w:after="0" w:before="0" w:line="360" w:lineRule="auto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pPr>
      <w:ind w:firstLine="709"/>
      <w:jc w:val="both"/>
    </w:pPr>
    <w:rPr>
      <w:rFonts w:ascii="Times New Roman" w:cs="Times New Roman" w:eastAsia="Times New Roman" w:hAnsi="Times New Roman"/>
    </w:rPr>
  </w:style>
  <w:style w:styleId="BodyText" w:type="paragraph">
    <w:name w:val="Body Text"/>
    <w:basedOn w:val="Normal"/>
    <w:link w:val="BodyTextChar"/>
    <w:qFormat/>
    <w:pPr>
      <w:ind w:firstLine="709"/>
      <w:jc w:val="both"/>
    </w:pPr>
  </w:style>
  <w:style w:customStyle="1" w:styleId="FirstParagraph" w:type="paragraph">
    <w:name w:val="First Paragraph"/>
    <w:basedOn w:val="BodyText"/>
    <w:next w:val="BodyText"/>
    <w:qFormat/>
    <w:pPr>
      <w:ind w:firstLine="709"/>
      <w:jc w:val="both"/>
    </w:pPr>
  </w:style>
  <w:style w:customStyle="1" w:styleId="Compact" w:type="paragraph">
    <w:name w:val="Compact"/>
    <w:basedOn w:val="BodyText"/>
    <w:qFormat/>
    <w:pPr>
      <w:ind w:firstLine="0" w:left="0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120" w:before="240" w:line="360" w:lineRule="auto"/>
      <w:ind w:firstLine="0" w:left="0"/>
      <w:jc w:val="center"/>
    </w:pPr>
    <w:rPr>
      <w:b/>
      <w:caps/>
      <w:sz w:val="28"/>
      <w:szCs w:val="28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120" w:before="240" w:line="360" w:lineRule="auto"/>
      <w:ind w:firstLine="0" w:left="0"/>
    </w:pPr>
    <w:rPr>
      <w:b/>
      <w:sz w:val="28"/>
      <w:szCs w:val="28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60" w:before="120" w:line="360" w:lineRule="auto"/>
      <w:ind w:firstLine="0" w:left="0"/>
    </w:pPr>
    <w:rPr>
      <w:b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60" w:before="120" w:line="360" w:lineRule="auto"/>
      <w:ind w:firstLine="0" w:left="0"/>
    </w:pPr>
    <w:rPr>
      <w:i/>
      <w:sz w:val="28"/>
      <w:szCs w:val="28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0" w:before="0" w:line="240" w:lineRule="auto"/>
      <w:ind w:firstLine="0" w:left="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qFormat/>
    <w:pPr>
      <w:spacing w:after="0" w:before="0" w:line="240" w:lineRule="auto"/>
      <w:ind w:firstLine="0" w:left="0"/>
    </w:pPr>
    <w:rPr>
      <w:rFonts w:ascii="Times New Roman" w:cs="Times New Roman" w:eastAsia="Times New Roman" w:hAnsi="Times New Roman"/>
      <w:sz w:val="24"/>
      <w:szCs w:val="24"/>
    </w:rPr>
    <w:tblPr>
      <w:tblInd w:type="dxa" w:w="0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CellMar>
        <w:top w:type="dxa" w:w="28"/>
        <w:left w:type="dxa" w:w="85"/>
        <w:bottom w:type="dxa" w:w="28"/>
        <w:right w:type="dxa" w:w="85"/>
      </w:tblCellMar>
    </w:tblPr>
    <w:tblStylePr w:type="firstRow">
      <w:pPr>
        <w:jc w:val="center"/>
      </w:pPr>
      <w:rPr>
        <w:b/>
      </w:r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240" w:before="0" w:line="240" w:lineRule="auto"/>
      <w:ind w:firstLine="0" w:left="0"/>
      <w:jc w:val="center"/>
    </w:pPr>
  </w:style>
  <w:style w:customStyle="1" w:styleId="TableCaption" w:type="paragraph">
    <w:name w:val="Table Caption"/>
    <w:basedOn w:val="Caption"/>
    <w:pPr>
      <w:spacing w:after="240" w:before="0" w:line="240" w:lineRule="auto"/>
      <w:ind w:firstLine="0" w:left="0"/>
      <w:jc w:val="center"/>
    </w:pPr>
  </w:style>
  <w:style w:customStyle="1" w:styleId="ImageCaption" w:type="paragraph">
    <w:name w:val="Image Caption"/>
    <w:basedOn w:val="Caption"/>
    <w:pPr>
      <w:spacing w:after="240" w:before="0" w:line="240" w:lineRule="auto"/>
      <w:ind w:firstLine="0" w:left="0"/>
      <w:jc w:val="center"/>
    </w:pPr>
  </w:style>
  <w:style w:customStyle="1" w:styleId="Figure" w:type="paragraph">
    <w:name w:val="Figure"/>
    <w:basedOn w:val="Normal"/>
    <w:pPr>
      <w:keepNext/>
      <w:keepLines/>
      <w:spacing w:after="60" w:before="240" w:line="240" w:lineRule="auto"/>
      <w:ind w:firstLine="0" w:left="0"/>
      <w:jc w:val="center"/>
    </w:pPr>
  </w:style>
  <w:style w:customStyle="1" w:styleId="CaptionedFigure" w:type="paragraph">
    <w:name w:val="Captioned Figure"/>
    <w:basedOn w:val="Figure"/>
    <w:pPr>
      <w:keepNext/>
      <w:keepLines/>
      <w:spacing w:after="60" w:before="240" w:line="240" w:lineRule="auto"/>
      <w:ind w:firstLine="0" w:left="0"/>
      <w:jc w:val="center"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urier New" w:cs="Courier New" w:eastAsia="Courier New" w:hAnsi="Courier New"/>
      <w:sz w:val="20"/>
      <w:szCs w:val="20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styleId="SourceCode" w:type="paragraph">
    <w:name w:val="Source Code"/>
    <w:basedOn w:val="Normal"/>
    <w:qFormat/>
    <w:pPr>
      <w:spacing w:after="0" w:before="0" w:line="240" w:lineRule="auto"/>
      <w:ind w:firstLine="0" w:left="0"/>
      <w:jc w:val="left"/>
    </w:pPr>
    <w:rPr>
      <w:rFonts w:ascii="Courier New" w:cs="Courier New" w:eastAsia="Courier New" w:hAnsi="Courier New"/>
      <w:sz w:val="20"/>
      <w:szCs w:val="20"/>
    </w:rPr>
  </w:style>
  <w:style w:styleId="TitlePage" w:type="paragraph">
    <w:name w:val="Титульний"/>
    <w:basedOn w:val="Normal"/>
    <w:qFormat/>
    <w:pPr>
      <w:spacing w:after="0" w:before="0" w:line="240" w:lineRule="auto"/>
      <w:ind w:firstLine="0" w:left="0"/>
      <w:jc w:val="center"/>
    </w:pPr>
  </w:style>
  <w:style w:styleId="TitlePageLeft" w:type="paragraph">
    <w:name w:val="Титульний лівий"/>
    <w:basedOn w:val="Normal"/>
    <w:qFormat/>
    <w:pPr>
      <w:spacing w:after="0" w:before="0" w:line="240" w:lineRule="auto"/>
      <w:ind w:firstLine="0" w:left="709"/>
      <w:jc w:val="left"/>
    </w:pPr>
  </w:style>
  <w:style w:styleId="FigureImage" w:type="paragraph">
    <w:name w:val="Рисунок"/>
    <w:basedOn w:val="Normal"/>
    <w:qFormat/>
    <w:pPr>
      <w:keepNext/>
      <w:keepLines/>
      <w:spacing w:after="60" w:before="240" w:line="240" w:lineRule="auto"/>
      <w:ind w:firstLine="0" w:left="0"/>
      <w:jc w:val="center"/>
    </w:pPr>
  </w:style>
  <w:style w:styleId="FigureCaption" w:type="paragraph">
    <w:name w:val="Підпис"/>
    <w:basedOn w:val="Normal"/>
    <w:qFormat/>
    <w:pPr>
      <w:spacing w:after="240" w:before="0" w:line="240" w:lineRule="auto"/>
      <w:ind w:firstLine="0" w:left="0"/>
      <w:jc w:val="center"/>
    </w:pPr>
  </w:style>
  <w:style w:styleId="TableCaptionOwn" w:type="paragraph">
    <w:name w:val="Підпис таблиці"/>
    <w:basedOn w:val="Normal"/>
    <w:qFormat/>
    <w:pPr>
      <w:keepNext/>
      <w:keepLines/>
      <w:spacing w:after="60" w:before="240" w:line="240" w:lineRule="auto"/>
      <w:ind w:firstLine="0" w:left="0"/>
      <w:jc w:val="left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3" Target="media/rId13.png" /><Relationship Type="http://schemas.openxmlformats.org/officeDocument/2006/relationships/image" Id="rId31" Target="media/rId31.png" /><Relationship Type="http://schemas.openxmlformats.org/officeDocument/2006/relationships/image" Id="rId34" Target="media/rId34.png" /><Relationship Type="http://schemas.openxmlformats.org/officeDocument/2006/relationships/image" Id="rId9" Target="media/rId9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2026-10-17T20:58:34Z</dcterms:created>
  <dcterms:modified xsi:type="dcterms:W3CDTF">2026-10-17T20:58:34Z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