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9.png" ContentType="image/png"/>
  <Override PartName="/word/media/rId28.png" ContentType="image/png"/>
  <Override PartName="/word/media/rId32.png" ContentType="image/png"/>
  <Override PartName="/word/media/rId36.png" ContentType="image/png"/>
  <Override PartName="/word/media/rId44.png" ContentType="image/png"/>
  <Override PartName="/word/media/rId40.png" ContentType="image/png"/>
  <Override PartName="/word/media/rId48.png" ContentType="image/png"/>
  <Override PartName="/word/media/rId51.png" ContentType="image/png"/>
  <Override PartName="/word/media/rId55.png" ContentType="image/png"/>
  <Override PartName="/word/media/rId58.png" ContentType="image/png"/>
  <Override PartName="/word/media/rId62.png" ContentType="image/png"/>
  <Override PartName="/word/media/rId65.png" ContentType="image/png"/>
  <Override PartName="/word/media/rId68.png" ContentType="image/png"/>
  <Override PartName="/word/media/rId72.png" ContentType="image/png"/>
  <Override PartName="/word/media/rId76.png" ContentType="image/png"/>
  <Override PartName="/word/media/rId79.png" ContentType="image/png"/>
  <Override PartName="/word/media/rId83.png" ContentType="image/png"/>
  <Override PartName="/word/media/rId87.png" ContentType="image/png"/>
  <Override PartName="/word/media/rId91.png" ContentType="image/png"/>
  <Override PartName="/word/media/rId9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Page"/>
      </w:pPr>
      <w:r>
        <w:drawing>
          <wp:inline>
            <wp:extent cx="5255999" cy="839095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assets/00_logo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5999" cy="8390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TitlePage"/>
      </w:pPr>
      <w:r>
        <w:t xml:space="preserve">Міністерство освіти та науки України</w:t>
      </w:r>
    </w:p>
    <w:p>
      <w:pPr>
        <w:pStyle w:val="TitlePage"/>
      </w:pPr>
      <w:r>
        <w:t xml:space="preserve">Національний технічний університет України</w:t>
      </w:r>
    </w:p>
    <w:p>
      <w:pPr>
        <w:pStyle w:val="TitlePage"/>
      </w:pPr>
      <w:r>
        <w:t xml:space="preserve">«Київський політехнічний інститут імені Ігоря Сікорського»</w:t>
      </w:r>
    </w:p>
    <w:p>
      <w:pPr>
        <w:pStyle w:val="TitlePage"/>
      </w:pPr>
      <w:r>
        <w:t xml:space="preserve">Факультет інформатики та обчислювальної техніки</w:t>
      </w:r>
    </w:p>
    <w:p>
      <w:pPr>
        <w:pStyle w:val="TitlePage"/>
      </w:pPr>
      <w:r>
        <w:t xml:space="preserve">Кафедра обчислювальної техніки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rPr>
          <w:b/>
          <w:bCs/>
        </w:rPr>
        <w:t xml:space="preserve">Звіт</w:t>
      </w:r>
    </w:p>
    <w:p>
      <w:pPr>
        <w:pStyle w:val="TitlePage"/>
      </w:pPr>
      <w:r>
        <w:t xml:space="preserve">з дисципліни «Аналіз та обробка часових рядів (Time Series)»</w:t>
      </w:r>
    </w:p>
    <w:p>
      <w:pPr>
        <w:pStyle w:val="TitlePage"/>
      </w:pPr>
      <w:r>
        <w:t xml:space="preserve">Лабораторна робота № 4</w:t>
      </w:r>
    </w:p>
    <w:p>
      <w:pPr>
        <w:pStyle w:val="TitlePage"/>
      </w:pPr>
      <w:r>
        <w:t xml:space="preserve">«Пошук закономірностей в структурах Time Series»</w:t>
      </w:r>
    </w:p>
    <w:p>
      <w:pPr>
        <w:pStyle w:val="TitlePage"/>
      </w:pPr>
      <w:r>
        <w:t xml:space="preserve">Рівень складності ІІІ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Left"/>
      </w:pPr>
      <w:r>
        <w:rPr>
          <w:b/>
          <w:bCs/>
          <w:u w:val="single"/>
        </w:rPr>
        <w:t xml:space="preserve">Виконав:</w:t>
      </w:r>
    </w:p>
    <w:p>
      <w:pPr>
        <w:pStyle w:val="TitlePageLeft"/>
      </w:pPr>
      <w:r>
        <w:rPr>
          <w:i/>
          <w:iCs/>
        </w:rPr>
        <w:t xml:space="preserve">Студент IV курсу</w:t>
      </w:r>
    </w:p>
    <w:p>
      <w:pPr>
        <w:pStyle w:val="TitlePageLeft"/>
      </w:pPr>
      <w:r>
        <w:rPr>
          <w:i/>
          <w:iCs/>
        </w:rPr>
        <w:t xml:space="preserve">гр. ІП-33</w:t>
      </w:r>
    </w:p>
    <w:p>
      <w:pPr>
        <w:pStyle w:val="TitlePageLeft"/>
      </w:pPr>
      <w:r>
        <w:t xml:space="preserve">Соколов О. В.</w:t>
      </w:r>
    </w:p>
    <w:p>
      <w:pPr>
        <w:pStyle w:val="TitlePageLeft"/>
      </w:pPr>
      <w:r>
        <w:rPr>
          <w:b/>
          <w:bCs/>
          <w:u w:val="single"/>
        </w:rPr>
        <w:t xml:space="preserve">Прийняв:</w:t>
      </w:r>
    </w:p>
    <w:p>
      <w:pPr>
        <w:pStyle w:val="TitlePageLeft"/>
      </w:pPr>
      <w:r>
        <w:t xml:space="preserve">Писарчук О. О.</w:t>
      </w:r>
    </w:p>
    <w:p>
      <w:pPr>
        <w:pStyle w:val="TitlePageLeft"/>
      </w:pPr>
      <w:r>
        <w:t xml:space="preserve">«___» ____________ 2026 р.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rPr>
          <w:b/>
          <w:bCs/>
        </w:rPr>
        <w:t xml:space="preserve">Київ – 2026</w:t>
      </w:r>
    </w:p>
    <w:p>
      <w:r>
        <w:br w:type="page"/>
      </w:r>
    </w:p>
    <w:bookmarkStart w:id="12" w:name="і.-мета"/>
    <w:p>
      <w:pPr>
        <w:pStyle w:val="Heading1"/>
      </w:pPr>
      <w:r>
        <w:t xml:space="preserve">І. Мета</w:t>
      </w:r>
    </w:p>
    <w:p>
      <w:pPr>
        <w:pStyle w:val="FirstParagraph"/>
      </w:pPr>
      <w:r>
        <w:t xml:space="preserve">Виявити, дослідити та узагальнити особливості реалізації процесів пошуку закономірностей</w:t>
      </w:r>
      <w:r>
        <w:t xml:space="preserve"> </w:t>
      </w:r>
      <w:r>
        <w:t xml:space="preserve">в структурах Time Series з використанням можливостей мови програмування Python.</w:t>
      </w:r>
    </w:p>
    <w:bookmarkEnd w:id="12"/>
    <w:bookmarkStart w:id="13" w:name="іі.-завдання"/>
    <w:p>
      <w:pPr>
        <w:pStyle w:val="Heading1"/>
      </w:pPr>
      <w:r>
        <w:t xml:space="preserve">ІІ. Завдання</w:t>
      </w:r>
    </w:p>
    <w:p>
      <w:pPr>
        <w:pStyle w:val="FirstParagraph"/>
      </w:pPr>
      <w:r>
        <w:t xml:space="preserve">Розробити програмний скрипт мовою Python, що розширює універсальну платформу обробки</w:t>
      </w:r>
      <w:r>
        <w:t xml:space="preserve"> </w:t>
      </w:r>
      <w:r>
        <w:t xml:space="preserve">Time Series функціоналом поглибленого аналізу властивостей.</w:t>
      </w:r>
    </w:p>
    <w:p>
      <w:pPr>
        <w:pStyle w:val="BodyText"/>
      </w:pPr>
      <w:r>
        <w:t xml:space="preserve">Група вимог 1:</w:t>
      </w:r>
    </w:p>
    <w:p>
      <w:pPr>
        <w:pStyle w:val="Compact"/>
        <w:numPr>
          <w:ilvl w:val="0"/>
          <w:numId w:val="1001"/>
        </w:numPr>
      </w:pPr>
      <w:r>
        <w:t xml:space="preserve">Для реальних даних, що оброблялись у ЛР 1–3, реалізувати поглиблений аналіз:</w:t>
      </w:r>
      <w:r>
        <w:t xml:space="preserve"> </w:t>
      </w:r>
      <w:r>
        <w:t xml:space="preserve">декомпозицію, виявлення властивостей через обрані показники, візуалізацію,</w:t>
      </w:r>
      <w:r>
        <w:t xml:space="preserve"> </w:t>
      </w:r>
      <w:r>
        <w:t xml:space="preserve">кластеризацію і кореляційний аналіз.</w:t>
      </w:r>
    </w:p>
    <w:p>
      <w:pPr>
        <w:pStyle w:val="Compact"/>
        <w:numPr>
          <w:ilvl w:val="0"/>
          <w:numId w:val="1001"/>
        </w:numPr>
      </w:pPr>
      <w:r>
        <w:t xml:space="preserve">Виявлені закономірності і властивості описати та пояснити.</w:t>
      </w:r>
    </w:p>
    <w:p>
      <w:pPr>
        <w:pStyle w:val="Compact"/>
        <w:numPr>
          <w:ilvl w:val="0"/>
          <w:numId w:val="1001"/>
        </w:numPr>
      </w:pPr>
      <w:r>
        <w:t xml:space="preserve">Реалізувати генерування синтетичних Time Series з виявленими закономірностями</w:t>
      </w:r>
      <w:r>
        <w:t xml:space="preserve"> </w:t>
      </w:r>
      <w:r>
        <w:t xml:space="preserve">і довести адекватність моделей порівнянням їхніх показників з реальними даними.</w:t>
      </w:r>
    </w:p>
    <w:p>
      <w:pPr>
        <w:pStyle w:val="Compact"/>
        <w:numPr>
          <w:ilvl w:val="0"/>
          <w:numId w:val="1001"/>
        </w:numPr>
      </w:pPr>
      <w:r>
        <w:t xml:space="preserve">Оформити блоки аналізу реальних даних та генерації і аналізу модельних окремими</w:t>
      </w:r>
      <w:r>
        <w:t xml:space="preserve"> </w:t>
      </w:r>
      <w:r>
        <w:t xml:space="preserve">модулями.</w:t>
      </w:r>
    </w:p>
    <w:p>
      <w:pPr>
        <w:pStyle w:val="FirstParagraph"/>
      </w:pPr>
      <w:r>
        <w:t xml:space="preserve">Група вимог 2: реалізувати функціонал групи 1 на наданому або самостійно обраному</w:t>
      </w:r>
      <w:r>
        <w:t xml:space="preserve"> </w:t>
      </w:r>
      <w:r>
        <w:t xml:space="preserve">багатовимірному наборі даних.</w:t>
      </w:r>
    </w:p>
    <w:p>
      <w:pPr>
        <w:pStyle w:val="BodyText"/>
      </w:pPr>
      <w:r>
        <w:t xml:space="preserve">Обраний рівень складності – ІІІ: група 1 виконана на курсі USD Ощадбанку, а її</w:t>
      </w:r>
      <w:r>
        <w:t xml:space="preserve"> </w:t>
      </w:r>
      <w:r>
        <w:t xml:space="preserve">ефективність підтверджена виконанням групи 2 на багатовимірних даних.</w:t>
      </w:r>
    </w:p>
    <w:p>
      <w:pPr>
        <w:pStyle w:val="BodyText"/>
      </w:pPr>
      <w:r>
        <w:t xml:space="preserve">Набір даних варіанта 8 (</w:t>
      </w:r>
      <w:r>
        <w:rPr>
          <w:rStyle w:val="VerbatimChar"/>
        </w:rPr>
        <w:t xml:space="preserve">Data_Set_8.xlsx</w:t>
      </w:r>
      <w:r>
        <w:t xml:space="preserve">) містить 15 замовлень інтернет-магазину за</w:t>
      </w:r>
      <w:r>
        <w:t xml:space="preserve"> </w:t>
      </w:r>
      <w:r>
        <w:t xml:space="preserve">один місяць і часового ряду не утворює: на ньому неможливі ні декомпозиція, ні</w:t>
      </w:r>
      <w:r>
        <w:t xml:space="preserve"> </w:t>
      </w:r>
      <w:r>
        <w:t xml:space="preserve">кластеризація, ні оцінка автокореляції. Тому для групи 2 використано дозволений</w:t>
      </w:r>
      <w:r>
        <w:t xml:space="preserve"> </w:t>
      </w:r>
      <w:r>
        <w:t xml:space="preserve">завданням варіант самостійно обраних багатовимірних даних – архів погодних</w:t>
      </w:r>
      <w:r>
        <w:t xml:space="preserve"> </w:t>
      </w:r>
      <w:r>
        <w:t xml:space="preserve">спостережень Open-Meteo [1] для 12 міст України.</w:t>
      </w:r>
    </w:p>
    <w:p>
      <w:pPr>
        <w:pStyle w:val="TableCaptionOwn"/>
        <w:keepNext/>
      </w:pPr>
      <w:r>
        <w:t xml:space="preserve">Таблиця 1 – Вхідні дані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  <w:jc w:val="center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Група 1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Група 2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Джерело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архів курсів Ощадбанку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архівний API Open-Meteo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Період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08.02.2022 – 06.02.2023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01.01.2015 – 31.12.2024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Обсяг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348 записів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12 міст × 3653 доби, 87 672 години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Показники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купівля, продаж, курс НБУ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температура, вологість, тиск, вітер, опади, сонячна радіація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Крок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нерегулярний (ряд подій)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доба; година для температури Києва</w:t>
            </w:r>
          </w:p>
        </w:tc>
      </w:tr>
    </w:tbl>
    <w:p>
      <w:pPr>
        <w:pStyle w:val="BodyText"/>
        <w:spacing w:before="420"/>
      </w:pPr>
      <w:r>
        <w:t xml:space="preserve">Міста групи 2 обрано з різних кліматичних зон: Ужгород, Львів, Івано-Франківськ, Луцьк,</w:t>
      </w:r>
      <w:r>
        <w:t xml:space="preserve"> </w:t>
      </w:r>
      <w:r>
        <w:t xml:space="preserve">Вінниця, Київ, Чернігів, Полтава, Харків, Дніпро, Запоріжжя, Одеса.</w:t>
      </w:r>
    </w:p>
    <w:bookmarkEnd w:id="13"/>
    <w:bookmarkStart w:id="101" w:name="Xc1386a3283912c4f3374a84873b52512cc02c89"/>
    <w:p>
      <w:pPr>
        <w:pStyle w:val="Heading1"/>
      </w:pPr>
      <w:r>
        <w:t xml:space="preserve">ІІІ. Результати виконання лабораторної роботи</w:t>
      </w:r>
    </w:p>
    <w:bookmarkStart w:id="22" w:name="синтезована-математична-модель"/>
    <w:p>
      <w:pPr>
        <w:pStyle w:val="Heading2"/>
      </w:pPr>
      <w:r>
        <w:t xml:space="preserve">3.1. Синтезована математична модель</w:t>
      </w:r>
    </w:p>
    <w:bookmarkStart w:id="14" w:name="модель-вхідних-даних"/>
    <w:p>
      <w:pPr>
        <w:pStyle w:val="Heading3"/>
      </w:pPr>
      <w:r>
        <w:t xml:space="preserve">3.1.1. Модель вхідних даних</w:t>
      </w:r>
    </w:p>
    <w:p>
      <w:pPr>
        <w:pStyle w:val="FirstParagraph"/>
      </w:pPr>
      <w:r>
        <w:t xml:space="preserve">Курс валют у файлі Ощадбанку – ряд подій: кожен запис фіксує зміну курсу, за один день</w:t>
      </w:r>
      <w:r>
        <w:t xml:space="preserve"> </w:t>
      </w:r>
      <w:r>
        <w:t xml:space="preserve">їх буває до шести. Тому аналіз ведеться за номером запису</w:t>
      </w:r>
      <w:r>
        <w:t xml:space="preserve"> </w:t>
      </w:r>
      <m:oMath>
        <m:r>
          <m:t>t</m:t>
        </m:r>
      </m:oMath>
      <w:r>
        <w:t xml:space="preserve">, а не за календарним</w:t>
      </w:r>
      <w:r>
        <w:t xml:space="preserve"> </w:t>
      </w:r>
      <w:r>
        <w:t xml:space="preserve">часом. Пропуски (нулі у файлі) заповнюються лінійною інтерполяцією.</w:t>
      </w:r>
    </w:p>
    <w:p>
      <w:pPr>
        <w:pStyle w:val="BodyText"/>
      </w:pPr>
      <w:r>
        <w:t xml:space="preserve">Добові погодні показники описуються адитивною моделлю з лінійним трендом, річною</w:t>
      </w:r>
      <w:r>
        <w:t xml:space="preserve"> </w:t>
      </w:r>
      <w:r>
        <w:t xml:space="preserve">сезонністю у вигляді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гармонік і аномалією зі змінною за сезоном дисперсією: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t</m:t>
          </m:r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cos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π</m:t>
                      </m:r>
                      <m:r>
                        <m:t>j</m:t>
                      </m:r>
                      <m:r>
                        <m:t>t</m:t>
                      </m:r>
                    </m:num>
                    <m:den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sin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π</m:t>
                      </m:r>
                      <m:r>
                        <m:t>j</m:t>
                      </m:r>
                      <m:r>
                        <m:t>t</m:t>
                      </m:r>
                    </m:num>
                    <m:den>
                      <m:r>
                        <m:t>P</m:t>
                      </m:r>
                    </m:den>
                  </m:f>
                </m:e>
              </m:d>
            </m:e>
          </m:nary>
          <m:r>
            <m:rPr>
              <m:sty m:val="p"/>
            </m:rPr>
            <m:t>+</m:t>
          </m:r>
          <m:r>
            <m:t>σ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z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P</m:t>
          </m:r>
          <m:r>
            <m:rPr>
              <m:sty m:val="p"/>
            </m:rPr>
            <m:t>=</m:t>
          </m:r>
          <m:r>
            <m:t>365</m:t>
          </m:r>
          <m:r>
            <m:rPr>
              <m:sty m:val="p"/>
            </m:rPr>
            <m:t>,</m:t>
          </m:r>
          <m:r>
            <m:t>25</m:t>
          </m:r>
        </m:oMath>
      </m:oMathPara>
    </w:p>
    <w:p>
      <w:pPr>
        <w:pStyle w:val="FirstParagraph"/>
      </w:pPr>
      <w:r>
        <w:t xml:space="preserve">Коефіцієнти оцінюються МНК,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. Амплітуда річного циклу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bSup>
              <m:e>
                <m:r>
                  <m:t>c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d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,</w:t>
      </w:r>
      <w:r>
        <w:t xml:space="preserve"> </w:t>
      </w:r>
      <w:r>
        <w:t xml:space="preserve">тренд за десятиліття –</w:t>
      </w:r>
      <w:r>
        <w:t xml:space="preserve"> </w:t>
      </w:r>
      <m:oMath>
        <m:r>
          <m:t>3652</m:t>
        </m:r>
        <m:r>
          <m:rPr>
            <m:sty m:val="p"/>
          </m:rPr>
          <m:t>,</m:t>
        </m:r>
        <m:r>
          <m:t>5</m:t>
        </m:r>
        <m:r>
          <m:t> </m:t>
        </m:r>
        <m:r>
          <m:t>b</m:t>
        </m:r>
      </m:oMath>
      <w:r>
        <w:t xml:space="preserve">. Різниця</w:t>
      </w:r>
      <w:r>
        <w:t xml:space="preserve"> </w:t>
      </w:r>
      <m:oMath>
        <m: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– аномалія,</w:t>
      </w:r>
      <w:r>
        <w:t xml:space="preserve"> </w:t>
      </w:r>
      <w:r>
        <w:t xml:space="preserve">з якою працюють кореляційний аналіз і модель синтезу.</w:t>
      </w:r>
    </w:p>
    <w:bookmarkEnd w:id="14"/>
    <w:bookmarkStart w:id="15" w:name="декомпозиція"/>
    <w:p>
      <w:pPr>
        <w:pStyle w:val="Heading3"/>
      </w:pPr>
      <w:r>
        <w:t xml:space="preserve">3.1.2. Декомпозиція</w:t>
      </w:r>
    </w:p>
    <w:p>
      <w:pPr>
        <w:pStyle w:val="FirstParagraph"/>
      </w:pPr>
      <w:r>
        <w:t xml:space="preserve">STL-декомпозиція розкладає ряд на тренд, сезонну компоненту і залишок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згладжуючи компоненти LOESS у двох вкладених циклах [2].</w:t>
      </w:r>
      <w:r>
        <w:t xml:space="preserve"> </w:t>
      </w:r>
      <w:r>
        <w:t xml:space="preserve">MSTL узагальнює її на кілька сезонностей: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S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. Для</w:t>
      </w:r>
      <w:r>
        <w:t xml:space="preserve"> </w:t>
      </w:r>
      <w:r>
        <w:t xml:space="preserve">погодинної температури задано добовий і річний періоди.</w:t>
      </w:r>
    </w:p>
    <w:p>
      <w:pPr>
        <w:pStyle w:val="BodyText"/>
      </w:pPr>
      <w:r>
        <w:t xml:space="preserve">Внесок компонент оцінюється силою тренду і сезонності: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max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R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rPr>
              <m:sty m:val="p"/>
            </m:rPr>
            <m:t>,</m:t>
          </m:r>
          <m:r>
            <m:t> </m:t>
          </m:r>
          <m:sSub>
            <m:e>
              <m:r>
                <m:t>F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max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R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</m:d>
        </m:oMath>
      </m:oMathPara>
    </w:p>
    <w:p>
      <w:pPr>
        <w:pStyle w:val="FirstParagraph"/>
      </w:pPr>
      <w:r>
        <w:t xml:space="preserve">Значення, близьке до 1, означає, що компонента домінує над залишком. Для зведеної</w:t>
      </w:r>
      <w:r>
        <w:t xml:space="preserve"> </w:t>
      </w:r>
      <w:r>
        <w:t xml:space="preserve">таблиці за містами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береться як сума гармонік з п. 3.1.1: на добових даних STL</w:t>
      </w:r>
      <w:r>
        <w:t xml:space="preserve"> </w:t>
      </w:r>
      <w:r>
        <w:t xml:space="preserve">вбирає в сезонну компоненту частину шуму, бо кожен день року за 10 років має лише</w:t>
      </w:r>
      <w:r>
        <w:t xml:space="preserve"> </w:t>
      </w:r>
      <w:r>
        <w:t xml:space="preserve">10 значень, і для шумних показників на кшталт опадів</w:t>
      </w:r>
      <w:r>
        <w:t xml:space="preserve"> </w:t>
      </w:r>
      <m:oMath>
        <m:sSub>
          <m:e>
            <m:r>
              <m:t>F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виходить завищеним.</w:t>
      </w:r>
    </w:p>
    <w:bookmarkEnd w:id="15"/>
    <w:bookmarkStart w:id="16" w:name="показники-властивостей"/>
    <w:p>
      <w:pPr>
        <w:pStyle w:val="Heading3"/>
      </w:pPr>
      <w:r>
        <w:t xml:space="preserve">3.1.3. Показники властивостей</w:t>
      </w:r>
    </w:p>
    <w:p>
      <w:pPr>
        <w:pStyle w:val="FirstParagraph"/>
      </w:pPr>
      <w:r>
        <w:t xml:space="preserve">Для кожного ряду обчислюються вибіркові середнє, медіана, СКВ, коефіцієнт варіації,</w:t>
      </w:r>
      <w:r>
        <w:t xml:space="preserve"> </w:t>
      </w:r>
      <w:r>
        <w:t xml:space="preserve">асиметрія та ексцес.</w:t>
      </w:r>
    </w:p>
    <w:p>
      <w:pPr>
        <w:pStyle w:val="BodyText"/>
      </w:pPr>
      <w:r>
        <w:t xml:space="preserve">Стаціонарність перевіряється двома тестами з протилежними нульовими гіпотезами: ADF</w:t>
      </w:r>
      <w:r>
        <w:t xml:space="preserve"> </w:t>
      </w:r>
      <w:r>
        <w:t xml:space="preserve">(H0 – одиничний корінь) і KPSS (H0 – стаціонарність). Ряд вважається стаціонарним, якщо</w:t>
      </w:r>
      <w:r>
        <w:t xml:space="preserve"> </w:t>
      </w:r>
      <w:r>
        <w:t xml:space="preserve">ADF відкидає H0, а KPSS – ні, на рівні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05</m:t>
        </m:r>
      </m:oMath>
      <w:r>
        <w:t xml:space="preserve">.</w:t>
      </w:r>
    </w:p>
    <w:p>
      <w:pPr>
        <w:pStyle w:val="BodyText"/>
      </w:pPr>
      <w:r>
        <w:t xml:space="preserve">Пам’ять процесу оцінюється показником Херста за R/S-аналізом. Ряд ділиться на</w:t>
      </w:r>
      <w:r>
        <w:t xml:space="preserve"> </w:t>
      </w:r>
      <w:r>
        <w:t xml:space="preserve">неперекривні вікна довжини</w:t>
      </w:r>
      <w:r>
        <w:t xml:space="preserve"> </w:t>
      </w:r>
      <m:oMath>
        <m:r>
          <m:t>n</m:t>
        </m:r>
      </m:oMath>
      <w:r>
        <w:t xml:space="preserve">, у кожному обчислюється відношення розмаху кумулятивних</w:t>
      </w:r>
      <w:r>
        <w:t xml:space="preserve"> </w:t>
      </w:r>
      <w:r>
        <w:t xml:space="preserve">відхилень до СКВ, і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r>
          <m:t>R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]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n</m:t>
            </m:r>
          </m:e>
          <m:sup>
            <m:r>
              <m:t>H</m:t>
            </m:r>
          </m:sup>
        </m:sSup>
      </m:oMath>
      <w:r>
        <w:t xml:space="preserve">.</w:t>
      </w:r>
      <w:r>
        <w:t xml:space="preserve"> </w:t>
      </w:r>
      <m:oMath>
        <m:r>
          <m:t>H</m:t>
        </m:r>
        <m:r>
          <m:rPr>
            <m:sty m:val="p"/>
          </m:rPr>
          <m:t>≈</m:t>
        </m:r>
        <m:r>
          <m:t>0</m:t>
        </m:r>
        <m:r>
          <m:rPr>
            <m:sty m:val="p"/>
          </m:rPr>
          <m:t>,</m:t>
        </m:r>
        <m:r>
          <m:t>5</m:t>
        </m:r>
      </m:oMath>
      <w:r>
        <w:t xml:space="preserve"> </w:t>
      </w:r>
      <w:r>
        <w:t xml:space="preserve">відповідає незалежним</w:t>
      </w:r>
      <w:r>
        <w:t xml:space="preserve"> </w:t>
      </w:r>
      <w:r>
        <w:t xml:space="preserve">приростам,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5</m:t>
        </m:r>
      </m:oMath>
      <w:r>
        <w:t xml:space="preserve"> </w:t>
      </w:r>
      <w:r>
        <w:t xml:space="preserve">– персистентності.</w:t>
      </w:r>
    </w:p>
    <w:p>
      <w:pPr>
        <w:pStyle w:val="BodyText"/>
      </w:pPr>
      <w:r>
        <w:t xml:space="preserve">На коротких вікнах класична оцінка завищена. Для незалежних нормальних відліків</w:t>
      </w:r>
      <w:r>
        <w:t xml:space="preserve"> </w:t>
      </w:r>
      <w:r>
        <w:t xml:space="preserve">очікуване R/S відоме (формула Аніса–Ллойда з поправкою Пітерса [3]):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[</m:t>
          </m:r>
          <m:r>
            <m:t>R</m:t>
          </m:r>
          <m:r>
            <m:rPr>
              <m:sty m:val="p"/>
            </m:rPr>
            <m:t>/</m:t>
          </m:r>
          <m:r>
            <m:t>S</m:t>
          </m:r>
          <m:sSub>
            <m:e>
              <m:r>
                <m:rPr>
                  <m:sty m:val="p"/>
                </m:rPr>
                <m:t>]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num>
            <m:den>
              <m:r>
                <m:t>n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</m:num>
            <m:den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t> </m:t>
              </m:r>
              <m:r>
                <m:rPr>
                  <m:sty m:val="p"/>
                </m:rPr>
                <m:t>Γ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i</m:t>
                      </m:r>
                    </m:num>
                    <m:den>
                      <m:r>
                        <m:t>i</m:t>
                      </m:r>
                    </m:den>
                  </m:f>
                </m:e>
              </m:rad>
            </m:e>
          </m:nary>
        </m:oMath>
      </m:oMathPara>
    </w:p>
    <w:p>
      <w:pPr>
        <w:pStyle w:val="FirstParagraph"/>
      </w:pPr>
      <w:r>
        <w:t xml:space="preserve">Тому в роботі використано скориговану оцінку – нахил відхилення від цього рівня: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d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/</m:t>
                  </m:r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/</m:t>
                  </m:r>
                  <m:r>
                    <m:t> </m:t>
                  </m:r>
                  <m:r>
                    <m:t>E</m:t>
                  </m:r>
                  <m:r>
                    <m:rPr>
                      <m:sty m:val="p"/>
                    </m:rPr>
                    <m:t>[</m:t>
                  </m:r>
                  <m:r>
                    <m:t>R</m:t>
                  </m:r>
                  <m:r>
                    <m:rPr>
                      <m:sty m:val="p"/>
                    </m:rPr>
                    <m:t>/</m:t>
                  </m:r>
                  <m:r>
                    <m:t>S</m:t>
                  </m:r>
                  <m:sSub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e>
              </m:d>
            </m:num>
            <m:den>
              <m:r>
                <m:t>d</m:t>
              </m:r>
              <m:r>
                <m:rPr>
                  <m:sty m:val="p"/>
                </m:rPr>
                <m:t>ln</m:t>
              </m:r>
              <m:r>
                <m:t>n</m:t>
              </m:r>
            </m:den>
          </m:f>
        </m:oMath>
      </m:oMathPara>
    </w:p>
    <w:bookmarkEnd w:id="16"/>
    <w:bookmarkStart w:id="17" w:name="кореляційний-аналіз"/>
    <w:p>
      <w:pPr>
        <w:pStyle w:val="Heading3"/>
      </w:pPr>
      <w:r>
        <w:t xml:space="preserve">3.1.4. Кореляційний аналіз</w:t>
      </w:r>
    </w:p>
    <w:p>
      <w:pPr>
        <w:pStyle w:val="FirstParagraph"/>
      </w:pPr>
      <w:r>
        <w:t xml:space="preserve">Кореляція Пірсона обчислюється окремо для рівнів і для приростів (група 1) або аномалій</w:t>
      </w:r>
      <w:r>
        <w:t xml:space="preserve"> </w:t>
      </w:r>
      <w:r>
        <w:t xml:space="preserve">(група 2). Спільний тренд чи сезонність дають високу кореляцію рівнів навіть між</w:t>
      </w:r>
      <w:r>
        <w:t xml:space="preserve"> </w:t>
      </w:r>
      <w:r>
        <w:t xml:space="preserve">незалежними процесами, тому висновки робляться за приростами й аномаліями.</w:t>
      </w:r>
    </w:p>
    <w:p>
      <w:pPr>
        <w:pStyle w:val="BodyText"/>
      </w:pPr>
      <w:r>
        <w:t xml:space="preserve">Крос-кореляція з лагом</w:t>
      </w:r>
      <w:r>
        <w:t xml:space="preserve"> </w:t>
      </w:r>
      <m:oMath>
        <m:r>
          <m:t>τ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x</m:t>
              </m:r>
              <m:r>
                <m:t>y</m:t>
              </m:r>
            </m:sub>
          </m:sSub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corr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y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τ</m:t>
              </m:r>
              <m:r>
                <m:rPr>
                  <m:sty m:val="p"/>
                </m:rPr>
                <m:t>)</m:t>
              </m:r>
            </m:e>
          </m:d>
        </m:oMath>
      </m:oMathPara>
    </w:p>
    <w:p>
      <w:pPr>
        <w:pStyle w:val="FirstParagraph"/>
      </w:pPr>
      <w:r>
        <w:t xml:space="preserve">Максимум при</w:t>
      </w:r>
      <w:r>
        <w:t xml:space="preserve"> </w:t>
      </w:r>
      <m:oMath>
        <m:r>
          <m:t>τ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означає, що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випереджає</w:t>
      </w:r>
      <w:r>
        <w:t xml:space="preserve"> </w:t>
      </w:r>
      <m:oMath>
        <m:r>
          <m:t>y</m:t>
        </m:r>
      </m:oMath>
      <w:r>
        <w:t xml:space="preserve">. Для пар міст перенесення</w:t>
      </w:r>
      <w:r>
        <w:t xml:space="preserve"> </w:t>
      </w:r>
      <w:r>
        <w:t xml:space="preserve">погоди оцінюється асиметрією</w:t>
      </w:r>
      <w:r>
        <w:t xml:space="preserve"> </w:t>
      </w:r>
      <m:oMath>
        <m:r>
          <m:t>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 де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– західніше місто.</w:t>
      </w:r>
    </w:p>
    <w:p>
      <w:pPr>
        <w:pStyle w:val="BodyText"/>
      </w:pPr>
      <w:r>
        <w:t xml:space="preserve">Спадання кореляції аномалій з відстанню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між містами (по великому колу, формула</w:t>
      </w:r>
      <w:r>
        <w:t xml:space="preserve"> </w:t>
      </w:r>
      <w:r>
        <w:t xml:space="preserve">гаверсинусів) апроксимується експонентою</w:t>
      </w:r>
      <w:r>
        <w:t xml:space="preserve"> </w:t>
      </w:r>
      <m:oMath>
        <m:r>
          <m:t>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L</m:t>
            </m:r>
          </m:sup>
        </m:sSup>
      </m:oMath>
      <w:r>
        <w:t xml:space="preserve">, де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– радіус кореляції.</w:t>
      </w:r>
    </w:p>
    <w:bookmarkEnd w:id="17"/>
    <w:bookmarkStart w:id="18" w:name="кластеризація"/>
    <w:p>
      <w:pPr>
        <w:pStyle w:val="Heading3"/>
      </w:pPr>
      <w:r>
        <w:t xml:space="preserve">3.1.5. Кластеризація</w:t>
      </w:r>
    </w:p>
    <w:p>
      <w:pPr>
        <w:pStyle w:val="FirstParagraph"/>
      </w:pPr>
      <w:r>
        <w:t xml:space="preserve">Режими курсу валют виділяються K-means на стандартизованих ознаках кожного запису:</w:t>
      </w:r>
      <w:r>
        <w:t xml:space="preserve"> </w:t>
      </w:r>
      <w:r>
        <w:t xml:space="preserve">рівень курсу НБУ, премія ринку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b</m:t>
        </m:r>
        <m:r>
          <m:t>u</m:t>
        </m:r>
        <m:r>
          <m:t>y</m:t>
        </m:r>
        <m:r>
          <m:rPr>
            <m:sty m:val="p"/>
          </m:rPr>
          <m:t>−</m:t>
        </m:r>
        <m:r>
          <m:t>n</m:t>
        </m:r>
        <m:r>
          <m:t>b</m:t>
        </m:r>
        <m:r>
          <m:t>u</m:t>
        </m:r>
      </m:oMath>
      <w:r>
        <w:t xml:space="preserve">, спред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s</m:t>
        </m:r>
        <m:r>
          <m:t>e</m:t>
        </m:r>
        <m:r>
          <m:t>l</m:t>
        </m:r>
        <m:r>
          <m:t>l</m:t>
        </m:r>
        <m:r>
          <m:rPr>
            <m:sty m:val="p"/>
          </m:rPr>
          <m:t>−</m:t>
        </m:r>
        <m:r>
          <m:t>b</m:t>
        </m:r>
        <m:r>
          <m:t>u</m:t>
        </m:r>
        <m:r>
          <m:t>y</m:t>
        </m:r>
      </m:oMath>
      <w:r>
        <w:t xml:space="preserve"> </w:t>
      </w:r>
      <w:r>
        <w:t xml:space="preserve">і ковзна</w:t>
      </w:r>
      <w:r>
        <w:t xml:space="preserve"> </w:t>
      </w:r>
      <w:r>
        <w:t xml:space="preserve">середня</w:t>
      </w:r>
      <w:r>
        <w:t xml:space="preserve"> </w:t>
      </w:r>
      <m:oMath>
        <m:r>
          <m:rPr>
            <m:sty m:val="p"/>
          </m:rPr>
          <m:t>|</m:t>
        </m:r>
        <m:r>
          <m:rPr>
            <m:sty m:val="p"/>
          </m:rPr>
          <m:t>Δ</m:t>
        </m:r>
        <m:r>
          <m:t>b</m:t>
        </m:r>
        <m:r>
          <m:t>u</m:t>
        </m:r>
        <m:r>
          <m:t>y</m:t>
        </m:r>
        <m:r>
          <m:rPr>
            <m:sty m:val="p"/>
          </m:rPr>
          <m:t>|</m:t>
        </m:r>
      </m:oMath>
      <w:r>
        <w:t xml:space="preserve"> </w:t>
      </w:r>
      <w:r>
        <w:t xml:space="preserve">за 10 записів. Кількість кластерів</w:t>
      </w:r>
      <w:r>
        <w:t xml:space="preserve"> </w:t>
      </w:r>
      <m:oMath>
        <m:r>
          <m:t>k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]</m:t>
        </m:r>
      </m:oMath>
      <w:r>
        <w:t xml:space="preserve"> </w:t>
      </w:r>
      <w:r>
        <w:t xml:space="preserve">обирається за максимумом коефіцієнта силуету.</w:t>
      </w:r>
    </w:p>
    <w:p>
      <w:pPr>
        <w:pStyle w:val="BodyText"/>
      </w:pPr>
      <w:r>
        <w:t xml:space="preserve">Міста кластеризуються двома незалежними способами:</w:t>
      </w:r>
    </w:p>
    <w:p>
      <w:pPr>
        <w:pStyle w:val="Compact"/>
        <w:numPr>
          <w:ilvl w:val="0"/>
          <w:numId w:val="1002"/>
        </w:numPr>
      </w:pPr>
      <w:r>
        <w:t xml:space="preserve">Метод Уорда за кліматичними ознаками: середня температура, річна амплітуда,</w:t>
      </w:r>
      <w:r>
        <w:t xml:space="preserve"> </w:t>
      </w:r>
      <w:r>
        <w:t xml:space="preserve">вологість, річна сума опадів, вітер, радіація.</w:t>
      </w:r>
    </w:p>
    <w:p>
      <w:pPr>
        <w:pStyle w:val="Compact"/>
        <w:numPr>
          <w:ilvl w:val="0"/>
          <w:numId w:val="1002"/>
        </w:numPr>
      </w:pPr>
      <w:r>
        <w:t xml:space="preserve">Метод середнього зв’язку за кореляційною відстанню між рядами аномалій температури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r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rad>
      </m:oMath>
      <w:r>
        <w:t xml:space="preserve">.</w:t>
      </w:r>
    </w:p>
    <w:p>
      <w:pPr>
        <w:pStyle w:val="FirstParagraph"/>
      </w:pPr>
      <w:r>
        <w:t xml:space="preserve">Узгодженість розбиттів вимірюється скоригованим індексом Ренда (ARI): 1 – розбиття</w:t>
      </w:r>
      <w:r>
        <w:t xml:space="preserve"> </w:t>
      </w:r>
      <w:r>
        <w:t xml:space="preserve">збігаються, близько 0 – збіг випадковий.</w:t>
      </w:r>
    </w:p>
    <w:bookmarkEnd w:id="18"/>
    <w:bookmarkStart w:id="19" w:name="модель-синтезу-курсу-валют"/>
    <w:p>
      <w:pPr>
        <w:pStyle w:val="Heading3"/>
      </w:pPr>
      <w:r>
        <w:t xml:space="preserve">3.1.6. Модель синтезу курсу валют</w:t>
      </w:r>
    </w:p>
    <w:p>
      <w:pPr>
        <w:pStyle w:val="FirstParagraph"/>
      </w:pPr>
      <w:r>
        <w:t xml:space="preserve">Курс моделюється кусково-стаціонарним процесом на режимах, знайдених кластеризацією.</w:t>
      </w:r>
      <w:r>
        <w:t xml:space="preserve"> </w:t>
      </w:r>
      <w:r>
        <w:t xml:space="preserve">На кожній ділянці премія і спред – процеси AR(1), що повертаються до свого середнього: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sSub>
            <m:e>
              <m:r>
                <m:t>φ</m:t>
              </m:r>
            </m:e>
            <m:sub>
              <m:r>
                <m:t>p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</m:e>
          </m:d>
          <m:r>
            <m:rPr>
              <m:sty m:val="p"/>
            </m:rPr>
            <m:t>+</m:t>
          </m:r>
          <m:sSub>
            <m:e>
              <m:r>
                <m:t>e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sSub>
            <m:e>
              <m:r>
                <m:t>μ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=</m:t>
          </m:r>
          <m:sSub>
            <m:e>
              <m:r>
                <m:t>φ</m:t>
              </m:r>
            </m:e>
            <m:sub>
              <m:r>
                <m:t>s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s</m:t>
                  </m:r>
                </m:sub>
              </m:sSub>
            </m:e>
          </m:d>
          <m:r>
            <m:rPr>
              <m:sty m:val="p"/>
            </m:rPr>
            <m:t>+</m:t>
          </m:r>
          <m:sSub>
            <m:e>
              <m:r>
                <m:t>e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b</m:t>
          </m:r>
          <m:r>
            <m:t>u</m:t>
          </m:r>
          <m:r>
            <m:t>y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b</m:t>
          </m:r>
          <m:r>
            <m:t>u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p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s</m:t>
          </m:r>
          <m:r>
            <m:t>e</m:t>
          </m:r>
          <m:r>
            <m:t>l</m:t>
          </m:r>
          <m:r>
            <m:t>l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b</m:t>
          </m:r>
          <m:r>
            <m:t>u</m:t>
          </m:r>
          <m:r>
            <m:t>y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Курс НБУ – зовнішній вхід: сталий у періоди фіксації або випадкове блукання там, де</w:t>
      </w:r>
      <w:r>
        <w:t xml:space="preserve"> </w:t>
      </w:r>
      <w:r>
        <w:t xml:space="preserve">він змінювався. Інновації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s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Δ</m:t>
        </m:r>
        <m:r>
          <m:t>n</m:t>
        </m:r>
        <m:r>
          <m:t>b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не вважаються нормальними: їх беруть</w:t>
      </w:r>
      <w:r>
        <w:t xml:space="preserve"> </w:t>
      </w:r>
      <w:r>
        <w:t xml:space="preserve">бутстрепом із залишків тієї самої ділянки, причому всі три з одного запису. Так</w:t>
      </w:r>
      <w:r>
        <w:t xml:space="preserve"> </w:t>
      </w:r>
      <w:r>
        <w:t xml:space="preserve">зберігаються важкі хвости приростів і зв’язок між рядами. На межі режимів премія</w:t>
      </w:r>
      <w:r>
        <w:t xml:space="preserve"> </w:t>
      </w:r>
      <w:r>
        <w:t xml:space="preserve">стрибає до нового середнього</w:t>
      </w:r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: зміна режиму і є стрибком ринку.</w:t>
      </w:r>
    </w:p>
    <w:bookmarkEnd w:id="19"/>
    <w:bookmarkStart w:id="20" w:name="модель-синтезу-погоди"/>
    <w:p>
      <w:pPr>
        <w:pStyle w:val="Heading3"/>
      </w:pPr>
      <w:r>
        <w:t xml:space="preserve">3.1.7. Модель синтезу погоди</w:t>
      </w:r>
    </w:p>
    <w:p>
      <w:pPr>
        <w:pStyle w:val="FirstParagraph"/>
      </w:pPr>
      <w:r>
        <w:t xml:space="preserve">Для кожного міста детермінована частина моделі п. 3.1.1 переноситься в синтез без</w:t>
      </w:r>
      <w:r>
        <w:t xml:space="preserve"> </w:t>
      </w:r>
      <w:r>
        <w:t xml:space="preserve">змін. Сезонна дисперсія оцінюється регресією квадратів аномалій на дві гармоніки,</w:t>
      </w:r>
      <w:r>
        <w:t xml:space="preserve"> </w:t>
      </w:r>
      <w:r>
        <w:t xml:space="preserve">що не залежить від форми розподілу: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cos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π</m:t>
                      </m:r>
                      <m:r>
                        <m:t>j</m:t>
                      </m:r>
                      <m:r>
                        <m:t>t</m:t>
                      </m:r>
                    </m:num>
                    <m:den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sin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π</m:t>
                      </m:r>
                      <m:r>
                        <m:t>j</m:t>
                      </m:r>
                      <m:r>
                        <m:t>t</m:t>
                      </m:r>
                    </m:num>
                    <m:den>
                      <m:r>
                        <m:t>P</m:t>
                      </m:r>
                    </m:den>
                  </m:f>
                </m:e>
              </m:d>
            </m:e>
          </m:nary>
          <m:r>
            <m:rPr>
              <m:sty m:val="p"/>
            </m:rPr>
            <m:t>,</m:t>
          </m:r>
          <m:r>
            <m:t>  </m:t>
          </m:r>
          <m:r>
            <m:t>z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Стандартизовані аномалії всіх 12 міст описуються однією векторною авторегресією: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"/>
            </m:rPr>
            <m:t>z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rPr>
                      <m:sty m:val="b"/>
                    </m:rP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 </m:t>
          </m:r>
          <m:r>
            <m:rPr>
              <m:sty m:val="b"/>
            </m:rPr>
            <m:t>z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−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"/>
            </m:rPr>
            <m:t>u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Порядок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обирається за BIC з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5</m:t>
        </m:r>
      </m:oMath>
      <w:r>
        <w:t xml:space="preserve">. Матриці</w:t>
      </w:r>
      <w:r>
        <w:t xml:space="preserve"> </w:t>
      </w:r>
      <m:oMath>
        <m:sSub>
          <m:e>
            <m:r>
              <m:rPr>
                <m:sty m:val="b"/>
              </m:rP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передають і пам’ять</w:t>
      </w:r>
      <w:r>
        <w:t xml:space="preserve"> </w:t>
      </w:r>
      <w:r>
        <w:t xml:space="preserve">кожного міста, і запізнену залежність між містами, тобто перенесення погоди.</w:t>
      </w:r>
    </w:p>
    <w:p>
      <w:pPr>
        <w:pStyle w:val="BodyText"/>
      </w:pPr>
      <w:r>
        <w:t xml:space="preserve">Досліджено три способи генерування інновацій</w:t>
      </w:r>
      <w:r>
        <w:t xml:space="preserve"> </w:t>
      </w:r>
      <m:oMath>
        <m:r>
          <m:rPr>
            <m:sty m:val="b"/>
          </m:rPr>
          <m:t>u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Нормальні з коваріацією залишків</w:t>
      </w:r>
      <w:r>
        <w:t xml:space="preserve"> </w:t>
      </w:r>
      <m:oMath>
        <m:r>
          <m:rPr>
            <m:sty m:val="b"/>
          </m:rPr>
          <m:t>u</m:t>
        </m:r>
        <m:r>
          <m:rPr>
            <m:sty m:val="p"/>
          </m:rPr>
          <m:t>∼</m:t>
        </m:r>
        <m: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Σ</m:t>
            </m:r>
          </m:e>
          <m:sub>
            <m:r>
              <m:t>u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Сезонний бутстреп: вектор залишків береться цілком з того самого вікна</w:t>
      </w:r>
      <w:r>
        <w:t xml:space="preserve"> </w:t>
      </w:r>
      <m:oMath>
        <m:r>
          <m:rPr>
            <m:sty m:val="p"/>
          </m:rPr>
          <m:t>±</m:t>
        </m:r>
        <m:r>
          <m:t>15</m:t>
        </m:r>
      </m:oMath>
      <w:r>
        <w:t xml:space="preserve"> </w:t>
      </w:r>
      <w:r>
        <w:t xml:space="preserve">діб навколо дня року. Зберігається просторова кореляція і різна взимку</w:t>
      </w:r>
      <w:r>
        <w:t xml:space="preserve"> </w:t>
      </w:r>
      <w:r>
        <w:t xml:space="preserve">та влітку форма розподілу.</w:t>
      </w:r>
    </w:p>
    <w:p>
      <w:pPr>
        <w:pStyle w:val="Compact"/>
        <w:numPr>
          <w:ilvl w:val="0"/>
          <w:numId w:val="1003"/>
        </w:numPr>
      </w:pPr>
      <w:r>
        <w:t xml:space="preserve">Копула: VAR будується на нормальних рангах аномалій, а згенеровані ранги</w:t>
      </w:r>
      <w:r>
        <w:t xml:space="preserve"> </w:t>
      </w:r>
      <w:r>
        <w:t xml:space="preserve">переводяться назад у аномалії через емпіричний розподіл того самого сезону:</w:t>
      </w:r>
    </w:p>
    <w:p>
      <w:pPr>
        <w:pStyle w:val="FirstParagraph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</m:e>
                <m:sub>
                  <m:r>
                    <m:t>d</m:t>
                  </m:r>
                </m:sub>
              </m:sSub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t>z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Sup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d</m:t>
              </m:r>
            </m:sub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bSup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Φ</m:t>
              </m:r>
              <m:r>
                <m:rPr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d>
        </m:oMath>
      </m:oMathPara>
    </w:p>
    <w:p>
      <w:pPr>
        <w:pStyle w:val="FirstParagraph"/>
      </w:pPr>
      <w:r>
        <w:t xml:space="preserve">де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– емпірична функція розподілу аномалій у вікні навколо дня року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Перетворення точно відтворює сезонний розподіл аномалій, зокрема асиметрію.</w:t>
      </w:r>
    </w:p>
    <w:bookmarkEnd w:id="20"/>
    <w:bookmarkStart w:id="21" w:name="перевірка-адекватності"/>
    <w:p>
      <w:pPr>
        <w:pStyle w:val="Heading3"/>
      </w:pPr>
      <w:r>
        <w:t xml:space="preserve">3.1.8. Перевірка адекватності</w:t>
      </w:r>
    </w:p>
    <w:p>
      <w:pPr>
        <w:pStyle w:val="FirstParagraph"/>
      </w:pPr>
      <w:r>
        <w:t xml:space="preserve">Модель генерує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незалежних реалізацій того самого обсягу, що й реальні дані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для курсу,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для погоди). На кожній обчислюється той самий набір</w:t>
      </w:r>
      <w:r>
        <w:t xml:space="preserve"> </w:t>
      </w:r>
      <w:r>
        <w:t xml:space="preserve">показників, що й на реальному ряді. Модель вважається адекватною за показником, якщо</w:t>
      </w:r>
      <w:r>
        <w:t xml:space="preserve"> </w:t>
      </w:r>
      <w:r>
        <w:t xml:space="preserve">реальне значення лежить у центральному 90 % інтервалі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P</m:t>
            </m:r>
          </m:e>
          <m:sub>
            <m:r>
              <m:t>5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95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модельних значень.</w:t>
      </w:r>
    </w:p>
    <w:bookmarkEnd w:id="21"/>
    <w:bookmarkEnd w:id="22"/>
    <w:bookmarkStart w:id="26" w:name="блок-схема-алгоритму-та-її-опис"/>
    <w:p>
      <w:pPr>
        <w:pStyle w:val="Heading2"/>
      </w:pPr>
      <w:r>
        <w:t xml:space="preserve">3.2. Блок-схема алгоритму та її опис</w:t>
      </w:r>
    </w:p>
    <w:p>
      <w:pPr>
        <w:pStyle w:val="FigureImage"/>
      </w:pPr>
      <w:r>
        <w:drawing>
          <wp:inline>
            <wp:extent cx="3796445" cy="7919999"/>
            <wp:effectExtent b="0" l="0" r="0" t="0"/>
            <wp:docPr descr="Блок-схема алгоритму" title="" id="24" name="Picture"/>
            <a:graphic>
              <a:graphicData uri="http://schemas.openxmlformats.org/drawingml/2006/picture">
                <pic:pic>
                  <pic:nvPicPr>
                    <pic:cNvPr descr="assets/00_blockscheme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6445" cy="791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1 – Блок-схема алгоритму програми</w:t>
      </w:r>
    </w:p>
    <w:p>
      <w:pPr>
        <w:pStyle w:val="BodyText"/>
      </w:pPr>
      <w:r>
        <w:t xml:space="preserve">Програма спершу перевіряє методи на рядах, властивості яких відомі заздалегідь. Далі</w:t>
      </w:r>
      <w:r>
        <w:t xml:space="preserve"> </w:t>
      </w:r>
      <w:r>
        <w:t xml:space="preserve">для кожної групи вимог виконується однаковий конвеєр. Аналітична частина (візуалізація,</w:t>
      </w:r>
      <w:r>
        <w:t xml:space="preserve"> </w:t>
      </w:r>
      <w:r>
        <w:t xml:space="preserve">декомпозиція, властивості, кластеризація, кореляції) виявляє закономірності, і на їх</w:t>
      </w:r>
      <w:r>
        <w:t xml:space="preserve"> </w:t>
      </w:r>
      <w:r>
        <w:t xml:space="preserve">основі ідентифікується модель синтезу. Генераційна частина отримує ансамбль модельних</w:t>
      </w:r>
      <w:r>
        <w:t xml:space="preserve"> </w:t>
      </w:r>
      <w:r>
        <w:t xml:space="preserve">реалізацій і порівнює кожен показник із реальним значенням. Показники, які модель не</w:t>
      </w:r>
      <w:r>
        <w:t xml:space="preserve"> </w:t>
      </w:r>
      <w:r>
        <w:t xml:space="preserve">відтворює, аналізуються окремо як обмеження моделі.</w:t>
      </w:r>
    </w:p>
    <w:bookmarkEnd w:id="26"/>
    <w:bookmarkStart w:id="27" w:name="опис-структури-проекту-програми"/>
    <w:p>
      <w:pPr>
        <w:pStyle w:val="Heading2"/>
      </w:pPr>
      <w:r>
        <w:t xml:space="preserve">3.3. Опис структури проекту програми</w:t>
      </w:r>
    </w:p>
    <w:p>
      <w:pPr>
        <w:pStyle w:val="SourceCode"/>
        <w:ind w:left="1437" w:firstLine="0"/>
      </w:pPr>
      <w:r>
        <w:rPr>
          <w:rStyle w:val="VerbatimChar"/>
        </w:rPr>
        <w:t xml:space="preserve">project/</w:t>
      </w:r>
      <w:r>
        <w:br/>
      </w:r>
      <w:r>
        <w:rPr>
          <w:rStyle w:val="VerbatimChar"/>
        </w:rPr>
        <w:t xml:space="preserve">├── justfile           рецепти запуску та збірки звіту</w:t>
      </w:r>
      <w:r>
        <w:br/>
      </w:r>
      <w:r>
        <w:rPr>
          <w:rStyle w:val="VerbatimChar"/>
        </w:rPr>
        <w:t xml:space="preserve">├── pyproject.toml     залежності лабораторної роботи</w:t>
      </w:r>
      <w:r>
        <w:br/>
      </w:r>
      <w:r>
        <w:rPr>
          <w:rStyle w:val="VerbatimChar"/>
        </w:rPr>
        <w:t xml:space="preserve">├── data/              кеш погодних даних (CSV)</w:t>
      </w:r>
      <w:r>
        <w:br/>
      </w:r>
      <w:r>
        <w:rPr>
          <w:rStyle w:val="VerbatimChar"/>
        </w:rPr>
        <w:t xml:space="preserve">├── out/               графіки, які генерує програма</w:t>
      </w:r>
      <w:r>
        <w:br/>
      </w:r>
      <w:r>
        <w:rPr>
          <w:rStyle w:val="VerbatimChar"/>
        </w:rPr>
        <w:t xml:space="preserve">└── src/</w:t>
      </w:r>
      <w:r>
        <w:br/>
      </w:r>
      <w:r>
        <w:rPr>
          <w:rStyle w:val="VerbatimChar"/>
        </w:rPr>
        <w:t xml:space="preserve">    ├── main.py          точка входу</w:t>
      </w:r>
      <w:r>
        <w:br/>
      </w:r>
      <w:r>
        <w:rPr>
          <w:rStyle w:val="VerbatimChar"/>
        </w:rPr>
        <w:t xml:space="preserve">    ├── loaders.py       завантаження даних</w:t>
      </w:r>
      <w:r>
        <w:br/>
      </w:r>
      <w:r>
        <w:rPr>
          <w:rStyle w:val="VerbatimChar"/>
        </w:rPr>
        <w:t xml:space="preserve">    ├── analysis.py      властивості, декомпозиція</w:t>
      </w:r>
      <w:r>
        <w:br/>
      </w:r>
      <w:r>
        <w:rPr>
          <w:rStyle w:val="VerbatimChar"/>
        </w:rPr>
        <w:t xml:space="preserve">    ├── patterns.py      кореляції, кластеризація</w:t>
      </w:r>
      <w:r>
        <w:br/>
      </w:r>
      <w:r>
        <w:rPr>
          <w:rStyle w:val="VerbatimChar"/>
        </w:rPr>
        <w:t xml:space="preserve">    ├── synthesis.py     синтез, адекватність</w:t>
      </w:r>
      <w:r>
        <w:br/>
      </w:r>
      <w:r>
        <w:rPr>
          <w:rStyle w:val="VerbatimChar"/>
        </w:rPr>
        <w:t xml:space="preserve">    ├── plots.py         оформлення графіків</w:t>
      </w:r>
      <w:r>
        <w:br/>
      </w:r>
      <w:r>
        <w:rPr>
          <w:rStyle w:val="VerbatimChar"/>
        </w:rPr>
        <w:t xml:space="preserve">    ├── study_rates.py   етапи групи 1</w:t>
      </w:r>
      <w:r>
        <w:br/>
      </w:r>
      <w:r>
        <w:rPr>
          <w:rStyle w:val="VerbatimChar"/>
        </w:rPr>
        <w:t xml:space="preserve">    ├── study_weather.py етапи групи 2</w:t>
      </w:r>
      <w:r>
        <w:br/>
      </w:r>
      <w:r>
        <w:rPr>
          <w:rStyle w:val="VerbatimChar"/>
        </w:rPr>
        <w:t xml:space="preserve">    └── verify.py        верифікація методів</w:t>
      </w:r>
    </w:p>
    <w:p>
      <w:pPr>
        <w:pStyle w:val="FigureCaption"/>
      </w:pPr>
      <w:r>
        <w:t xml:space="preserve">Рисунок 2 – Структура проекту</w:t>
      </w:r>
    </w:p>
    <w:p>
      <w:pPr>
        <w:pStyle w:val="BodyText"/>
      </w:pPr>
      <w:r>
        <w:t xml:space="preserve">Аналіз реальних даних (</w:t>
      </w:r>
      <w:r>
        <w:rPr>
          <w:rStyle w:val="VerbatimChar"/>
        </w:rPr>
        <w:t xml:space="preserve">analysis.py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patterns.py</w:t>
      </w:r>
      <w:r>
        <w:t xml:space="preserve">) і генерація та аналіз модельних</w:t>
      </w:r>
      <w:r>
        <w:t xml:space="preserve"> </w:t>
      </w:r>
      <w:r>
        <w:t xml:space="preserve">(</w:t>
      </w:r>
      <w:r>
        <w:rPr>
          <w:rStyle w:val="VerbatimChar"/>
        </w:rPr>
        <w:t xml:space="preserve">synthesis.py</w:t>
      </w:r>
      <w:r>
        <w:t xml:space="preserve">) винесені в окремі модулі, що не залежать від конкретного набору даних.</w:t>
      </w:r>
      <w:r>
        <w:t xml:space="preserve"> </w:t>
      </w:r>
      <w:r>
        <w:t xml:space="preserve">Модулі</w:t>
      </w:r>
      <w:r>
        <w:t xml:space="preserve"> </w:t>
      </w:r>
      <w:r>
        <w:rPr>
          <w:rStyle w:val="VerbatimChar"/>
        </w:rPr>
        <w:t xml:space="preserve">study_rates.py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study_weather.py</w:t>
      </w:r>
      <w:r>
        <w:t xml:space="preserve"> </w:t>
      </w:r>
      <w:r>
        <w:t xml:space="preserve">лише поєднують їх для своєї групи вимог.</w:t>
      </w:r>
    </w:p>
    <w:p>
      <w:pPr>
        <w:pStyle w:val="BodyText"/>
      </w:pPr>
      <w:r>
        <w:t xml:space="preserve">Використані бібліотеки:</w:t>
      </w:r>
      <w:r>
        <w:t xml:space="preserve"> </w:t>
      </w:r>
      <w:r>
        <w:rPr>
          <w:rStyle w:val="VerbatimChar"/>
        </w:rPr>
        <w:t xml:space="preserve">numpy</w:t>
      </w:r>
      <w:r>
        <w:t xml:space="preserve"> </w:t>
      </w:r>
      <w:r>
        <w:t xml:space="preserve">– обчислення;</w:t>
      </w:r>
      <w:r>
        <w:t xml:space="preserve"> </w:t>
      </w:r>
      <w:r>
        <w:rPr>
          <w:rStyle w:val="VerbatimChar"/>
        </w:rPr>
        <w:t xml:space="preserve">pandas</w:t>
      </w:r>
      <w:r>
        <w:t xml:space="preserve"> </w:t>
      </w:r>
      <w:r>
        <w:t xml:space="preserve">– табличні дані й часові</w:t>
      </w:r>
      <w:r>
        <w:t xml:space="preserve"> </w:t>
      </w:r>
      <w:r>
        <w:t xml:space="preserve">індекси;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 </w:t>
      </w:r>
      <w:r>
        <w:t xml:space="preserve">– STL, MSTL, тести ADF і KPSS, автокореляція, VAR;</w:t>
      </w:r>
      <w:r>
        <w:t xml:space="preserve"> </w:t>
      </w:r>
      <w:r>
        <w:rPr>
          <w:rStyle w:val="VerbatimChar"/>
        </w:rPr>
        <w:t xml:space="preserve">scipy</w:t>
      </w:r>
      <w:r>
        <w:t xml:space="preserve"> </w:t>
      </w:r>
      <w:r>
        <w:t xml:space="preserve">–</w:t>
      </w:r>
      <w:r>
        <w:t xml:space="preserve"> </w:t>
      </w:r>
      <w:r>
        <w:t xml:space="preserve">статистики розподілів, ієрархічна кластеризація;</w:t>
      </w:r>
      <w:r>
        <w:t xml:space="preserve"> </w:t>
      </w:r>
      <w:r>
        <w:rPr>
          <w:rStyle w:val="VerbatimChar"/>
        </w:rPr>
        <w:t xml:space="preserve">scikit-learn</w:t>
      </w:r>
      <w:r>
        <w:t xml:space="preserve"> </w:t>
      </w:r>
      <w:r>
        <w:t xml:space="preserve">– K-means, силует,</w:t>
      </w:r>
      <w:r>
        <w:t xml:space="preserve"> </w:t>
      </w:r>
      <w:r>
        <w:t xml:space="preserve">ARI;</w:t>
      </w:r>
      <w:r>
        <w:t xml:space="preserve"> </w:t>
      </w:r>
      <w:r>
        <w:rPr>
          <w:rStyle w:val="VerbatimChar"/>
        </w:rPr>
        <w:t xml:space="preserve">requests</w:t>
      </w:r>
      <w:r>
        <w:t xml:space="preserve"> </w:t>
      </w:r>
      <w:r>
        <w:t xml:space="preserve">– запити до API;</w:t>
      </w:r>
      <w:r>
        <w:t xml:space="preserve"> </w:t>
      </w:r>
      <w:r>
        <w:rPr>
          <w:rStyle w:val="VerbatimChar"/>
        </w:rPr>
        <w:t xml:space="preserve">matplotlib</w:t>
      </w:r>
      <w:r>
        <w:t xml:space="preserve"> </w:t>
      </w:r>
      <w:r>
        <w:t xml:space="preserve">– візуалізація.</w:t>
      </w:r>
    </w:p>
    <w:bookmarkEnd w:id="27"/>
    <w:bookmarkStart w:id="98" w:name="результати-роботи-програми"/>
    <w:p>
      <w:pPr>
        <w:pStyle w:val="Heading2"/>
      </w:pPr>
      <w:r>
        <w:t xml:space="preserve">3.4. Результати роботи програми</w:t>
      </w:r>
    </w:p>
    <w:p>
      <w:pPr>
        <w:pStyle w:val="FirstParagraph"/>
      </w:pPr>
      <w:r>
        <w:t xml:space="preserve">Усі результати отримано за</w:t>
      </w:r>
      <w:r>
        <w:t xml:space="preserve"> </w:t>
      </w:r>
      <w:r>
        <w:rPr>
          <w:rStyle w:val="VerbatimChar"/>
        </w:rPr>
        <w:t xml:space="preserve">seed = 42</w:t>
      </w:r>
      <w:r>
        <w:t xml:space="preserve"> </w:t>
      </w:r>
      <w:r>
        <w:t xml:space="preserve">і відтворюються при повторному запуску.</w:t>
      </w:r>
    </w:p>
    <w:bookmarkStart w:id="31" w:name="етап-1.-група-1-вхідні-дані"/>
    <w:p>
      <w:pPr>
        <w:pStyle w:val="Heading3"/>
      </w:pPr>
      <w:r>
        <w:t xml:space="preserve">Етап 1. Група 1: вхідні дані</w:t>
      </w:r>
    </w:p>
    <w:p>
      <w:pPr>
        <w:pStyle w:val="TableCaptionOwn"/>
        <w:keepNext/>
      </w:pPr>
      <w:r>
        <w:t xml:space="preserve">Таблиця 2 – Вибіркові характеристики курсу USD, грн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67"/>
        <w:gridCol w:w="844"/>
        <w:gridCol w:w="950"/>
        <w:gridCol w:w="844"/>
        <w:gridCol w:w="844"/>
        <w:gridCol w:w="844"/>
        <w:gridCol w:w="1267"/>
        <w:gridCol w:w="1056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  <w:jc w:val="center"/>
            </w:pPr>
            <w:r>
              <w:t xml:space="preserve">Ряд</w:t>
            </w:r>
          </w:p>
        </w:tc>
        <w:tc>
          <w:tcPr/>
          <w:p>
            <w:pPr>
              <w:pStyle w:val="Compact"/>
              <w:keepNext/>
              <w:jc w:val="center"/>
            </w:pPr>
            <m:oMathPara>
              <m:oMathParaPr>
                <m:jc m:val="center"/>
              </m:oMathParaPr>
              <m:oMath>
                <m:r>
                  <m:t>m</m:t>
                </m:r>
              </m:oMath>
            </m:oMathPara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Медіана</w:t>
            </w:r>
          </w:p>
        </w:tc>
        <w:tc>
          <w:tcPr/>
          <w:p>
            <w:pPr>
              <w:pStyle w:val="Compact"/>
              <w:keepNext/>
              <w:jc w:val="center"/>
            </w:pPr>
            <m:oMathPara>
              <m:oMathParaPr>
                <m:jc m:val="center"/>
              </m:oMathParaPr>
              <m:oMath>
                <m:r>
                  <m:t>σ</m:t>
                </m:r>
              </m:oMath>
            </m:oMathPara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min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max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Асиметрія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Ексцес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Купівля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36,481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39,200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4,374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27,700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41,500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–0,761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–0,972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Продаж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37,385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39,900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4,030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28,100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41,990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–0,758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–0,845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НБУ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33,223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36,569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3,702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27,876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36,569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–0,207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–1,940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Δ купівлі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0,035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0,000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0,452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–2,200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7,200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11,109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183,476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Δ продажу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0,036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0,000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0,472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–2,500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7,820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12,666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214,731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Δ НБУ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0,395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–0,293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7,314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18,161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332,249</w:t>
            </w:r>
          </w:p>
        </w:tc>
      </w:tr>
    </w:tbl>
    <w:p>
      <w:pPr>
        <w:pStyle w:val="FigureImage"/>
        <w:spacing w:before="420"/>
      </w:pPr>
      <w:r>
        <w:drawing>
          <wp:inline>
            <wp:extent cx="5930900" cy="3558540"/>
            <wp:effectExtent b="0" l="0" r="0" t="0"/>
            <wp:docPr descr="Курс USD в Ощадбанку" title="" id="29" name="Picture"/>
            <a:graphic>
              <a:graphicData uri="http://schemas.openxmlformats.org/drawingml/2006/picture">
                <pic:pic>
                  <pic:nvPicPr>
                    <pic:cNvPr descr="assets/01_rates_input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5585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3 – Курси купівлі, продажу і НБУ, спред і премія ринку</w:t>
      </w:r>
    </w:p>
    <w:p>
      <w:pPr>
        <w:pStyle w:val="BodyText"/>
      </w:pPr>
      <w:r>
        <w:t xml:space="preserve">348 записів припадають на 256 днів, у файлі заповнено 80 пропусків. Медіана приростів</w:t>
      </w:r>
      <w:r>
        <w:t xml:space="preserve"> </w:t>
      </w:r>
      <w:r>
        <w:t xml:space="preserve">усіх трьох рядів дорівнює нулю: курс більшість часу стоїть на місці й зрідка стрибає.</w:t>
      </w:r>
      <w:r>
        <w:t xml:space="preserve"> </w:t>
      </w:r>
      <w:r>
        <w:t xml:space="preserve">Звідси ексцес приростів 183–332, тобто розподіл, далекий від нормального.</w:t>
      </w:r>
    </w:p>
    <w:bookmarkEnd w:id="31"/>
    <w:bookmarkStart w:id="35" w:name="етап-2.-група-1-декомпозиція"/>
    <w:p>
      <w:pPr>
        <w:pStyle w:val="Heading3"/>
      </w:pPr>
      <w:r>
        <w:t xml:space="preserve">Етап 2. Група 1: декомпозиція</w:t>
      </w:r>
    </w:p>
    <w:p>
      <w:pPr>
        <w:pStyle w:val="TableCaptionOwn"/>
        <w:keepNext/>
      </w:pPr>
      <w:r>
        <w:t xml:space="preserve">Таблиця 3 – Сила компонент STL-декомпозиції, період 5 записів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  <w:jc w:val="center"/>
            </w:pPr>
            <w:r>
              <w:t xml:space="preserve">Ряд</w:t>
            </w:r>
          </w:p>
        </w:tc>
        <w:tc>
          <w:tcPr/>
          <w:p>
            <w:pPr>
              <w:pStyle w:val="Compact"/>
              <w:keepNext/>
              <w:jc w:val="center"/>
            </w:pPr>
            <m:oMathPara>
              <m:oMathParaPr>
                <m:jc m:val="center"/>
              </m:oMathParaPr>
              <m:oMath>
                <m:sSub>
                  <m:e>
                    <m:r>
                      <m:t>F</m:t>
                    </m:r>
                  </m:e>
                  <m:sub>
                    <m:r>
                      <m:t>T</m:t>
                    </m:r>
                  </m:sub>
                </m:sSub>
              </m:oMath>
            </m:oMathPara>
          </w:p>
        </w:tc>
        <w:tc>
          <w:tcPr/>
          <w:p>
            <w:pPr>
              <w:pStyle w:val="Compact"/>
              <w:keepNext/>
              <w:jc w:val="center"/>
            </w:pPr>
            <m:oMathPara>
              <m:oMathParaPr>
                <m:jc m:val="center"/>
              </m:oMathParaPr>
              <m:oMath>
                <m:sSub>
                  <m:e>
                    <m:r>
                      <m:t>F</m:t>
                    </m:r>
                  </m:e>
                  <m:sub>
                    <m:r>
                      <m:t>S</m:t>
                    </m:r>
                  </m:sub>
                </m:sSub>
              </m:oMath>
            </m:oMathPara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СКВ залишку, грн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Купівля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0,981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0,000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0,604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Продаж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0,991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0,013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0,378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НБУ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0,000</w:t>
            </w:r>
          </w:p>
        </w:tc>
      </w:tr>
    </w:tbl>
    <w:p>
      <w:pPr>
        <w:pStyle w:val="FigureImage"/>
        <w:spacing w:before="420"/>
      </w:pPr>
      <w:r>
        <w:drawing>
          <wp:inline>
            <wp:extent cx="5930900" cy="4151630"/>
            <wp:effectExtent b="0" l="0" r="0" t="0"/>
            <wp:docPr descr="STL-декомпозиція курсу купівлі" title="" id="33" name="Picture"/>
            <a:graphic>
              <a:graphicData uri="http://schemas.openxmlformats.org/drawingml/2006/picture">
                <pic:pic>
                  <pic:nvPicPr>
                    <pic:cNvPr descr="assets/02_rates_decomposition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41516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4 – STL-декомпозиція курсу купівлі</w:t>
      </w:r>
    </w:p>
    <w:p>
      <w:pPr>
        <w:pStyle w:val="BodyText"/>
      </w:pPr>
      <w:r>
        <w:t xml:space="preserve">Тижневої сезонності в курсі немає (</w:t>
      </w:r>
      <m:oMath>
        <m:sSub>
          <m:e>
            <m:r>
              <m:t>F</m:t>
            </m:r>
          </m:e>
          <m:sub>
            <m:r>
              <m:t>S</m:t>
            </m:r>
          </m:sub>
        </m:sSub>
        <m:r>
          <m:rPr>
            <m:sty m:val="p"/>
          </m:rPr>
          <m:t>≤</m:t>
        </m:r>
        <m:r>
          <m:t>0</m:t>
        </m:r>
        <m:r>
          <m:rPr>
            <m:sty m:val="p"/>
          </m:rPr>
          <m:t>,</m:t>
        </m:r>
        <m:r>
          <m:t>013</m:t>
        </m:r>
      </m:oMath>
      <w:r>
        <w:t xml:space="preserve">), динаміку визначає тренд.</w:t>
      </w:r>
      <w:r>
        <w:t xml:space="preserve"> </w:t>
      </w:r>
      <w:r>
        <w:t xml:space="preserve">Сезонна компонента на рисунку 4 відмінна від нуля лише навколо шоку кінця травня – це</w:t>
      </w:r>
      <w:r>
        <w:t xml:space="preserve"> </w:t>
      </w:r>
      <w:r>
        <w:t xml:space="preserve">відгук LOESS на стрибки, а не повторюваний цикл. Курс НБУ кусково-сталий: STL розкладає його без залишку, тож частки компонент</w:t>
      </w:r>
      <w:r>
        <w:t xml:space="preserve"> </w:t>
      </w:r>
      <w:r>
        <w:t xml:space="preserve">для нього не визначені.</w:t>
      </w:r>
    </w:p>
    <w:bookmarkEnd w:id="35"/>
    <w:bookmarkStart w:id="39" w:name="етап-3.-група-1-властивості"/>
    <w:p>
      <w:pPr>
        <w:pStyle w:val="Heading3"/>
      </w:pPr>
      <w:r>
        <w:t xml:space="preserve">Етап 3. Група 1: властивості</w:t>
      </w:r>
    </w:p>
    <w:p>
      <w:pPr>
        <w:pStyle w:val="TableCaptionOwn"/>
        <w:keepNext/>
      </w:pPr>
      <w:r>
        <w:t xml:space="preserve">Таблиця 4 – Стаціонарність рівнів і приростів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  <w:jc w:val="center"/>
            </w:pPr>
            <w:r>
              <w:t xml:space="preserve">Ряд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ADF</w:t>
            </w:r>
          </w:p>
        </w:tc>
        <w:tc>
          <w:tcPr/>
          <w:p>
            <w:pPr>
              <w:pStyle w:val="Compact"/>
              <w:keepNext/>
              <w:jc w:val="center"/>
            </w:pPr>
            <m:oMathPara>
              <m:oMathParaPr>
                <m:jc m:val="center"/>
              </m:oMathParaPr>
              <m:oMath>
                <m:sSub>
                  <m:e>
                    <m:r>
                      <m:t>p</m:t>
                    </m:r>
                  </m:e>
                  <m:sub>
                    <m:r>
                      <m:t>A</m:t>
                    </m:r>
                    <m:r>
                      <m:t>D</m:t>
                    </m:r>
                    <m:r>
                      <m:t>F</m:t>
                    </m:r>
                  </m:sub>
                </m:sSub>
              </m:oMath>
            </m:oMathPara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KPSS</w:t>
            </w:r>
          </w:p>
        </w:tc>
        <w:tc>
          <w:tcPr/>
          <w:p>
            <w:pPr>
              <w:pStyle w:val="Compact"/>
              <w:keepNext/>
              <w:jc w:val="center"/>
            </w:pPr>
            <m:oMathPara>
              <m:oMathParaPr>
                <m:jc m:val="center"/>
              </m:oMathParaPr>
              <m:oMath>
                <m:sSub>
                  <m:e>
                    <m:r>
                      <m:t>p</m:t>
                    </m:r>
                  </m:e>
                  <m:sub>
                    <m:r>
                      <m:t>K</m:t>
                    </m:r>
                    <m:r>
                      <m:t>P</m:t>
                    </m:r>
                    <m:r>
                      <m:t>S</m:t>
                    </m:r>
                    <m:r>
                      <m:t>S</m:t>
                    </m:r>
                  </m:sub>
                </m:sSub>
              </m:oMath>
            </m:oMathPara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Стаціонарний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Купівля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–2,080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0,253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2,617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0,010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ні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Δ купівлі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–9,494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&lt; 0,001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0,293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0,100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так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Продаж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–2,251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0,188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2,635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0,010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ні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Δ продажу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–23,374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&lt; 0,001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0,285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0,100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так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НБУ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–1,290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0,634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2,510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0,010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ні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Δ НБУ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–18,548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0,001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так</w:t>
            </w:r>
          </w:p>
        </w:tc>
      </w:tr>
    </w:tbl>
    <w:p>
      <w:pPr>
        <w:pStyle w:val="FigureImage"/>
        <w:spacing w:before="420"/>
      </w:pPr>
      <w:r>
        <w:drawing>
          <wp:inline>
            <wp:extent cx="5930900" cy="1878118"/>
            <wp:effectExtent b="0" l="0" r="0" t="0"/>
            <wp:docPr descr="Властивості курсу купівлі" title="" id="37" name="Picture"/>
            <a:graphic>
              <a:graphicData uri="http://schemas.openxmlformats.org/drawingml/2006/picture">
                <pic:pic>
                  <pic:nvPicPr>
                    <pic:cNvPr descr="assets/03_rates_properties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18781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5 – Розподіл приростів, автокореляція і R/S-аналіз курсу купівлі</w:t>
      </w:r>
    </w:p>
    <w:p>
      <w:pPr>
        <w:pStyle w:val="BodyText"/>
      </w:pPr>
      <w:r>
        <w:t xml:space="preserve">Рівні всіх трьох рядів нестаціонарні, прирости стаціонарні: курс є інтегрованим</w:t>
      </w:r>
      <w:r>
        <w:t xml:space="preserve"> </w:t>
      </w:r>
      <w:r>
        <w:t xml:space="preserve">процесом першого порядку. Автокореляція рівня спадає повільно, автокореляція приростів</w:t>
      </w:r>
      <w:r>
        <w:t xml:space="preserve"> </w:t>
      </w:r>
      <w:r>
        <w:t xml:space="preserve">вже на першому лагу близька до меж значущості. Скоригований показник Херста приростів</w:t>
      </w:r>
      <w:r>
        <w:t xml:space="preserve"> </w:t>
      </w:r>
      <w:r>
        <w:t xml:space="preserve">купівлі, продажу і курсу НБУ – 0,508, 0,502 і 0,474, тобто пам’яті в приростах немає.</w:t>
      </w:r>
      <w:r>
        <w:t xml:space="preserve"> </w:t>
      </w:r>
      <w:r>
        <w:t xml:space="preserve">Класичні оцінки тих самих рядів – 0,602, 0,595 і 0,568 – створили б хибне враження</w:t>
      </w:r>
      <w:r>
        <w:t xml:space="preserve"> </w:t>
      </w:r>
      <w:r>
        <w:t xml:space="preserve">персистентності.</w:t>
      </w:r>
    </w:p>
    <w:bookmarkEnd w:id="39"/>
    <w:bookmarkStart w:id="43" w:name="етап-4.-група-1-кластеризація-режимів"/>
    <w:p>
      <w:pPr>
        <w:pStyle w:val="Heading3"/>
      </w:pPr>
      <w:r>
        <w:t xml:space="preserve">Етап 4. Група 1: кластеризація режимів</w:t>
      </w:r>
    </w:p>
    <w:p>
      <w:pPr>
        <w:pStyle w:val="FirstParagraph"/>
      </w:pPr>
      <w:r>
        <w:t xml:space="preserve">Силует K-means за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: 0,490; 0,583; 0,602; 0,652; 0,552. Обрано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p>
      <w:pPr>
        <w:pStyle w:val="TableCaptionOwn"/>
        <w:keepNext/>
      </w:pPr>
      <w:r>
        <w:t xml:space="preserve">Таблиця 5 – Режими курсу і їхні ділянки в часі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  <w:jc w:val="center"/>
            </w:pPr>
            <w:r>
              <w:t xml:space="preserve">Ділянка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Записів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Режим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НБУ, грн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Премія, грн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Спред, грн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08.02 – 24.02.2022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низька премія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28,84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0,99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0,74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24.02 – 27.04.2022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46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курс = НБУ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29,56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0,08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2,24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28.04 – 22.05.2022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низька премія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28,84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0,99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0,74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24.05 – 27.05.2022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шок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29,26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6,68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1,16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30.05 – 21.07.2022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61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висока премія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29,26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6,22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0,73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21.07 – 22.07.2022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курс = НБУ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29,56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0,08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2,24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22.07.2022 – 06.02.2023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після девальвації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36,57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0,64</w:t>
            </w:r>
          </w:p>
        </w:tc>
      </w:tr>
    </w:tbl>
    <w:p>
      <w:pPr>
        <w:pStyle w:val="BodyText"/>
        <w:spacing w:before="420"/>
      </w:pPr>
      <w:r>
        <w:t xml:space="preserve">Значення ознак у таблиці 5 – середні по всьому кластеру, тому для повторюваних режимів</w:t>
      </w:r>
      <w:r>
        <w:t xml:space="preserve"> </w:t>
      </w:r>
      <w:r>
        <w:t xml:space="preserve">вони однакові.</w:t>
      </w:r>
    </w:p>
    <w:p>
      <w:pPr>
        <w:pStyle w:val="FigureImage"/>
      </w:pPr>
      <w:r>
        <w:drawing>
          <wp:inline>
            <wp:extent cx="5930900" cy="3558540"/>
            <wp:effectExtent b="0" l="0" r="0" t="0"/>
            <wp:docPr descr="Режими курсу" title="" id="41" name="Picture"/>
            <a:graphic>
              <a:graphicData uri="http://schemas.openxmlformats.org/drawingml/2006/picture">
                <pic:pic>
                  <pic:nvPicPr>
                    <pic:cNvPr descr="assets/05_rates_regimes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5585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6 – Режими курсу, виявлені кластеризацією, і коефіцієнт силуету</w:t>
      </w:r>
    </w:p>
    <w:p>
      <w:pPr>
        <w:pStyle w:val="BodyText"/>
      </w:pPr>
      <w:r>
        <w:t xml:space="preserve">Кластеризація без жодних дат на вході відновила хронологію подій. Після 24.02.2022</w:t>
      </w:r>
      <w:r>
        <w:t xml:space="preserve"> </w:t>
      </w:r>
      <w:r>
        <w:t xml:space="preserve">курс НБУ зафіксовано, купівля в банку дорівнює офіційному курсу, а продаж поступово</w:t>
      </w:r>
      <w:r>
        <w:t xml:space="preserve"> </w:t>
      </w:r>
      <w:r>
        <w:t xml:space="preserve">зростає – звідси найширший спред 2,24 грн. З кінця квітня ринок відривається від</w:t>
      </w:r>
      <w:r>
        <w:t xml:space="preserve"> </w:t>
      </w:r>
      <w:r>
        <w:t xml:space="preserve">офіційного курсу. 24.05 купівля стрибає на 7,2 грн за один запис, після чого</w:t>
      </w:r>
      <w:r>
        <w:t xml:space="preserve"> </w:t>
      </w:r>
      <w:r>
        <w:t xml:space="preserve">стабілізується з премією близько 6 грн. Девальвація 21.07.2022 скоротила премію</w:t>
      </w:r>
      <w:r>
        <w:t xml:space="preserve"> </w:t>
      </w:r>
      <w:r>
        <w:t xml:space="preserve">до 3,4 грн, і цей режим тривав до кінця періоду.</w:t>
      </w:r>
    </w:p>
    <w:bookmarkEnd w:id="43"/>
    <w:bookmarkStart w:id="47" w:name="етап-5.-група-1-кореляційний-аналіз"/>
    <w:p>
      <w:pPr>
        <w:pStyle w:val="Heading3"/>
      </w:pPr>
      <w:r>
        <w:t xml:space="preserve">Етап 5. Група 1: кореляційний аналіз</w:t>
      </w:r>
    </w:p>
    <w:p>
      <w:pPr>
        <w:pStyle w:val="TableCaptionOwn"/>
        <w:keepNext/>
      </w:pPr>
      <w:r>
        <w:t xml:space="preserve">Таблиця 6 – Кореляція рівнів і приростів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  <w:jc w:val="center"/>
            </w:pPr>
            <w:r>
              <w:t xml:space="preserve">Пара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Рівні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Прирости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купівля – продаж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0,992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0,912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купівля – НБУ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0,878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0,021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продаж – НБУ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0,126</w:t>
            </w:r>
          </w:p>
        </w:tc>
      </w:tr>
    </w:tbl>
    <w:p>
      <w:pPr>
        <w:pStyle w:val="FigureImage"/>
        <w:spacing w:before="420"/>
      </w:pPr>
      <w:r>
        <w:drawing>
          <wp:inline>
            <wp:extent cx="5930900" cy="1878118"/>
            <wp:effectExtent b="0" l="0" r="0" t="0"/>
            <wp:docPr descr="Кореляції курсів" title="" id="45" name="Picture"/>
            <a:graphic>
              <a:graphicData uri="http://schemas.openxmlformats.org/drawingml/2006/picture">
                <pic:pic>
                  <pic:nvPicPr>
                    <pic:cNvPr descr="assets/04_rates_correlation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18781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7 – Кореляційні матриці рівнів і приростів, купівля проти курсу НБУ за режимами</w:t>
      </w:r>
    </w:p>
    <w:p>
      <w:pPr>
        <w:pStyle w:val="BodyText"/>
      </w:pPr>
      <w:r>
        <w:t xml:space="preserve">Висока кореляція рівнів з курсом НБУ (0,88) – наслідок спільного тренду. Прирости</w:t>
      </w:r>
      <w:r>
        <w:t xml:space="preserve"> </w:t>
      </w:r>
      <w:r>
        <w:t xml:space="preserve">купівлі з курсом НБУ майже не корелюють (0,021), а крос-кореляція має максимум 0,093</w:t>
      </w:r>
      <w:r>
        <w:t xml:space="preserve"> </w:t>
      </w:r>
      <w:r>
        <w:t xml:space="preserve">на лагу 2, що нижче межі значущості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347</m:t>
            </m:r>
          </m:e>
        </m:rad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105</m:t>
        </m:r>
      </m:oMath>
      <w:r>
        <w:t xml:space="preserve">. Отже, поки курс</w:t>
      </w:r>
      <w:r>
        <w:t xml:space="preserve"> </w:t>
      </w:r>
      <w:r>
        <w:t xml:space="preserve">НБУ зафіксований, ринковий курс змінюється незалежно від нього. На діаграмі розсіювання</w:t>
      </w:r>
      <w:r>
        <w:t xml:space="preserve"> </w:t>
      </w:r>
      <w:r>
        <w:t xml:space="preserve">кожен режим – вертикальна смуга над одним значенням курсу НБУ. Купівля і продаж</w:t>
      </w:r>
      <w:r>
        <w:t xml:space="preserve"> </w:t>
      </w:r>
      <w:r>
        <w:t xml:space="preserve">змінюються синхронно (0,912), тобто банк зсуває обидва курси разом.</w:t>
      </w:r>
    </w:p>
    <w:bookmarkEnd w:id="47"/>
    <w:bookmarkStart w:id="54" w:name="X3f8f84eab9a7de24ed545af4360803e6e521d5f"/>
    <w:p>
      <w:pPr>
        <w:pStyle w:val="Heading3"/>
      </w:pPr>
      <w:r>
        <w:t xml:space="preserve">Етап 6. Група 1: синтез і адекватність моделі</w:t>
      </w:r>
    </w:p>
    <w:p>
      <w:pPr>
        <w:pStyle w:val="TableCaptionOwn"/>
        <w:keepNext/>
      </w:pPr>
      <w:r>
        <w:t xml:space="preserve">Таблиця 7 – Параметри моделі на ділянках режимів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  <w:jc w:val="center"/>
            </w:pPr>
            <w:r>
              <w:t xml:space="preserve">Режим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Записів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НБУ</w:t>
            </w:r>
          </w:p>
        </w:tc>
        <w:tc>
          <w:tcPr/>
          <w:p>
            <w:pPr>
              <w:pStyle w:val="Compact"/>
              <w:keepNext/>
              <w:jc w:val="center"/>
            </w:pPr>
            <m:oMathPara>
              <m:oMathParaPr>
                <m:jc m:val="center"/>
              </m:oMathParaPr>
              <m:oMath>
                <m:sSub>
                  <m:e>
                    <m:r>
                      <m:t>μ</m:t>
                    </m:r>
                  </m:e>
                  <m:sub>
                    <m:r>
                      <m:t>p</m:t>
                    </m:r>
                  </m:sub>
                </m:sSub>
              </m:oMath>
            </m:oMathPara>
          </w:p>
        </w:tc>
        <w:tc>
          <w:tcPr/>
          <w:p>
            <w:pPr>
              <w:pStyle w:val="Compact"/>
              <w:keepNext/>
              <w:jc w:val="center"/>
            </w:pPr>
            <m:oMathPara>
              <m:oMathParaPr>
                <m:jc m:val="center"/>
              </m:oMathParaPr>
              <m:oMath>
                <m:sSub>
                  <m:e>
                    <m:r>
                      <m:t>φ</m:t>
                    </m:r>
                  </m:e>
                  <m:sub>
                    <m:r>
                      <m:t>p</m:t>
                    </m:r>
                  </m:sub>
                </m:sSub>
              </m:oMath>
            </m:oMathPara>
          </w:p>
        </w:tc>
        <w:tc>
          <w:tcPr/>
          <w:p>
            <w:pPr>
              <w:pStyle w:val="Compact"/>
              <w:keepNext/>
              <w:jc w:val="center"/>
            </w:pPr>
            <m:oMathPara>
              <m:oMathParaPr>
                <m:jc m:val="center"/>
              </m:oMathParaPr>
              <m:oMath>
                <m:sSub>
                  <m:e>
                    <m:r>
                      <m:t>μ</m:t>
                    </m:r>
                  </m:e>
                  <m:sub>
                    <m:r>
                      <m:t>s</m:t>
                    </m:r>
                  </m:sub>
                </m:sSub>
              </m:oMath>
            </m:oMathPara>
          </w:p>
        </w:tc>
        <w:tc>
          <w:tcPr/>
          <w:p>
            <w:pPr>
              <w:pStyle w:val="Compact"/>
              <w:keepNext/>
              <w:jc w:val="center"/>
            </w:pPr>
            <m:oMathPara>
              <m:oMathParaPr>
                <m:jc m:val="center"/>
              </m:oMathParaPr>
              <m:oMath>
                <m:sSub>
                  <m:e>
                    <m:r>
                      <m:t>φ</m:t>
                    </m:r>
                  </m:e>
                  <m:sub>
                    <m:r>
                      <m:t>s</m:t>
                    </m:r>
                  </m:sub>
                </m:sSub>
              </m:oMath>
            </m:oMathPara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низька премія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блукання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–0,14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0,37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0,72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0,88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курс = НБУ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46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фіксований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0,07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0,99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2,26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0,95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низька премія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фіксований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2,17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0,67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0,75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0,67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шок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фіксований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6,68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0,54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1,15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0,51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висока премія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61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фіксований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6,22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0,99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0,73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0,91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курс = НБУ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фіксований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0,33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0,00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1,75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0,00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після девальвації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фіксований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0,84</w:t>
            </w:r>
          </w:p>
        </w:tc>
      </w:tr>
    </w:tbl>
    <w:p>
      <w:pPr>
        <w:pStyle w:val="FigureImage"/>
        <w:spacing w:before="420"/>
      </w:pPr>
      <w:r>
        <w:drawing>
          <wp:inline>
            <wp:extent cx="5930900" cy="3855085"/>
            <wp:effectExtent b="0" l="0" r="0" t="0"/>
            <wp:docPr descr="Модельні реалізації курсу" title="" id="49" name="Picture"/>
            <a:graphic>
              <a:graphicData uri="http://schemas.openxmlformats.org/drawingml/2006/picture">
                <pic:pic>
                  <pic:nvPicPr>
                    <pic:cNvPr descr="assets/06_rates_synthetic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8550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8 – Реальний курс купівлі, модельні реалізації та спред</w:t>
      </w:r>
    </w:p>
    <w:p>
      <w:pPr>
        <w:pStyle w:val="TableCaptionOwn"/>
        <w:keepNext/>
      </w:pPr>
      <w:r>
        <w:t xml:space="preserve">Таблиця 8 – Адекватність моделі курсу, 200 реалізацій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  <w:jc w:val="center"/>
            </w:pPr>
            <w:r>
              <w:t xml:space="preserve">Показник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Реальний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Модель,</w:t>
            </w:r>
            <w:r>
              <w:t xml:space="preserve"> </w:t>
            </w:r>
            <m:oMath>
              <m:r>
                <m:t>m</m:t>
              </m:r>
            </m:oMath>
          </w:p>
        </w:tc>
        <w:tc>
          <w:tcPr/>
          <w:p>
            <w:pPr>
              <w:pStyle w:val="Compact"/>
              <w:keepNext/>
              <w:jc w:val="center"/>
            </w:pPr>
            <m:oMathPara>
              <m:oMathParaPr>
                <m:jc m:val="center"/>
              </m:oMathParaPr>
              <m:oMath>
                <m:sSub>
                  <m:e>
                    <m:r>
                      <m:t>P</m:t>
                    </m:r>
                  </m:e>
                  <m:sub>
                    <m:r>
                      <m:t>5</m:t>
                    </m:r>
                  </m:sub>
                </m:sSub>
              </m:oMath>
            </m:oMathPara>
          </w:p>
        </w:tc>
        <w:tc>
          <w:tcPr/>
          <w:p>
            <w:pPr>
              <w:pStyle w:val="Compact"/>
              <w:keepNext/>
              <w:jc w:val="center"/>
            </w:pPr>
            <m:oMathPara>
              <m:oMathParaPr>
                <m:jc m:val="center"/>
              </m:oMathParaPr>
              <m:oMath>
                <m:sSub>
                  <m:e>
                    <m:r>
                      <m:t>P</m:t>
                    </m:r>
                  </m:e>
                  <m:sub>
                    <m:r>
                      <m:t>95</m:t>
                    </m:r>
                  </m:sub>
                </m:sSub>
              </m:oMath>
            </m:oMathPara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У межах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m:oMath>
              <m:r>
                <m:t>m</m:t>
              </m:r>
            </m:oMath>
            <w:r>
              <w:t xml:space="preserve"> </w:t>
            </w:r>
            <w:r>
              <w:t xml:space="preserve">купівлі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36,481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36,665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36,479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36,878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так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m:oMath>
              <m:r>
                <m:t>σ</m:t>
              </m:r>
            </m:oMath>
            <w:r>
              <w:t xml:space="preserve"> </w:t>
            </w:r>
            <w:r>
              <w:t xml:space="preserve">купівлі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4,374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4,328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4,188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4,479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так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m:oMath>
              <m:r>
                <m:t>σ</m:t>
              </m:r>
            </m:oMath>
            <w:r>
              <w:t xml:space="preserve"> </w:t>
            </w:r>
            <w:r>
              <w:t xml:space="preserve">Δ купівлі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0,452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0,361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0,307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0,419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ні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m:oMath>
              <m:r>
                <m:t>σ</m:t>
              </m:r>
            </m:oMath>
            <w:r>
              <w:t xml:space="preserve"> </w:t>
            </w:r>
            <w:r>
              <w:t xml:space="preserve">Δ НБУ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0,395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0,397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0,394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0,404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так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m:oMath>
              <m:r>
                <m:t>m</m:t>
              </m:r>
            </m:oMath>
            <w:r>
              <w:t xml:space="preserve"> </w:t>
            </w:r>
            <w:r>
              <w:t xml:space="preserve">спреду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0,904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0,916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0,821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1,008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так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max спреду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2,925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2,701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2,367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3,405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так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m:oMath>
              <m:r>
                <m:t>r</m:t>
              </m:r>
            </m:oMath>
            <w:r>
              <w:t xml:space="preserve"> </w:t>
            </w:r>
            <w:r>
              <w:t xml:space="preserve">Δ купівлі, Δ продажу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0,912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0,860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0,786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0,911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ні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m:oMath>
              <m:r>
                <m:t>r</m:t>
              </m:r>
            </m:oMath>
            <w:r>
              <w:t xml:space="preserve"> </w:t>
            </w:r>
            <w:r>
              <w:t xml:space="preserve">Δ купівлі, Δ НБУ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0,021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0,123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–0,109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0,353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так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m:oMath>
              <m:r>
                <m:t>r</m:t>
              </m:r>
            </m:oMath>
            <w:r>
              <w:t xml:space="preserve"> </w:t>
            </w:r>
            <w:r>
              <w:t xml:space="preserve">купівлі й НБУ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0,878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0,877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0,838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0,913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так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m:oMath>
              <m:r>
                <m:t>H</m:t>
              </m:r>
            </m:oMath>
            <w:r>
              <w:t xml:space="preserve"> </w:t>
            </w:r>
            <w:r>
              <w:t xml:space="preserve">Δ купівлі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0,508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0,427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0,367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0,483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ні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ACF(1) Δ купівлі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–0,139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–0,064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–0,225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0,055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так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Ексцес Δ купівлі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183,476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67,723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40,454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95,657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ні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p</m:t>
                  </m:r>
                </m:e>
                <m:sub>
                  <m:r>
                    <m:t>A</m:t>
                  </m:r>
                  <m:r>
                    <m:t>D</m:t>
                  </m:r>
                  <m:r>
                    <m:t>F</m:t>
                  </m:r>
                </m:sub>
              </m:sSub>
            </m:oMath>
            <w:r>
              <w:t xml:space="preserve"> </w:t>
            </w:r>
            <w:r>
              <w:t xml:space="preserve">купівлі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0,126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так</w:t>
            </w:r>
          </w:p>
        </w:tc>
      </w:tr>
    </w:tbl>
    <w:p>
      <w:pPr>
        <w:pStyle w:val="FigureImage"/>
        <w:spacing w:before="420"/>
      </w:pPr>
      <w:r>
        <w:drawing>
          <wp:inline>
            <wp:extent cx="5930900" cy="2695863"/>
            <wp:effectExtent b="0" l="0" r="0" t="0"/>
            <wp:docPr descr="Адекватність моделі курсу" title="" id="52" name="Picture"/>
            <a:graphic>
              <a:graphicData uri="http://schemas.openxmlformats.org/drawingml/2006/picture">
                <pic:pic>
                  <pic:nvPicPr>
                    <pic:cNvPr descr="assets/07_rates_adequacy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26958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9 – Розподіл показників на модельних реалізаціях і реальне значення</w:t>
      </w:r>
    </w:p>
    <w:p>
      <w:pPr>
        <w:pStyle w:val="BodyText"/>
      </w:pPr>
      <w:r>
        <w:t xml:space="preserve">Модель відтворює 9 показників з 13: рівень і розкид курсу, його нестаціонарність,</w:t>
      </w:r>
      <w:r>
        <w:t xml:space="preserve"> </w:t>
      </w:r>
      <w:r>
        <w:t xml:space="preserve">спред, кореляційну структуру рівнів і незалежність ринкового курсу від курсу НБУ.</w:t>
      </w:r>
      <w:r>
        <w:t xml:space="preserve"> </w:t>
      </w:r>
      <w:r>
        <w:t xml:space="preserve">Кореляція приростів купівлі й продажу лише на 0,001 виходить за межу інтервалу.</w:t>
      </w:r>
      <w:r>
        <w:t xml:space="preserve"> </w:t>
      </w:r>
      <w:r>
        <w:t xml:space="preserve">Розбіжності за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приростів і ексцесом спричиняє одна подія – стрибок 24.05</w:t>
      </w:r>
      <w:r>
        <w:t xml:space="preserve"> </w:t>
      </w:r>
      <w:r>
        <w:t xml:space="preserve">на 7,2 грн із подальшим відкатом. У моделі цей стрибок завжди менший: премія переходить</w:t>
      </w:r>
      <w:r>
        <w:t xml:space="preserve"> </w:t>
      </w:r>
      <w:r>
        <w:t xml:space="preserve">до середнього рівня режиму</w:t>
      </w:r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6</m:t>
        </m:r>
        <m:r>
          <m:rPr>
            <m:sty m:val="p"/>
          </m:rPr>
          <m:t>,</m:t>
        </m:r>
        <m:r>
          <m:t>68</m:t>
        </m:r>
      </m:oMath>
      <w:r>
        <w:t xml:space="preserve">, а реальний ринок спершу перескочив його.</w:t>
      </w:r>
    </w:p>
    <w:bookmarkEnd w:id="54"/>
    <w:bookmarkStart w:id="61" w:name="етап-7.-група-2-вхідні-дані"/>
    <w:p>
      <w:pPr>
        <w:pStyle w:val="Heading3"/>
      </w:pPr>
      <w:r>
        <w:t xml:space="preserve">Етап 7. Група 2: вхідні дані</w:t>
      </w:r>
    </w:p>
    <w:p>
      <w:pPr>
        <w:pStyle w:val="TableCaptionOwn"/>
        <w:keepNext/>
      </w:pPr>
      <w:r>
        <w:t xml:space="preserve">Таблиця 9 – Вибіркові характеристики добових показників, Київ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26"/>
        <w:gridCol w:w="858"/>
        <w:gridCol w:w="1049"/>
        <w:gridCol w:w="763"/>
        <w:gridCol w:w="763"/>
        <w:gridCol w:w="858"/>
        <w:gridCol w:w="1145"/>
        <w:gridCol w:w="954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  <w:jc w:val="center"/>
            </w:pPr>
            <w:r>
              <w:t xml:space="preserve">Показник</w:t>
            </w:r>
          </w:p>
        </w:tc>
        <w:tc>
          <w:tcPr/>
          <w:p>
            <w:pPr>
              <w:pStyle w:val="Compact"/>
              <w:keepNext/>
              <w:jc w:val="center"/>
            </w:pPr>
            <m:oMathPara>
              <m:oMathParaPr>
                <m:jc m:val="center"/>
              </m:oMathParaPr>
              <m:oMath>
                <m:r>
                  <m:t>m</m:t>
                </m:r>
              </m:oMath>
            </m:oMathPara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Медіана</w:t>
            </w:r>
          </w:p>
        </w:tc>
        <w:tc>
          <w:tcPr/>
          <w:p>
            <w:pPr>
              <w:pStyle w:val="Compact"/>
              <w:keepNext/>
              <w:jc w:val="center"/>
            </w:pPr>
            <m:oMathPara>
              <m:oMathParaPr>
                <m:jc m:val="center"/>
              </m:oMathParaPr>
              <m:oMath>
                <m:r>
                  <m:t>σ</m:t>
                </m:r>
              </m:oMath>
            </m:oMathPara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min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max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Асиметрія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Ексцес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Температура, °C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9,84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9,40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9,55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–17,50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29,60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–0,10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–0,96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Вологість, %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73,47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74,00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13,71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35,00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99,00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–0,25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–0,81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Тиск, гПа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1016,44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1015,90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8,33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985,60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1045,90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0,20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0,36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Вітер, км/год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12,70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12,10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4,66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3,40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32,10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0,68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0,22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Опади, мм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1,68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0,10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3,60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0,00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51,50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4,16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26,85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Радіація, МДж/м²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12,06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11,18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29,58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–1,32</w:t>
            </w:r>
          </w:p>
        </w:tc>
      </w:tr>
    </w:tbl>
    <w:p>
      <w:pPr>
        <w:pStyle w:val="FigureImage"/>
        <w:spacing w:before="420"/>
      </w:pPr>
      <w:r>
        <w:drawing>
          <wp:inline>
            <wp:extent cx="5930900" cy="4043795"/>
            <wp:effectExtent b="0" l="0" r="0" t="0"/>
            <wp:docPr descr="Добові показники Києва" title="" id="56" name="Picture"/>
            <a:graphic>
              <a:graphicData uri="http://schemas.openxmlformats.org/drawingml/2006/picture">
                <pic:pic>
                  <pic:nvPicPr>
                    <pic:cNvPr descr="assets/08_weather_input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40437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10 – Добові показники Києва за 2015–2024 роки і ковзне середнє за 30 днів</w:t>
      </w:r>
    </w:p>
    <w:p>
      <w:pPr>
        <w:pStyle w:val="FigureImage"/>
      </w:pPr>
      <w:r>
        <w:drawing>
          <wp:inline>
            <wp:extent cx="5930900" cy="1941021"/>
            <wp:effectExtent b="0" l="0" r="0" t="0"/>
            <wp:docPr descr="Теплова карта температури" title="" id="59" name="Picture"/>
            <a:graphic>
              <a:graphicData uri="http://schemas.openxmlformats.org/drawingml/2006/picture">
                <pic:pic>
                  <pic:nvPicPr>
                    <pic:cNvPr descr="assets/09_weather_heatmap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19410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11 – Середньодобова температура Києва: рік × день року</w:t>
      </w:r>
    </w:p>
    <w:p>
      <w:pPr>
        <w:pStyle w:val="BodyText"/>
      </w:pPr>
      <w:r>
        <w:t xml:space="preserve">Температура і радіація мають виразний річний цикл. Опади – єдиний показник з різко</w:t>
      </w:r>
      <w:r>
        <w:t xml:space="preserve"> </w:t>
      </w:r>
      <w:r>
        <w:t xml:space="preserve">несиметричним розподілом: медіана 0,1 мм, у більшості днів опадів немає. На тепловій</w:t>
      </w:r>
      <w:r>
        <w:t xml:space="preserve"> </w:t>
      </w:r>
      <w:r>
        <w:t xml:space="preserve">карті видно і стабільний річний цикл, і відмінності між роками: холодні січні 2016</w:t>
      </w:r>
      <w:r>
        <w:t xml:space="preserve"> </w:t>
      </w:r>
      <w:r>
        <w:t xml:space="preserve">і 2017 років, лютий 2021 року і м’яка зима 2019–2020 років.</w:t>
      </w:r>
    </w:p>
    <w:bookmarkEnd w:id="61"/>
    <w:bookmarkStart w:id="71" w:name="етап-8.-група-2-декомпозиція"/>
    <w:p>
      <w:pPr>
        <w:pStyle w:val="Heading3"/>
      </w:pPr>
      <w:r>
        <w:t xml:space="preserve">Етап 8. Група 2: декомпозиція</w:t>
      </w:r>
    </w:p>
    <w:p>
      <w:pPr>
        <w:pStyle w:val="FigureImage"/>
      </w:pPr>
      <w:r>
        <w:drawing>
          <wp:inline>
            <wp:extent cx="5930900" cy="4448175"/>
            <wp:effectExtent b="0" l="0" r="0" t="0"/>
            <wp:docPr descr="STL-декомпозиція температури" title="" id="63" name="Picture"/>
            <a:graphic>
              <a:graphicData uri="http://schemas.openxmlformats.org/drawingml/2006/picture">
                <pic:pic>
                  <pic:nvPicPr>
                    <pic:cNvPr descr="assets/10_weather_stl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44481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12 – STL-декомпозиція середньодобової температури, Київ</w:t>
      </w:r>
    </w:p>
    <w:p>
      <w:pPr>
        <w:pStyle w:val="BodyText"/>
      </w:pPr>
      <w:r>
        <w:t xml:space="preserve">Для температури Києва</w:t>
      </w:r>
      <w:r>
        <w:t xml:space="preserve"> </w:t>
      </w:r>
      <m:oMath>
        <m:sSub>
          <m:e>
            <m:r>
              <m:t>F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888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037</m:t>
        </m:r>
      </m:oMath>
      <w:r>
        <w:t xml:space="preserve">, СКВ залишку 3,18 °C. Сила</w:t>
      </w:r>
      <w:r>
        <w:t xml:space="preserve"> </w:t>
      </w:r>
      <w:r>
        <w:t xml:space="preserve">тренду мала, бо річний цикл з розмахом понад 20 °C на порядок більший за потепління.</w:t>
      </w:r>
      <w:r>
        <w:t xml:space="preserve"> </w:t>
      </w:r>
      <w:r>
        <w:t xml:space="preserve">Сам тренд при цьому зростає з 9,69 °C у 2015 році до 11,11 °C у 2024 році.</w:t>
      </w:r>
    </w:p>
    <w:p>
      <w:pPr>
        <w:pStyle w:val="FigureImage"/>
      </w:pPr>
      <w:r>
        <w:drawing>
          <wp:inline>
            <wp:extent cx="5930900" cy="5337810"/>
            <wp:effectExtent b="0" l="0" r="0" t="0"/>
            <wp:docPr descr="MSTL-декомпозиція погодинної температури" title="" id="66" name="Picture"/>
            <a:graphic>
              <a:graphicData uri="http://schemas.openxmlformats.org/drawingml/2006/picture">
                <pic:pic>
                  <pic:nvPicPr>
                    <pic:cNvPr descr="assets/11_weather_mstl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53378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13 – MSTL-декомпозиція погодинної температури з добовим і річним періодами</w:t>
      </w:r>
    </w:p>
    <w:p>
      <w:pPr>
        <w:pStyle w:val="BodyText"/>
      </w:pPr>
      <w:r>
        <w:t xml:space="preserve">Для MSTL погодинні дані усереднено до 3 годин, періоди – 8 і 2922 відліки. СКВ добової</w:t>
      </w:r>
      <w:r>
        <w:t xml:space="preserve"> </w:t>
      </w:r>
      <w:r>
        <w:t xml:space="preserve">сезонності 2,38 °C, річної – 9,01 °C, залишку – 3,29 °C. Добова компонента модульована</w:t>
      </w:r>
      <w:r>
        <w:t xml:space="preserve"> </w:t>
      </w:r>
      <w:r>
        <w:t xml:space="preserve">річним циклом: її розмах змінюється від 4,4 °C у грудні до 13,0 °C у травні, коли</w:t>
      </w:r>
      <w:r>
        <w:t xml:space="preserve"> </w:t>
      </w:r>
      <w:r>
        <w:t xml:space="preserve">ночі ще холодні, а сонце вже високо. Тренд MSTL показує і міжрічні коливання, і загальне</w:t>
      </w:r>
      <w:r>
        <w:t xml:space="preserve"> </w:t>
      </w:r>
      <w:r>
        <w:t xml:space="preserve">потепління за десятиліття.</w:t>
      </w:r>
    </w:p>
    <w:p>
      <w:pPr>
        <w:pStyle w:val="FigureImage"/>
      </w:pPr>
      <w:r>
        <w:drawing>
          <wp:inline>
            <wp:extent cx="5930900" cy="1824892"/>
            <wp:effectExtent b="0" l="0" r="0" t="0"/>
            <wp:docPr descr="Просторові градієнти" title="" id="69" name="Picture"/>
            <a:graphic>
              <a:graphicData uri="http://schemas.openxmlformats.org/drawingml/2006/picture">
                <pic:pic>
                  <pic:nvPicPr>
                    <pic:cNvPr descr="assets/12_weather_gradients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18248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14 – Річна амплітуда і тренд температури проти довготи, сила річної сезонності</w:t>
      </w:r>
    </w:p>
    <w:p>
      <w:pPr>
        <w:pStyle w:val="BodyText"/>
      </w:pPr>
      <w:r>
        <w:t xml:space="preserve">Сила річної сезонності за гармонічною моделлю (рисунок 14, праворуч) розділяє показники</w:t>
      </w:r>
      <w:r>
        <w:t xml:space="preserve"> </w:t>
      </w:r>
      <w:r>
        <w:t xml:space="preserve">на дві групи. Температура (0,82–0,88) і радіація (0,75–0,82) визначаються сезоном.</w:t>
      </w:r>
      <w:r>
        <w:t xml:space="preserve"> </w:t>
      </w:r>
      <w:r>
        <w:t xml:space="preserve">Вологість (0,20–0,46) – частково. Тиск, вітер і опади (</w:t>
      </w:r>
      <m:oMath>
        <m:r>
          <m:rPr>
            <m:sty m:val="p"/>
          </m:rPr>
          <m:t>≤</m:t>
        </m:r>
        <m:r>
          <m:t>0</m:t>
        </m:r>
        <m:r>
          <m:rPr>
            <m:sty m:val="p"/>
          </m:rPr>
          <m:t>,</m:t>
        </m:r>
        <m:r>
          <m:t>15</m:t>
        </m:r>
      </m:oMath>
      <w:r>
        <w:t xml:space="preserve">) майже не мають</w:t>
      </w:r>
      <w:r>
        <w:t xml:space="preserve"> </w:t>
      </w:r>
      <w:r>
        <w:t xml:space="preserve">річного циклу, їх визначає синоптична мінливість.</w:t>
      </w:r>
    </w:p>
    <w:bookmarkEnd w:id="71"/>
    <w:bookmarkStart w:id="75" w:name="етап-9.-група-2-властивості"/>
    <w:p>
      <w:pPr>
        <w:pStyle w:val="Heading3"/>
      </w:pPr>
      <w:r>
        <w:t xml:space="preserve">Етап 9. Група 2: властивості</w:t>
      </w:r>
    </w:p>
    <w:p>
      <w:pPr>
        <w:pStyle w:val="TableCaptionOwn"/>
        <w:keepNext/>
      </w:pPr>
      <w:r>
        <w:t xml:space="preserve">Таблиця 10 – Тренд і річна амплітуда температури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  <w:jc w:val="center"/>
            </w:pPr>
            <w:r>
              <w:t xml:space="preserve">Місто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Довгота, °E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Тренд, °C / 10 років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Амплітуда, °C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Ужгород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22,30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+0,73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11,24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Львів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24,03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+0,63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10,89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Івано-Франківськ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24,71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+0,90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10,95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Луцьк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25,34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+0,67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11,17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Вінниця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28,47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+0,69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11,82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Київ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30,52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+1,20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12,43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Одеса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30,72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+1,66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11,95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Чернігів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31,29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+1,04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12,57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Полтава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34,55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+1,64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13,10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Дніпро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35,05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+1,41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13,10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Запоріжжя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35,14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+1,39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12,97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Харків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36,23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+1,48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13,38</w:t>
            </w:r>
          </w:p>
        </w:tc>
      </w:tr>
    </w:tbl>
    <w:p>
      <w:pPr>
        <w:pStyle w:val="BodyText"/>
        <w:spacing w:before="420"/>
      </w:pPr>
      <w:r>
        <w:t xml:space="preserve">Річна амплітуда зростає із заходу на схід: кореляція з довготою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97</m:t>
        </m:r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,</m:t>
        </m:r>
        <m:r>
          <m:t>001</m:t>
        </m:r>
      </m:oMath>
      <w:r>
        <w:t xml:space="preserve">). Це континентальність клімату – вплив Атлантики слабшає зі сходом.</w:t>
      </w:r>
      <w:r>
        <w:t xml:space="preserve"> </w:t>
      </w:r>
      <w:r>
        <w:t xml:space="preserve">Одеса нижче лінії тренду: море згладжує річний цикл. Тренд теж зростає зі сходом</w:t>
      </w:r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84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001</m:t>
        </m:r>
      </m:oMath>
      <w:r>
        <w:t xml:space="preserve">): на заході 0,6–0,9 °C за 10 років, на сході й півдні</w:t>
      </w:r>
      <w:r>
        <w:t xml:space="preserve"> </w:t>
      </w:r>
      <w:r>
        <w:t xml:space="preserve">1,4–1,7 °C. Потепління додатне в усіх містах, але оцінка тренду окремого міста за</w:t>
      </w:r>
      <w:r>
        <w:t xml:space="preserve"> </w:t>
      </w:r>
      <w:r>
        <w:t xml:space="preserve">10 років має велику невизначеність (п. 3.6).</w:t>
      </w:r>
    </w:p>
    <w:p>
      <w:pPr>
        <w:pStyle w:val="TableCaptionOwn"/>
        <w:keepNext/>
      </w:pPr>
      <w:r>
        <w:t xml:space="preserve">Таблиця 11 – Властивості температурних аномалій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  <w:jc w:val="center"/>
            </w:pPr>
            <w:r>
              <w:t xml:space="preserve">Місто</w:t>
            </w:r>
          </w:p>
        </w:tc>
        <w:tc>
          <w:tcPr/>
          <w:p>
            <w:pPr>
              <w:pStyle w:val="Compact"/>
              <w:keepNext/>
              <w:jc w:val="center"/>
            </w:pPr>
            <m:oMath>
              <m:r>
                <m:t>σ</m:t>
              </m:r>
            </m:oMath>
            <w:r>
              <w:t xml:space="preserve">, °C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Асиметрія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Асиметрія взимку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Ексцес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ACF(1)</w:t>
            </w:r>
          </w:p>
        </w:tc>
        <w:tc>
          <w:tcPr/>
          <w:p>
            <w:pPr>
              <w:pStyle w:val="Compact"/>
              <w:keepNext/>
              <w:jc w:val="center"/>
            </w:pPr>
            <m:oMathPara>
              <m:oMathParaPr>
                <m:jc m:val="center"/>
              </m:oMathParaPr>
              <m:oMath>
                <m:r>
                  <m:t>H</m:t>
                </m:r>
              </m:oMath>
            </m:oMathPara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Ужгород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3,355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–0,179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–0,444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0,216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0,827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0,685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Львів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3,643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–0,346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–0,666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0,838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0,809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0,680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Івано-Франківськ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3,582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–0,365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–0,534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0,921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0,807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0,669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Луцьк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3,661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–0,413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–0,838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0,961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0,808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0,680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Вінниця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3,618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–0,333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–0,699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0,550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0,807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0,684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Київ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3,671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–0,426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–0,834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0,599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0,813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0,667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Чернігів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3,823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–0,533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–1,001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0,928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0,816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0,683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Полтава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3,791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–0,483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–0,927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0,871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0,806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0,653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Харків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3,882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–0,457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–0,861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0,630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0,801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0,649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Дніпро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3,621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–0,411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–0,800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0,826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0,803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0,667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Запоріжжя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3,518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–0,333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–0,729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0,648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0,808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0,665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Одеса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3,089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–0,260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–0,537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0,689</w:t>
            </w:r>
          </w:p>
        </w:tc>
      </w:tr>
    </w:tbl>
    <w:p>
      <w:pPr>
        <w:pStyle w:val="FigureImage"/>
        <w:spacing w:before="420"/>
      </w:pPr>
      <w:r>
        <w:drawing>
          <wp:inline>
            <wp:extent cx="5930900" cy="1878118"/>
            <wp:effectExtent b="0" l="0" r="0" t="0"/>
            <wp:docPr descr="Властивості аномалій температури" title="" id="73" name="Picture"/>
            <a:graphic>
              <a:graphicData uri="http://schemas.openxmlformats.org/drawingml/2006/picture">
                <pic:pic>
                  <pic:nvPicPr>
                    <pic:cNvPr descr="assets/13_weather_properties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18781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15 – Розподіл аномалій взимку і влітку, автокореляція, R/S-аналіз, Київ</w:t>
      </w:r>
    </w:p>
    <w:p>
      <w:pPr>
        <w:pStyle w:val="BodyText"/>
      </w:pPr>
      <w:r>
        <w:t xml:space="preserve">Температура Києва стаціонарна за обома тестами вже без вилучення сезонності</w:t>
      </w:r>
      <w:r>
        <w:t xml:space="preserve"> </w:t>
      </w:r>
      <w:r>
        <w:t xml:space="preserve">(</w:t>
      </w:r>
      <m:oMath>
        <m:sSub>
          <m:e>
            <m:r>
              <m:t>p</m:t>
            </m:r>
          </m:e>
          <m:sub>
            <m:r>
              <m:t>A</m:t>
            </m:r>
            <m:r>
              <m:t>D</m:t>
            </m:r>
            <m:r>
              <m:t>F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004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  <m:r>
              <m:t>P</m:t>
            </m:r>
            <m:r>
              <m:t>S</m:t>
            </m:r>
            <m:r>
              <m:t>S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</m:oMath>
      <w:r>
        <w:t xml:space="preserve">): сезонний цикл періодичний і не накопичується.</w:t>
      </w:r>
      <w:r>
        <w:t xml:space="preserve"> </w:t>
      </w:r>
      <w:r>
        <w:t xml:space="preserve">Аномалії стаціонарні в усіх містах. Їхні властивості однакові по всій мережі</w:t>
      </w:r>
      <w:r>
        <w:t xml:space="preserve"> </w:t>
      </w:r>
      <w:r>
        <w:t xml:space="preserve">і пояснюються фізикою атмосфери:</w:t>
      </w:r>
    </w:p>
    <w:p>
      <w:pPr>
        <w:pStyle w:val="Compact"/>
        <w:numPr>
          <w:ilvl w:val="0"/>
          <w:numId w:val="1004"/>
        </w:numPr>
      </w:pPr>
      <w:r>
        <w:t xml:space="preserve">аномалії мають від’ємну асиметрію, що взимку зростає до –0,45…–1,0: сильні морози</w:t>
      </w:r>
      <w:r>
        <w:t xml:space="preserve"> </w:t>
      </w:r>
      <w:r>
        <w:t xml:space="preserve">від вторгнень арктичного повітря глибші, ніж теплі відхилення;</w:t>
      </w:r>
    </w:p>
    <w:p>
      <w:pPr>
        <w:pStyle w:val="Compact"/>
        <w:numPr>
          <w:ilvl w:val="0"/>
          <w:numId w:val="1004"/>
        </w:numPr>
      </w:pPr>
      <w:r>
        <w:t xml:space="preserve">ACF(1) ≈ 0,81, автокореляція спадає майже як в AR(1) і за 10 діб падає до 0,1 –</w:t>
      </w:r>
      <w:r>
        <w:t xml:space="preserve"> </w:t>
      </w:r>
      <w:r>
        <w:t xml:space="preserve">це тривалість синоптичного процесу;</w:t>
      </w:r>
    </w:p>
    <w:p>
      <w:pPr>
        <w:pStyle w:val="Compact"/>
        <w:numPr>
          <w:ilvl w:val="0"/>
          <w:numId w:val="1004"/>
        </w:numPr>
      </w:pPr>
      <m:oMath>
        <m:r>
          <m:t>H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65</m:t>
        </m:r>
      </m:oMath>
      <w:r>
        <w:t xml:space="preserve">–</w:t>
      </w:r>
      <m:oMath>
        <m:r>
          <m:t>0</m:t>
        </m:r>
        <m:r>
          <m:rPr>
            <m:sty m:val="p"/>
          </m:rPr>
          <m:t>,</m:t>
        </m:r>
        <m:r>
          <m:t>69</m:t>
        </m:r>
      </m:oMath>
      <w:r>
        <w:t xml:space="preserve">: окрім короткої пам’яті, аномалії мають і повільнішу</w:t>
      </w:r>
      <w:r>
        <w:t xml:space="preserve"> </w:t>
      </w:r>
      <w:r>
        <w:t xml:space="preserve">мінливість – теплі й холодні місяці.</w:t>
      </w:r>
    </w:p>
    <w:p>
      <w:pPr>
        <w:pStyle w:val="FirstParagraph"/>
      </w:pPr>
      <w:r>
        <w:t xml:space="preserve">Найменша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аномалій в Одесі (3,09 °C) – море стримує коливання.</w:t>
      </w:r>
    </w:p>
    <w:bookmarkEnd w:id="75"/>
    <w:bookmarkStart w:id="82" w:name="етап-10.-група-2-кореляційний-аналіз"/>
    <w:p>
      <w:pPr>
        <w:pStyle w:val="Heading3"/>
      </w:pPr>
      <w:r>
        <w:t xml:space="preserve">Етап 10. Група 2: кореляційний аналіз</w:t>
      </w:r>
    </w:p>
    <w:p>
      <w:pPr>
        <w:pStyle w:val="TableCaptionOwn"/>
        <w:keepNext/>
      </w:pPr>
      <w:r>
        <w:t xml:space="preserve">Таблиця 12 – Кореляція показників Києва: сирі ряди та аномалії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  <w:jc w:val="center"/>
            </w:pPr>
            <w:r>
              <w:t xml:space="preserve">Пара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Сирі ряди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Аномалії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температура – вологість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–0,55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–0,01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температура – радіація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+0,78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+0,17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вологість – опади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+0,33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+0,45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вологість – радіація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–0,76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–0,56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тиск – вітер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–0,27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–0,33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тиск – опади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–0,34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–0,34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опади – радіація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–0,20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–0,50</w:t>
            </w:r>
          </w:p>
        </w:tc>
      </w:tr>
    </w:tbl>
    <w:p>
      <w:pPr>
        <w:pStyle w:val="FigureImage"/>
        <w:spacing w:before="420"/>
      </w:pPr>
      <w:r>
        <w:drawing>
          <wp:inline>
            <wp:extent cx="5930900" cy="2372360"/>
            <wp:effectExtent b="0" l="0" r="0" t="0"/>
            <wp:docPr descr="Кореляція показників" title="" id="77" name="Picture"/>
            <a:graphic>
              <a:graphicData uri="http://schemas.openxmlformats.org/drawingml/2006/picture">
                <pic:pic>
                  <pic:nvPicPr>
                    <pic:cNvPr descr="assets/14_weather_variables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23723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16 – Кореляційні матриці показників Києва до і після вилучення сезонності</w:t>
      </w:r>
    </w:p>
    <w:p>
      <w:pPr>
        <w:pStyle w:val="BodyText"/>
      </w:pPr>
      <w:r>
        <w:t xml:space="preserve">Частина сильних зв’язків у сирих рядах створена сезонністю. Кореляція температури</w:t>
      </w:r>
      <w:r>
        <w:t xml:space="preserve"> </w:t>
      </w:r>
      <w:r>
        <w:t xml:space="preserve">з вологістю –0,55 зникає в аномаліях (–0,01): обидва показники просто мають протилежні</w:t>
      </w:r>
      <w:r>
        <w:t xml:space="preserve"> </w:t>
      </w:r>
      <w:r>
        <w:t xml:space="preserve">річні цикли. Справжні зв’язки після вилучення сезонності посилюються: опади</w:t>
      </w:r>
      <w:r>
        <w:t xml:space="preserve"> </w:t>
      </w:r>
      <w:r>
        <w:t xml:space="preserve">з радіацією (–0,50, хмарність), вологість з опадами (+0,45). Тиск зі зміною сезону</w:t>
      </w:r>
      <w:r>
        <w:t xml:space="preserve"> </w:t>
      </w:r>
      <w:r>
        <w:t xml:space="preserve">не пов’язаний, і його кореляції з вітром і опадами однакові в обох випадках:</w:t>
      </w:r>
      <w:r>
        <w:t xml:space="preserve"> </w:t>
      </w:r>
      <w:r>
        <w:t xml:space="preserve">циклони приносять і вітер, і опади.</w:t>
      </w:r>
    </w:p>
    <w:p>
      <w:pPr>
        <w:pStyle w:val="FigureImage"/>
      </w:pPr>
      <w:r>
        <w:drawing>
          <wp:inline>
            <wp:extent cx="5930900" cy="1824892"/>
            <wp:effectExtent b="0" l="0" r="0" t="0"/>
            <wp:docPr descr="Просторові закономірності" title="" id="80" name="Picture"/>
            <a:graphic>
              <a:graphicData uri="http://schemas.openxmlformats.org/drawingml/2006/picture">
                <pic:pic>
                  <pic:nvPicPr>
                    <pic:cNvPr descr="assets/15_weather_spatial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18248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17 – Кореляція аномалій і відстань, крос-кореляція пар міст, асиметрія за різницею довгот</w:t>
      </w:r>
    </w:p>
    <w:p>
      <w:pPr>
        <w:pStyle w:val="BodyText"/>
      </w:pPr>
      <w:r>
        <w:t xml:space="preserve">Кореляція аномалій температури між містами – від 0,42 до 0,98 – спадає з відстанню,</w:t>
      </w:r>
      <w:r>
        <w:t xml:space="preserve"> </w:t>
      </w:r>
      <w:r>
        <w:t xml:space="preserve">радіус кореляції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1435</m:t>
        </m:r>
      </m:oMath>
      <w:r>
        <w:t xml:space="preserve"> </w:t>
      </w:r>
      <w:r>
        <w:t xml:space="preserve">км. Для далеких пар максимум крос-кореляції зсунутий:</w:t>
      </w:r>
      <w:r>
        <w:t xml:space="preserve"> </w:t>
      </w:r>
      <w:r>
        <w:t xml:space="preserve">Львів випереджає Харків на 1 добу (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579</m:t>
        </m:r>
      </m:oMath>
      <w:r>
        <w:t xml:space="preserve"> </w:t>
      </w:r>
      <w:r>
        <w:t xml:space="preserve">проти 0,495 на нульовому лагу),</w:t>
      </w:r>
      <w:r>
        <w:t xml:space="preserve"> </w:t>
      </w:r>
      <w:r>
        <w:t xml:space="preserve">Ужгород – Харків теж на 1 добу. Для близьких пар і пари південь – північ</w:t>
      </w:r>
      <w:r>
        <w:t xml:space="preserve"> </w:t>
      </w:r>
      <w:r>
        <w:t xml:space="preserve">(Одеса – Чернігів) максимум на нульовому лагу. По всіх 66 парах асиметрія</w:t>
      </w:r>
      <w:r>
        <w:t xml:space="preserve"> </w:t>
      </w:r>
      <m:oMath>
        <m:r>
          <m:t>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зростає з різницею довгот: нахил 0,0176 на градус,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70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11</m:t>
            </m:r>
          </m:sup>
        </m:sSup>
      </m:oMath>
      <w:r>
        <w:t xml:space="preserve">. Це західне перенесення: атмосферні фронти проходять</w:t>
      </w:r>
      <w:r>
        <w:t xml:space="preserve"> </w:t>
      </w:r>
      <w:r>
        <w:t xml:space="preserve">територію України із заходу на схід приблизно за добу.</w:t>
      </w:r>
    </w:p>
    <w:bookmarkEnd w:id="82"/>
    <w:bookmarkStart w:id="86" w:name="етап-11.-група-2-кластеризація-міст"/>
    <w:p>
      <w:pPr>
        <w:pStyle w:val="Heading3"/>
      </w:pPr>
      <w:r>
        <w:t xml:space="preserve">Етап 11. Група 2: кластеризація міст</w:t>
      </w:r>
    </w:p>
    <w:p>
      <w:pPr>
        <w:pStyle w:val="TableCaptionOwn"/>
        <w:keepNext/>
      </w:pPr>
      <w:r>
        <w:t xml:space="preserve">Таблиця 13 – Кліматичні ознаки і кластери міст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594"/>
        <w:gridCol w:w="1188"/>
        <w:gridCol w:w="1188"/>
        <w:gridCol w:w="990"/>
        <w:gridCol w:w="990"/>
        <w:gridCol w:w="1386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  <w:jc w:val="center"/>
            </w:pPr>
            <w:r>
              <w:t xml:space="preserve">Місто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T, °C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Амплітуда, °C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Вологість, %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Опади, мм/рік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Вітер, км/год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Кластер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Ужгород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11,02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11,24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74,74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857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9,29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захід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Львів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9,68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10,89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76,29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787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13,04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захід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Івано-Франківськ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9,86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10,96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75,40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715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10,85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захід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Луцьк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9,76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11,17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75,74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696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12,83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захід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Вінниця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9,75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11,82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73,39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580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11,37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центр і північ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Київ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9,84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12,43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73,47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615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12,70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центр і північ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Чернігів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9,24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12,57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73,97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645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13,81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центр і північ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Полтава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9,91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13,10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71,32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598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13,48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схід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Харків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9,69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13,38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70,96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583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12,96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схід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Дніпро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10,99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13,10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72,54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559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13,19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схід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Запоріжжя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11,54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12,97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70,35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551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13,38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схід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Одеса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12,62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11,95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71,92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14,87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південь</w:t>
            </w:r>
          </w:p>
        </w:tc>
      </w:tr>
    </w:tbl>
    <w:p>
      <w:pPr>
        <w:pStyle w:val="FigureImage"/>
        <w:spacing w:before="420"/>
      </w:pPr>
      <w:r>
        <w:drawing>
          <wp:inline>
            <wp:extent cx="5930900" cy="1916136"/>
            <wp:effectExtent b="0" l="0" r="0" t="0"/>
            <wp:docPr descr="Кластери міст" title="" id="84" name="Picture"/>
            <a:graphic>
              <a:graphicData uri="http://schemas.openxmlformats.org/drawingml/2006/picture">
                <pic:pic>
                  <pic:nvPicPr>
                    <pic:cNvPr descr="assets/16_weather_clusters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19161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18 – Дендрограми за кліматичними ознаками і за кореляцією аномалій, кластери на мапі</w:t>
      </w:r>
    </w:p>
    <w:p>
      <w:pPr>
        <w:pStyle w:val="BodyText"/>
      </w:pPr>
      <w:r>
        <w:t xml:space="preserve">K-means за силуетом обирає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(0,371), але на 12 об’єктах силует малоінформативний:</w:t>
      </w:r>
      <w:r>
        <w:t xml:space="preserve"> </w:t>
      </w:r>
      <w:r>
        <w:t xml:space="preserve">розбиття на дві групи лише відокремлює схід від решти. Дендрограма Уорда має природний</w:t>
      </w:r>
      <w:r>
        <w:t xml:space="preserve"> </w:t>
      </w:r>
      <w:r>
        <w:t xml:space="preserve">розріз на чотири кластери. Розбиття на чотири кластери за кліматом і за кореляцією</w:t>
      </w:r>
      <w:r>
        <w:t xml:space="preserve"> </w:t>
      </w:r>
      <w:r>
        <w:t xml:space="preserve">аномалій повністю збіглися (ARI = 1,000). Перше спирається на середні значення,</w:t>
      </w:r>
      <w:r>
        <w:t xml:space="preserve"> </w:t>
      </w:r>
      <w:r>
        <w:t xml:space="preserve">друге – лише на синхронність добових коливань, і обидва дають ті самі кліматичні зони:</w:t>
      </w:r>
      <w:r>
        <w:t xml:space="preserve"> </w:t>
      </w:r>
      <w:r>
        <w:t xml:space="preserve">вологий захід з найбільшою кількістю опадів, центр і північ, континентальний схід</w:t>
      </w:r>
      <w:r>
        <w:t xml:space="preserve"> </w:t>
      </w:r>
      <w:r>
        <w:t xml:space="preserve">з найбільшою амплітудою, приморська Одеса.</w:t>
      </w:r>
    </w:p>
    <w:bookmarkEnd w:id="86"/>
    <w:bookmarkStart w:id="90" w:name="етап-12.-група-2-синтез-моделі"/>
    <w:p>
      <w:pPr>
        <w:pStyle w:val="Heading3"/>
      </w:pPr>
      <w:r>
        <w:t xml:space="preserve">Етап 12. Група 2: синтез моделі</w:t>
      </w:r>
    </w:p>
    <w:p>
      <w:pPr>
        <w:pStyle w:val="FirstParagraph"/>
      </w:pPr>
      <w:r>
        <w:t xml:space="preserve">BIC обрав порядок VAR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і для аномалій, і для їхніх нормальних рангів.</w:t>
      </w:r>
    </w:p>
    <w:p>
      <w:pPr>
        <w:pStyle w:val="FigureImage"/>
      </w:pPr>
      <w:r>
        <w:drawing>
          <wp:inline>
            <wp:extent cx="5930900" cy="3855085"/>
            <wp:effectExtent b="0" l="0" r="0" t="0"/>
            <wp:docPr descr="Модельна температура" title="" id="88" name="Picture"/>
            <a:graphic>
              <a:graphicData uri="http://schemas.openxmlformats.org/drawingml/2006/picture">
                <pic:pic>
                  <pic:nvPicPr>
                    <pic:cNvPr descr="assets/17_weather_synthetic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8550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19 – Реальна і модельна температура Києва, кореляція аномалій міст зі Львовом</w:t>
      </w:r>
    </w:p>
    <w:p>
      <w:pPr>
        <w:pStyle w:val="BodyText"/>
      </w:pPr>
      <w:r>
        <w:t xml:space="preserve">Модельний ряд має той самий річний цикл, розкид і характер синоптичних коливань.</w:t>
      </w:r>
      <w:r>
        <w:t xml:space="preserve"> </w:t>
      </w:r>
      <w:r>
        <w:t xml:space="preserve">Кореляція аномалій міст зі Львовом у моделі повторює реальну з відхиленням до 0,04.</w:t>
      </w:r>
    </w:p>
    <w:bookmarkEnd w:id="90"/>
    <w:bookmarkStart w:id="97" w:name="Xbca7061c0378b281485ef6f05398e6c0e8089f8"/>
    <w:p>
      <w:pPr>
        <w:pStyle w:val="Heading3"/>
      </w:pPr>
      <w:r>
        <w:t xml:space="preserve">Етап 13. Група 2: адекватність і порівняння генераторів</w:t>
      </w:r>
    </w:p>
    <w:p>
      <w:pPr>
        <w:pStyle w:val="TableCaptionOwn"/>
        <w:keepNext/>
      </w:pPr>
      <w:r>
        <w:t xml:space="preserve">Таблиця 14 – Частка міст, де показник лежить в інтервалі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P</m:t>
            </m:r>
          </m:e>
          <m:sub>
            <m:r>
              <m:t>5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95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моделі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  <w:jc w:val="center"/>
            </w:pPr>
            <w:r>
              <w:t xml:space="preserve">Показник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Нормальні інновації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Сезонний бутстреп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Копула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m:oMathPara>
              <m:oMathParaPr>
                <m:jc m:val="left"/>
              </m:oMathParaPr>
              <m:oMath>
                <m:r>
                  <m:t>m</m:t>
                </m:r>
              </m:oMath>
            </m:oMathPara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1,00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1,00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1,00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m:oMathPara>
              <m:oMathParaPr>
                <m:jc m:val="left"/>
              </m:oMathParaPr>
              <m:oMath>
                <m:r>
                  <m:t>σ</m:t>
                </m:r>
              </m:oMath>
            </m:oMathPara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1,00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1,00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1,00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Тренд</w:t>
            </w:r>
            <w:r>
              <w:t xml:space="preserve"> </w:t>
            </w:r>
            <m:oMath>
              <m:r>
                <m:t>b</m:t>
              </m:r>
            </m:oMath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1,00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1,00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1,00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Амплітуда</w:t>
            </w:r>
            <w:r>
              <w:t xml:space="preserve"> </w:t>
            </w:r>
            <m:oMath>
              <m:r>
                <m:t>A</m:t>
              </m:r>
            </m:oMath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1,00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1,00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1,00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m:oMath>
              <m:r>
                <m:t>σ</m:t>
              </m:r>
            </m:oMath>
            <w:r>
              <w:t xml:space="preserve"> </w:t>
            </w:r>
            <w:r>
              <w:t xml:space="preserve">взимку / влітку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1,00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0,75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0,67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ACF(1)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1,00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1,00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0,42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ACF(7)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0,00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0,00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0,00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m:oMathPara>
              <m:oMathParaPr>
                <m:jc m:val="left"/>
              </m:oMathParaPr>
              <m:oMath>
                <m:r>
                  <m:t>H</m:t>
                </m:r>
              </m:oMath>
            </m:oMathPara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0,17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0,17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0,00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Асиметрія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0,00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0,08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1,00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Асиметрія взимку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0,00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0,00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1,00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Ексцес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0,08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1,00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1,00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Середня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між містами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так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так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ні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m:oMath>
              <m:r>
                <m:t>r</m:t>
              </m:r>
            </m:oMath>
            <w:r>
              <w:t xml:space="preserve"> </w:t>
            </w:r>
            <w:r>
              <w:t xml:space="preserve">Львів → Харків, лаг 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так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так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ні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ARI кластерів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так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так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так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Усього показників у межах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 з 135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87 з 135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 з 135</w:t>
            </w:r>
          </w:p>
        </w:tc>
      </w:tr>
    </w:tbl>
    <w:p>
      <w:pPr>
        <w:pStyle w:val="FigureImage"/>
        <w:spacing w:before="420"/>
      </w:pPr>
      <w:r>
        <w:drawing>
          <wp:inline>
            <wp:extent cx="5930900" cy="4659992"/>
            <wp:effectExtent b="0" l="0" r="0" t="0"/>
            <wp:docPr descr="Порівняння генераторів" title="" id="92" name="Picture"/>
            <a:graphic>
              <a:graphicData uri="http://schemas.openxmlformats.org/drawingml/2006/picture">
                <pic:pic>
                  <pic:nvPicPr>
                    <pic:cNvPr descr="assets/18_weather_methods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46599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20 – Частка міст, де показник відтворено, за генераторами</w:t>
      </w:r>
    </w:p>
    <w:p>
      <w:pPr>
        <w:pStyle w:val="TableCaptionOwn"/>
        <w:keepNext/>
      </w:pPr>
      <w:r>
        <w:t xml:space="preserve">Таблиця 15 – Адекватність моделі для Києва, сезонний бутстреп, 100 реалізацій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  <w:jc w:val="center"/>
            </w:pPr>
            <w:r>
              <w:t xml:space="preserve">Показник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Реальний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Модель,</w:t>
            </w:r>
            <w:r>
              <w:t xml:space="preserve"> </w:t>
            </w:r>
            <m:oMath>
              <m:r>
                <m:t>m</m:t>
              </m:r>
            </m:oMath>
          </w:p>
        </w:tc>
        <w:tc>
          <w:tcPr/>
          <w:p>
            <w:pPr>
              <w:pStyle w:val="Compact"/>
              <w:keepNext/>
              <w:jc w:val="center"/>
            </w:pPr>
            <m:oMathPara>
              <m:oMathParaPr>
                <m:jc m:val="center"/>
              </m:oMathParaPr>
              <m:oMath>
                <m:sSub>
                  <m:e>
                    <m:r>
                      <m:t>P</m:t>
                    </m:r>
                  </m:e>
                  <m:sub>
                    <m:r>
                      <m:t>5</m:t>
                    </m:r>
                  </m:sub>
                </m:sSub>
              </m:oMath>
            </m:oMathPara>
          </w:p>
        </w:tc>
        <w:tc>
          <w:tcPr/>
          <w:p>
            <w:pPr>
              <w:pStyle w:val="Compact"/>
              <w:keepNext/>
              <w:jc w:val="center"/>
            </w:pPr>
            <m:oMathPara>
              <m:oMathParaPr>
                <m:jc m:val="center"/>
              </m:oMathParaPr>
              <m:oMath>
                <m:sSub>
                  <m:e>
                    <m:r>
                      <m:t>P</m:t>
                    </m:r>
                  </m:e>
                  <m:sub>
                    <m:r>
                      <m:t>95</m:t>
                    </m:r>
                  </m:sub>
                </m:sSub>
              </m:oMath>
            </m:oMathPara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У межах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m:oMath>
              <m:r>
                <m:t>m</m:t>
              </m:r>
            </m:oMath>
            <w:r>
              <w:t xml:space="preserve">, °C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9,839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9,831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9,591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10,065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так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m:oMath>
              <m:r>
                <m:t>σ</m:t>
              </m:r>
            </m:oMath>
            <w:r>
              <w:t xml:space="preserve">, °C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9,547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9,562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9,298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9,848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так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Тренд, °C / 10 років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1,204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1,037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–0,004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1,842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так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Амплітуда, °C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12,433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12,449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12,089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12,818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так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m:oMath>
              <m:r>
                <m:t>σ</m:t>
              </m:r>
            </m:oMath>
            <w:r>
              <w:t xml:space="preserve"> </w:t>
            </w:r>
            <w:r>
              <w:t xml:space="preserve">взимку / влітку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1,476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1,468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1,315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1,649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так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ACF(1)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0,813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0,810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0,794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0,825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так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ACF(7)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0,191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0,124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0,080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0,186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ні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m:oMathPara>
              <m:oMathParaPr>
                <m:jc m:val="left"/>
              </m:oMathParaPr>
              <m:oMath>
                <m:r>
                  <m:t>H</m:t>
                </m:r>
              </m:oMath>
            </m:oMathPara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0,667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0,619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0,573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0,659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ні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Асиметрія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–0,426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–0,158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–0,294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–0,001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ні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Асиметрія взимку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–0,834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–0,189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–0,507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0,071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ні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Ексцес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0,599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0,607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0,231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1,135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так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Середня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між містами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0,745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0,736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0,714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0,756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так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m:oMath>
              <m:r>
                <m:t>r</m:t>
              </m:r>
            </m:oMath>
            <w:r>
              <w:t xml:space="preserve"> </w:t>
            </w:r>
            <w:r>
              <w:t xml:space="preserve">Львів → Харків, лаг 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0,579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0,561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0,518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0,602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так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ARI кластерів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так</w:t>
            </w:r>
          </w:p>
        </w:tc>
      </w:tr>
    </w:tbl>
    <w:p>
      <w:pPr>
        <w:pStyle w:val="FigureImage"/>
        <w:spacing w:before="420"/>
      </w:pPr>
      <w:r>
        <w:drawing>
          <wp:inline>
            <wp:extent cx="5930900" cy="3774209"/>
            <wp:effectExtent b="0" l="0" r="0" t="0"/>
            <wp:docPr descr="Адекватність генераторів" title="" id="95" name="Picture"/>
            <a:graphic>
              <a:graphicData uri="http://schemas.openxmlformats.org/drawingml/2006/picture">
                <pic:pic>
                  <pic:nvPicPr>
                    <pic:cNvPr descr="assets/19_weather_adequacy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7742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21 – Розподіл показників на модельних реалізаціях для трьох генераторів</w:t>
      </w:r>
    </w:p>
    <w:p>
      <w:pPr>
        <w:pStyle w:val="BodyText"/>
      </w:pPr>
      <w:r>
        <w:t xml:space="preserve">Усі три генератори відтворюють детерміновану частину: середнє, розкид, тренд,</w:t>
      </w:r>
      <w:r>
        <w:t xml:space="preserve"> </w:t>
      </w:r>
      <w:r>
        <w:t xml:space="preserve">амплітуду. У кожній модельній реалізації кластери міст за кореляцією аномалій</w:t>
      </w:r>
      <w:r>
        <w:t xml:space="preserve"> </w:t>
      </w:r>
      <w:r>
        <w:t xml:space="preserve">збігаються з реальними (ARI = 1). Решта показників розходиться між генераторами.</w:t>
      </w:r>
    </w:p>
    <w:p>
      <w:pPr>
        <w:pStyle w:val="BodyText"/>
      </w:pPr>
      <w:r>
        <w:t xml:space="preserve">VAR із нормальними інноваціями відтворює кореляційну структуру – короткочасну пам’ять,</w:t>
      </w:r>
      <w:r>
        <w:t xml:space="preserve"> </w:t>
      </w:r>
      <w:r>
        <w:t xml:space="preserve">кореляцію між містами і перенесення із заходу на схід, – але дає симетричні аномалії.</w:t>
      </w:r>
      <w:r>
        <w:t xml:space="preserve"> </w:t>
      </w:r>
      <w:r>
        <w:t xml:space="preserve">Сезонний бутстреп додає ексцес (12 міст з 12) і зберігає всю кореляційну структуру.</w:t>
      </w:r>
      <w:r>
        <w:t xml:space="preserve"> </w:t>
      </w:r>
      <w:r>
        <w:t xml:space="preserve">Асиметрію він відтворює лише частково (–0,16 проти –0,43 для Києва): сума</w:t>
      </w:r>
      <w:r>
        <w:t xml:space="preserve"> </w:t>
      </w:r>
      <w:r>
        <w:t xml:space="preserve">асиметричних інновацій у VAR наближається до нормального розподілу.</w:t>
      </w:r>
    </w:p>
    <w:p>
      <w:pPr>
        <w:pStyle w:val="BodyText"/>
      </w:pPr>
      <w:r>
        <w:t xml:space="preserve">Копула відтворює асиметрію й ексцес у всіх 12 містах, бо розподіл аномалій задається</w:t>
      </w:r>
      <w:r>
        <w:t xml:space="preserve"> </w:t>
      </w:r>
      <w:r>
        <w:t xml:space="preserve">емпірично. Ціна – занижені кореляції: між містами і на першому лагу. Причина у формі</w:t>
      </w:r>
      <w:r>
        <w:t xml:space="preserve"> </w:t>
      </w:r>
      <w:r>
        <w:t xml:space="preserve">залежності: пірсонівська кореляція реальних аномалій вища, ніж кореляція їхніх</w:t>
      </w:r>
      <w:r>
        <w:t xml:space="preserve"> </w:t>
      </w:r>
      <w:r>
        <w:t xml:space="preserve">нормальних рангів, тобто сильні холодні аномалії в різних містах збігаються частіше,</w:t>
      </w:r>
      <w:r>
        <w:t xml:space="preserve"> </w:t>
      </w:r>
      <w:r>
        <w:t xml:space="preserve">ніж допускає гаусова копула. Отже, для задач, де важлива просторова і часова</w:t>
      </w:r>
      <w:r>
        <w:t xml:space="preserve"> </w:t>
      </w:r>
      <w:r>
        <w:t xml:space="preserve">залежність (прогноз, перенесення), доцільний сезонний бутстреп. Для оцінки</w:t>
      </w:r>
      <w:r>
        <w:t xml:space="preserve"> </w:t>
      </w:r>
      <w:r>
        <w:t xml:space="preserve">екстремумів температури доцільна копула.</w:t>
      </w:r>
    </w:p>
    <w:p>
      <w:pPr>
        <w:pStyle w:val="BodyText"/>
      </w:pPr>
      <w:r>
        <w:t xml:space="preserve">Жоден генератор не відтворює ACF(7) і показник Херста: реальні аномалії мають довшу</w:t>
      </w:r>
      <w:r>
        <w:t xml:space="preserve"> </w:t>
      </w:r>
      <w:r>
        <w:t xml:space="preserve">пам’ять, ніж дає VAR(2).</w:t>
      </w:r>
    </w:p>
    <w:bookmarkEnd w:id="97"/>
    <w:bookmarkEnd w:id="98"/>
    <w:bookmarkStart w:id="99" w:name="програмний-код"/>
    <w:p>
      <w:pPr>
        <w:pStyle w:val="Heading2"/>
      </w:pPr>
      <w:r>
        <w:t xml:space="preserve">3.5. Програмний код</w:t>
      </w:r>
    </w:p>
    <w:p>
      <w:pPr>
        <w:pStyle w:val="FirstParagraph"/>
      </w:pPr>
      <w:r>
        <w:t xml:space="preserve">Нижче наведено фрагменти, що безпосередньо реалізують моделі розділу 3.1. Повний код</w:t>
      </w:r>
      <w:r>
        <w:t xml:space="preserve"> </w:t>
      </w:r>
      <w:r>
        <w:t xml:space="preserve">проекту додається до звіту окремим архівом.</w:t>
      </w:r>
    </w:p>
    <w:p>
      <w:pPr>
        <w:pStyle w:val="BodyText"/>
      </w:pPr>
      <w:r>
        <w:t xml:space="preserve">Скоригований показник Херста: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expected_rs(n):</w:t>
      </w:r>
      <w:r>
        <w:br/>
      </w:r>
      <w:r>
        <w:rPr>
          <w:rStyle w:val="NormalTok"/>
        </w:rPr>
        <w:t xml:space="preserve">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n)</w:t>
      </w:r>
      <w:r>
        <w:br/>
      </w:r>
      <w:r>
        <w:rPr>
          <w:rStyle w:val="NormalTok"/>
        </w:rPr>
        <w:t xml:space="preserve">    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np.sqrt((n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i).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np.exp(gammaln((n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gammaln(n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</w:t>
      </w:r>
      <w:r>
        <w:br/>
      </w:r>
      <w:r>
        <w:rPr>
          <w:rStyle w:val="NormalTok"/>
        </w:rPr>
        <w:t xml:space="preserve">            np.pi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np.pi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ratio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tail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hurst(x, corrected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min_window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HURST_MIN_WINDOW):</w:t>
      </w:r>
      <w:r>
        <w:br/>
      </w:r>
      <w:r>
        <w:rPr>
          <w:rStyle w:val="NormalTok"/>
        </w:rPr>
        <w:t xml:space="preserve">    sizes, 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rs_curve(x, min_window)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corrected:</w:t>
      </w:r>
      <w:r>
        <w:br/>
      </w:r>
      <w:r>
        <w:rPr>
          <w:rStyle w:val="NormalTok"/>
        </w:rPr>
        <w:t xml:space="preserve">        excess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np.log(rs)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np.log([expected_rs(n)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sizes])</w:t>
      </w:r>
      <w:r>
        <w:br/>
      </w:r>
      <w:r>
        <w:rPr>
          <w:rStyle w:val="NormalTok"/>
        </w:rPr>
        <w:t xml:space="preserve">       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np.polyfit(np.log(sizes), excess,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h, sizes, rs</w:t>
      </w:r>
      <w:r>
        <w:br/>
      </w:r>
      <w:r>
        <w:rPr>
          <w:rStyle w:val="NormalTok"/>
        </w:rPr>
        <w:t xml:space="preserve">   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np.polyfit(np.log(sizes), np.log(rs),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h, sizes, rs</w:t>
      </w:r>
    </w:p>
    <w:p>
      <w:pPr>
        <w:pStyle w:val="FirstParagraph"/>
      </w:pPr>
      <w:r>
        <w:t xml:space="preserve">Гармонічна регресія і сила сезонності: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seasonal_fit(frame, 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harmonic_design(np.arange(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(frame)), k)</w:t>
      </w:r>
      <w:r>
        <w:br/>
      </w:r>
      <w:r>
        <w:rPr>
          <w:rStyle w:val="NormalTok"/>
        </w:rPr>
        <w:t xml:space="preserve">    beta,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frame.values,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resid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</w:t>
      </w:r>
      <w:r>
        <w:br/>
      </w:r>
      <w:r>
        <w:rPr>
          <w:rStyle w:val="NormalTok"/>
        </w:rPr>
        <w:t xml:space="preserve">        frame.values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beta,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frame.index, 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frame.columns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beta, resid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harmonic_strength(frame, 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beta, resid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seasonal_fit(frame, k)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harmonic_design(np.arange(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(frame)), k)</w:t>
      </w:r>
      <w:r>
        <w:br/>
      </w:r>
      <w:r>
        <w:rPr>
          <w:rStyle w:val="NormalTok"/>
        </w:rPr>
        <w:t xml:space="preserve">    seasonal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x[:,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:]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:]</w:t>
      </w:r>
      <w:r>
        <w:br/>
      </w:r>
      <w:r>
        <w:rPr>
          <w:rStyle w:val="NormalTok"/>
        </w:rPr>
        <w:t xml:space="preserve">   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np.var(seasonal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resid.values,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pd.Series(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np.var(resid.values,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total,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frame.columns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Крос-кореляція з лагом і кореляційна відстань для кластеризації: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cross_correlation(x, y, max_lag):</w:t>
      </w:r>
      <w:r>
        <w:br/>
      </w:r>
      <w:r>
        <w:rPr>
          <w:rStyle w:val="NormalTok"/>
        </w:rPr>
        <w:t xml:space="preserve">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np.asarray(x, 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), np.asarray(y, 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  lags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max_lag, max_lag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lag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lags:</w:t>
      </w:r>
      <w:r>
        <w:br/>
      </w:r>
      <w:r>
        <w:rPr>
          <w:rStyle w:val="NormalTok"/>
        </w:rPr>
        <w:t xml:space="preserve">        ahead, behind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lag),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lag)</w:t>
      </w:r>
      <w:r>
        <w:br/>
      </w:r>
      <w:r>
        <w:rPr>
          <w:rStyle w:val="NormalTok"/>
        </w:rPr>
        <w:t xml:space="preserve">        r.append(</w:t>
      </w:r>
      <w:r>
        <w:br/>
      </w:r>
      <w:r>
        <w:rPr>
          <w:rStyle w:val="NormalTok"/>
        </w:rPr>
        <w:t xml:space="preserve">            np.corrcoef(x[behind :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ahead], y[ahead :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behind])[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lags, np.array(r)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correlation_linkage(frame):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frame.corr().values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np.sqrt(np.clip(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np.fill_diagonal(d,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linkage(squareform(d, checks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), method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"average"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Генерування курсу за режимами: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synth_rates(model, rng):</w:t>
      </w:r>
      <w:r>
        <w:br/>
      </w:r>
      <w:r>
        <w:rPr>
          <w:rStyle w:val="NormalTok"/>
        </w:rPr>
        <w:t xml:space="preserve">    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s_prev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seg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model:</w:t>
      </w:r>
      <w:r>
        <w:br/>
      </w:r>
      <w:r>
        <w:rPr>
          <w:rStyle w:val="NormalTok"/>
        </w:rPr>
        <w:t xml:space="preserve">    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seg[</w:t>
      </w:r>
      <w:r>
        <w:rPr>
          <w:rStyle w:val="StringTok"/>
        </w:rPr>
        <w:t xml:space="preserve">"length"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(mu_p, phi_p), (mu_s, phi_s)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seg[</w:t>
      </w:r>
      <w:r>
        <w:rPr>
          <w:rStyle w:val="StringTok"/>
        </w:rPr>
        <w:t xml:space="preserve">"premium"</w:t>
      </w:r>
      <w:r>
        <w:rPr>
          <w:rStyle w:val="NormalTok"/>
        </w:rPr>
        <w:t xml:space="preserve">], seg[</w:t>
      </w:r>
      <w:r>
        <w:rPr>
          <w:rStyle w:val="StringTok"/>
        </w:rPr>
        <w:t xml:space="preserve">"spread"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seg[</w:t>
      </w:r>
      <w:r>
        <w:rPr>
          <w:rStyle w:val="StringTok"/>
        </w:rPr>
        <w:t xml:space="preserve">"innovations"</w:t>
      </w:r>
      <w:r>
        <w:rPr>
          <w:rStyle w:val="NormalTok"/>
        </w:rPr>
        <w:t xml:space="preserve">][</w:t>
      </w:r>
      <w:r>
        <w:br/>
      </w:r>
      <w:r>
        <w:rPr>
          <w:rStyle w:val="NormalTok"/>
        </w:rPr>
        <w:t xml:space="preserve">            rng.integers(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(seg[</w:t>
      </w:r>
      <w:r>
        <w:rPr>
          <w:rStyle w:val="StringTok"/>
        </w:rPr>
        <w:t xml:space="preserve">"innovations"</w:t>
      </w:r>
      <w:r>
        <w:rPr>
          <w:rStyle w:val="NormalTok"/>
        </w:rPr>
        <w:t xml:space="preserve">]), n)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seg[</w:t>
      </w:r>
      <w:r>
        <w:rPr>
          <w:rStyle w:val="StringTok"/>
        </w:rPr>
        <w:t xml:space="preserve">"floating"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nbu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seg[</w:t>
      </w:r>
      <w:r>
        <w:rPr>
          <w:rStyle w:val="StringTok"/>
        </w:rPr>
        <w:t xml:space="preserve">"nbu"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np.r_[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np.cumsum(draws[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nbu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np.full(n, seg[</w:t>
      </w:r>
      <w:r>
        <w:rPr>
          <w:rStyle w:val="StringTok"/>
        </w:rPr>
        <w:t xml:space="preserve">"nbu"</w:t>
      </w:r>
      <w:r>
        <w:rPr>
          <w:rStyle w:val="NormalTok"/>
        </w:rPr>
        <w:t xml:space="preserve">].mean())</w:t>
      </w:r>
      <w:r>
        <w:br/>
      </w:r>
      <w:r>
        <w:rPr>
          <w:rStyle w:val="NormalTok"/>
        </w:rPr>
        <w:t xml:space="preserve">        p_prev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mu_p</w:t>
      </w:r>
      <w:r>
        <w:br/>
      </w:r>
      <w:r>
        <w:rPr>
          <w:rStyle w:val="NormalTok"/>
        </w:rPr>
        <w:t xml:space="preserve">        s_prev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mu_s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s_prev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s_prev</w:t>
      </w:r>
      <w:r>
        <w:br/>
      </w:r>
      <w:r>
        <w:rPr>
          <w:rStyle w:val="NormalTok"/>
        </w:rPr>
        <w:t xml:space="preserve">       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np.empty((n,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(n):</w:t>
      </w:r>
      <w:r>
        <w:br/>
      </w:r>
      <w:r>
        <w:rPr>
          <w:rStyle w:val="NormalTok"/>
        </w:rPr>
        <w:t xml:space="preserve">            p_prev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mu_p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phi_p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(p_prev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mu_p)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draws[i,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s_prev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(mu_s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phi_s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(s_prev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mu_s)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draws[i,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out[i]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nbu[i]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p_prev, nbu[i]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p_prev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s_prev, nbu[i]</w:t>
      </w:r>
      <w:r>
        <w:br/>
      </w:r>
      <w:r>
        <w:rPr>
          <w:rStyle w:val="NormalTok"/>
        </w:rPr>
        <w:t xml:space="preserve">        rows.append(out)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pd.DataFrame(np.vstack(rows), 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"buy"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"nbu"</w:t>
      </w:r>
      <w:r>
        <w:rPr>
          <w:rStyle w:val="NormalTok"/>
        </w:rPr>
        <w:t xml:space="preserve">])</w:t>
      </w:r>
    </w:p>
    <w:p>
      <w:pPr>
        <w:pStyle w:val="FirstParagraph"/>
      </w:pPr>
      <w:r>
        <w:t xml:space="preserve">Ідентифікація моделі погоди: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fit_climate(frame, 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HARMONICS, k_sigma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SIGMA_HARMONICS):</w:t>
      </w:r>
      <w:r>
        <w:br/>
      </w:r>
      <w:r>
        <w:rPr>
          <w:rStyle w:val="NormalTok"/>
        </w:rPr>
        <w:t xml:space="preserve">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(frame))</w:t>
      </w:r>
      <w:r>
        <w:br/>
      </w:r>
      <w:r>
        <w:rPr>
          <w:rStyle w:val="NormalTok"/>
        </w:rPr>
        <w:t xml:space="preserve">    x_mean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harmonic_design(t, k)</w:t>
      </w:r>
      <w:r>
        <w:br/>
      </w:r>
      <w:r>
        <w:rPr>
          <w:rStyle w:val="NormalTok"/>
        </w:rPr>
        <w:t xml:space="preserve">    x_sigma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harmonic_design(t, k_sigma, trend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beta,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np.linalg.lstsq(x_mean, frame.values,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resid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frame.values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x_mean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</w:t>
      </w:r>
      <w:r>
        <w:br/>
      </w:r>
      <w:r>
        <w:rPr>
          <w:rStyle w:val="NormalTok"/>
        </w:rPr>
        <w:t xml:space="preserve">    gamma,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np.linalg.lstsq(x_sigma, resid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resid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np.sqrt(x_sigma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gamma)</w:t>
      </w:r>
      <w:r>
        <w:br/>
      </w:r>
      <w:r>
        <w:rPr>
          <w:rStyle w:val="NormalTok"/>
        </w:rPr>
        <w:t xml:space="preserve">    pools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seasonal_pools(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(z))</w:t>
      </w:r>
      <w:r>
        <w:br/>
      </w:r>
      <w:r>
        <w:rPr>
          <w:rStyle w:val="NormalTok"/>
        </w:rPr>
        <w:t xml:space="preserve">    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normal_scores(z, pools)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"columns"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(frame.columns),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"index"</w:t>
      </w:r>
      <w:r>
        <w:rPr>
          <w:rStyle w:val="NormalTok"/>
        </w:rPr>
        <w:t xml:space="preserve">: frame.index,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beta,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"gamma"</w:t>
      </w:r>
      <w:r>
        <w:rPr>
          <w:rStyle w:val="NormalTok"/>
        </w:rPr>
        <w:t xml:space="preserve">: gamma,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"k"</w:t>
      </w:r>
      <w:r>
        <w:rPr>
          <w:rStyle w:val="NormalTok"/>
        </w:rPr>
        <w:t xml:space="preserve">: k,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"k_sigma"</w:t>
      </w:r>
      <w:r>
        <w:rPr>
          <w:rStyle w:val="NormalTok"/>
        </w:rPr>
        <w:t xml:space="preserve">: k_sigma,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"z"</w:t>
      </w:r>
      <w:r>
        <w:rPr>
          <w:rStyle w:val="NormalTok"/>
        </w:rPr>
        <w:t xml:space="preserve">: z,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"scores"</w:t>
      </w:r>
      <w:r>
        <w:rPr>
          <w:rStyle w:val="NormalTok"/>
        </w:rPr>
        <w:t xml:space="preserve">: scores,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"sorted_pools"</w:t>
      </w:r>
      <w:r>
        <w:rPr>
          <w:rStyle w:val="NormalTok"/>
        </w:rPr>
        <w:t xml:space="preserve">: [np.sort(z[pool],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pool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pools],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"var_z"</w:t>
      </w:r>
      <w:r>
        <w:rPr>
          <w:rStyle w:val="NormalTok"/>
        </w:rPr>
        <w:t xml:space="preserve">: fit_var(z),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"var_scores"</w:t>
      </w:r>
      <w:r>
        <w:rPr>
          <w:rStyle w:val="NormalTok"/>
        </w:rPr>
        <w:t xml:space="preserve">: fit_var(scores),</w:t>
      </w:r>
      <w:r>
        <w:br/>
      </w:r>
      <w:r>
        <w:rPr>
          <w:rStyle w:val="NormalTok"/>
        </w:rPr>
        <w:t xml:space="preserve">    }</w:t>
      </w:r>
    </w:p>
    <w:p>
      <w:pPr>
        <w:pStyle w:val="FirstParagraph"/>
      </w:pPr>
      <w:r>
        <w:t xml:space="preserve">Генерування VAR із трьома типами інновацій і копульне перетворення: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simulate_var(var, n, rng, innovations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"gauss"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coefs, residuals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var[</w:t>
      </w:r>
      <w:r>
        <w:rPr>
          <w:rStyle w:val="StringTok"/>
        </w:rPr>
        <w:t xml:space="preserve">"coefs"</w:t>
      </w:r>
      <w:r>
        <w:rPr>
          <w:rStyle w:val="NormalTok"/>
        </w:rPr>
        <w:t xml:space="preserve">], var[</w:t>
      </w:r>
      <w:r>
        <w:rPr>
          <w:rStyle w:val="StringTok"/>
        </w:rPr>
        <w:t xml:space="preserve">"residuals"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p, m,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coefs.shape</w:t>
      </w:r>
      <w:r>
        <w:br/>
      </w:r>
      <w:r>
        <w:rPr>
          <w:rStyle w:val="NormalTok"/>
        </w:rPr>
        <w:t xml:space="preserve">   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BURN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innovations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"gauss"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rng.multivariate_normal(np.zeros(m), var[</w:t>
      </w:r>
      <w:r>
        <w:rPr>
          <w:rStyle w:val="StringTok"/>
        </w:rPr>
        <w:t xml:space="preserve">"sigma_u"</w:t>
      </w:r>
      <w:r>
        <w:rPr>
          <w:rStyle w:val="NormalTok"/>
        </w:rPr>
        <w:t xml:space="preserve">], total)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pools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seasonal_pools(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(residuals), p)</w:t>
      </w:r>
      <w:r>
        <w:br/>
      </w:r>
      <w:r>
        <w:rPr>
          <w:rStyle w:val="NormalTok"/>
        </w:rPr>
        <w:t xml:space="preserve">        days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day_of_year(total,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BURN)</w:t>
      </w:r>
      <w:r>
        <w:br/>
      </w:r>
      <w:r>
        <w:rPr>
          <w:rStyle w:val="NormalTok"/>
        </w:rPr>
        <w:t xml:space="preserve">       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residuals[[rng.choice(pools[d])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days]]</w:t>
      </w:r>
      <w:r>
        <w:br/>
      </w:r>
      <w:r>
        <w:rPr>
          <w:rStyle w:val="NormalTok"/>
        </w:rPr>
        <w:t xml:space="preserve">    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np.zeros((total, m))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(p, total):</w:t>
      </w:r>
      <w:r>
        <w:br/>
      </w:r>
      <w:r>
        <w:rPr>
          <w:rStyle w:val="NormalTok"/>
        </w:rPr>
        <w:t xml:space="preserve">        z[t]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u[t]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(coefs[i]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z[t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(p))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z[BURN:]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seasonal_quantiles(scores, sorted_pools):</w:t>
      </w:r>
      <w:r>
        <w:br/>
      </w:r>
      <w:r>
        <w:rPr>
          <w:rStyle w:val="NormalTok"/>
        </w:rPr>
        <w:t xml:space="preserve">    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np.empty_like(scores)</w:t>
      </w:r>
      <w:r>
        <w:br/>
      </w:r>
      <w:r>
        <w:rPr>
          <w:rStyle w:val="NormalTok"/>
        </w:rPr>
        <w:t xml:space="preserve">    doy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day_of_year(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(scores))</w:t>
      </w:r>
      <w:r>
        <w:br/>
      </w:r>
      <w:r>
        <w:rPr>
          <w:rStyle w:val="NormalTok"/>
        </w:rPr>
        <w:t xml:space="preserve">    columns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np.arange(scores.shape[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day, ref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(sorted_pools):</w:t>
      </w:r>
      <w:r>
        <w:br/>
      </w:r>
      <w:r>
        <w:rPr>
          <w:rStyle w:val="NormalTok"/>
        </w:rPr>
        <w:t xml:space="preserve">        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np.flatnonzero(doy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day)</w:t>
      </w:r>
      <w:r>
        <w:br/>
      </w:r>
      <w:r>
        <w:rPr>
          <w:rStyle w:val="NormalTok"/>
        </w:rPr>
        <w:t xml:space="preserve">        position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np.clip(</w:t>
      </w:r>
      <w:r>
        <w:br/>
      </w:r>
      <w:r>
        <w:rPr>
          <w:rStyle w:val="NormalTok"/>
        </w:rPr>
        <w:t xml:space="preserve">            stats.norm.cdf(scores[rows])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(ref)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(ref)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np.floor(position).astype(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high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np.minimum(low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(ref)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frac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position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low</w:t>
      </w:r>
      <w:r>
        <w:br/>
      </w:r>
      <w:r>
        <w:rPr>
          <w:rStyle w:val="NormalTok"/>
        </w:rPr>
        <w:t xml:space="preserve">        z[rows]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ref[low, columns]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frac)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ref[high, columns]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frac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z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synth_climate(model, rng, method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"bootstrap"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(model[</w:t>
      </w:r>
      <w:r>
        <w:rPr>
          <w:rStyle w:val="StringTok"/>
        </w:rPr>
        <w:t xml:space="preserve">"index"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method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"copula"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simulate_var(model[</w:t>
      </w:r>
      <w:r>
        <w:rPr>
          <w:rStyle w:val="StringTok"/>
        </w:rPr>
        <w:t xml:space="preserve">"var_scores"</w:t>
      </w:r>
      <w:r>
        <w:rPr>
          <w:rStyle w:val="NormalTok"/>
        </w:rPr>
        <w:t xml:space="preserve">], n, rng, </w:t>
      </w:r>
      <w:r>
        <w:rPr>
          <w:rStyle w:val="StringTok"/>
        </w:rPr>
        <w:t xml:space="preserve">"bootstrap"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seasonal_quantiles(scores, model[</w:t>
      </w:r>
      <w:r>
        <w:rPr>
          <w:rStyle w:val="StringTok"/>
        </w:rPr>
        <w:t xml:space="preserve">"sorted_pools"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simulate_var(model[</w:t>
      </w:r>
      <w:r>
        <w:rPr>
          <w:rStyle w:val="StringTok"/>
        </w:rPr>
        <w:t xml:space="preserve">"var_z"</w:t>
      </w:r>
      <w:r>
        <w:rPr>
          <w:rStyle w:val="NormalTok"/>
        </w:rPr>
        <w:t xml:space="preserve">], n, rng, method)</w:t>
      </w:r>
      <w:r>
        <w:br/>
      </w:r>
      <w:r>
        <w:rPr>
          <w:rStyle w:val="NormalTok"/>
        </w:rPr>
        <w:t xml:space="preserve">    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mean_curve(model, n)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sigma_curve(model, n)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z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pd.DataFrame(</w:t>
      </w:r>
      <w:r>
        <w:br/>
      </w:r>
      <w:r>
        <w:rPr>
          <w:rStyle w:val="NormalTok"/>
        </w:rPr>
        <w:t xml:space="preserve">        values,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model[</w:t>
      </w:r>
      <w:r>
        <w:rPr>
          <w:rStyle w:val="StringTok"/>
        </w:rPr>
        <w:t xml:space="preserve">"index"</w:t>
      </w:r>
      <w:r>
        <w:rPr>
          <w:rStyle w:val="NormalTok"/>
        </w:rPr>
        <w:t xml:space="preserve">], 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model[</w:t>
      </w:r>
      <w:r>
        <w:rPr>
          <w:rStyle w:val="StringTok"/>
        </w:rPr>
        <w:t xml:space="preserve">"columns"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Перевірка адекватності методом Монте-Карло: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monte_carlo(metrics, real, generate, runs, rng):</w:t>
      </w:r>
      <w:r>
        <w:br/>
      </w:r>
      <w:r>
        <w:rPr>
          <w:rStyle w:val="NormalTok"/>
        </w:rPr>
        <w:t xml:space="preserve">    reference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metrics(real)</w:t>
      </w:r>
      <w:r>
        <w:br/>
      </w:r>
      <w:r>
        <w:rPr>
          <w:rStyle w:val="NormalTok"/>
        </w:rPr>
        <w:t xml:space="preserve">    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pd.DataFrame([metrics(generate(rng))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(runs)])</w:t>
      </w:r>
      <w:r>
        <w:br/>
      </w:r>
      <w:r>
        <w:rPr>
          <w:rStyle w:val="NormalTok"/>
        </w:rPr>
        <w:t xml:space="preserve">    low, high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np.percentile(samples.values, BAND,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report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"реальний"</w:t>
      </w:r>
      <w:r>
        <w:rPr>
          <w:rStyle w:val="NormalTok"/>
        </w:rPr>
        <w:t xml:space="preserve">: pd.Series(reference),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"модель m"</w:t>
      </w:r>
      <w:r>
        <w:rPr>
          <w:rStyle w:val="NormalTok"/>
        </w:rPr>
        <w:t xml:space="preserve">: samples.mean(),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"P5"</w:t>
      </w:r>
      <w:r>
        <w:rPr>
          <w:rStyle w:val="NormalTok"/>
        </w:rPr>
        <w:t xml:space="preserve">: low,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"P95"</w:t>
      </w:r>
      <w:r>
        <w:rPr>
          <w:rStyle w:val="NormalTok"/>
        </w:rPr>
        <w:t xml:space="preserve">: high,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real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report[</w:t>
      </w:r>
      <w:r>
        <w:rPr>
          <w:rStyle w:val="StringTok"/>
        </w:rPr>
        <w:t xml:space="preserve">"реальний"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report[</w:t>
      </w:r>
      <w:r>
        <w:rPr>
          <w:rStyle w:val="StringTok"/>
        </w:rPr>
        <w:t xml:space="preserve">"в межах"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(real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report[</w:t>
      </w:r>
      <w:r>
        <w:rPr>
          <w:rStyle w:val="StringTok"/>
        </w:rPr>
        <w:t xml:space="preserve">"P5"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(real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report[</w:t>
      </w:r>
      <w:r>
        <w:rPr>
          <w:rStyle w:val="StringTok"/>
        </w:rPr>
        <w:t xml:space="preserve">"P95"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report, samples</w:t>
      </w:r>
    </w:p>
    <w:bookmarkEnd w:id="99"/>
    <w:bookmarkStart w:id="100" w:name="аналіз-результатів-та-верифікація"/>
    <w:p>
      <w:pPr>
        <w:pStyle w:val="Heading2"/>
      </w:pPr>
      <w:r>
        <w:t xml:space="preserve">3.6. Аналіз результатів та верифікація</w:t>
      </w:r>
    </w:p>
    <w:p>
      <w:pPr>
        <w:pStyle w:val="FirstParagraph"/>
      </w:pPr>
      <w:r>
        <w:t xml:space="preserve">Методи перевірено на рядах, властивості яких відомі заздалегідь.</w:t>
      </w:r>
    </w:p>
    <w:p>
      <w:pPr>
        <w:pStyle w:val="TableCaptionOwn"/>
        <w:keepNext/>
      </w:pPr>
      <w:r>
        <w:t xml:space="preserve">Таблиця 16 – Верифікація методів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  <w:jc w:val="center"/>
            </w:pPr>
            <w:r>
              <w:t xml:space="preserve">Перевірка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Задано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Отримано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m:oMath>
              <m:r>
                <m:t>H</m:t>
              </m:r>
            </m:oMath>
            <w:r>
              <w:t xml:space="preserve"> </w:t>
            </w:r>
            <w:r>
              <w:t xml:space="preserve">білого шуму,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347</m:t>
              </m:r>
            </m:oMath>
            <w:r>
              <w:t xml:space="preserve">, 100 реалізацій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класичний 0,566 ± 0,049; скоригований 0,472 ± 0,051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m:oMath>
              <m:r>
                <m:t>H</m:t>
              </m:r>
            </m:oMath>
            <w:r>
              <w:t xml:space="preserve"> </w:t>
            </w:r>
            <w:r>
              <w:t xml:space="preserve">білого шуму,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3653</m:t>
              </m:r>
            </m:oMath>
            <w:r>
              <w:t xml:space="preserve">, 100 реалізацій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класичний 0,544 ± 0,026; скоригований 0,486 ± 0,022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m:oMathPara>
              <m:oMathParaPr>
                <m:jc m:val="left"/>
              </m:oMathParaPr>
              <m:oMath>
                <m:r>
                  <m:t>H</m:t>
                </m:r>
              </m:oMath>
              <w:r>
                <w:t xml:space="preserve"> </w:t>
              </w:r>
              <w:r>
                <w:t xml:space="preserve">процесу AR(1),</w:t>
              </w:r>
              <w:r>
                <w:t xml:space="preserve"> </w:t>
              </w:r>
              <m:oMath>
                <m:r>
                  <m:t>φ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8</m:t>
                </m:r>
              </m:oMath>
              <w:r>
                <w:t xml:space="preserve">,</w:t>
              </w:r>
              <w:r>
                <w:t xml:space="preserve"> </w:t>
              </w:r>
              <m:oMath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3653</m:t>
                </m:r>
              </m:oMath>
            </m:oMathPara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коротка пам’ять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0,651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Лаг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t>ε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+2;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894</m:t>
              </m:r>
            </m:oMath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+2;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900</m:t>
              </m:r>
            </m:oMath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Тренд гармонічної регресії, за 10 років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1,096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1,309 (СКВ оцінки 0,172)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Амплітуда гармонічної регресії, °C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12,0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11,884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СКВ залишку, °C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3,0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2,982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Похибка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z</m:t>
              </m:r>
            </m:oMath>
            <w:r>
              <w:t xml:space="preserve"> </w:t>
            </w:r>
            <w:r>
              <w:t xml:space="preserve">копули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m:oMathPara>
              <m:oMathParaPr>
                <m:jc m:val="left"/>
              </m:oMathParaPr>
              <m:oMath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8</m:t>
                </m:r>
                <m:r>
                  <m:rPr>
                    <m:sty m:val="p"/>
                  </m:rPr>
                  <m:t>⋅</m:t>
                </m:r>
                <m:sSup>
                  <m:e>
                    <m:r>
                      <m:t>10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14</m:t>
                    </m:r>
                  </m:sup>
                </m:sSup>
              </m:oMath>
            </m:oMathPara>
          </w:p>
        </w:tc>
      </w:tr>
    </w:tbl>
    <w:p>
      <w:pPr>
        <w:pStyle w:val="BodyText"/>
        <w:spacing w:before="420"/>
      </w:pPr>
      <w:r>
        <w:t xml:space="preserve">Верифікація показника Херста. Класична R/S-оцінка на білому шумі зміщена вгору на</w:t>
      </w:r>
      <w:r>
        <w:t xml:space="preserve"> </w:t>
      </w:r>
      <w:r>
        <w:t xml:space="preserve">0,04–0,07, і зміщення більше на коротких рядах. Скоригована оцінка відрізняється від 0,5</w:t>
      </w:r>
      <w:r>
        <w:t xml:space="preserve"> </w:t>
      </w:r>
      <w:r>
        <w:t xml:space="preserve">менше, ніж на одне СКВ. Для групи 1 це принципово: класична оцінка 0,60 для приростів</w:t>
      </w:r>
      <w:r>
        <w:t xml:space="preserve"> </w:t>
      </w:r>
      <w:r>
        <w:t xml:space="preserve">курсу хибно вказувала б на персистентність, скоригована 0,51 її не підтверджує.</w:t>
      </w:r>
      <w:r>
        <w:t xml:space="preserve"> </w:t>
      </w:r>
      <w:r>
        <w:t xml:space="preserve">Процес AR(1) без довгої пам’яті дає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651</m:t>
        </m:r>
      </m:oMath>
      <w:r>
        <w:t xml:space="preserve">, бо на скінченних вікнах коротка</w:t>
      </w:r>
      <w:r>
        <w:t xml:space="preserve"> </w:t>
      </w:r>
      <w:r>
        <w:t xml:space="preserve">пам’ять теж підвищує R/S. Тому значення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67</m:t>
        </m:r>
      </m:oMath>
      <w:r>
        <w:t xml:space="preserve"> </w:t>
      </w:r>
      <w:r>
        <w:t xml:space="preserve">для аномалій погоди</w:t>
      </w:r>
      <w:r>
        <w:t xml:space="preserve"> </w:t>
      </w:r>
      <w:r>
        <w:t xml:space="preserve">інтерпретується порівнянням з моделлю VAR(2) з тією самою ACF(1), яка дає 0,62.</w:t>
      </w:r>
      <w:r>
        <w:t xml:space="preserve"> </w:t>
      </w:r>
      <w:r>
        <w:t xml:space="preserve">Різниця і є ознакою довшої пам’яті.</w:t>
      </w:r>
    </w:p>
    <w:p>
      <w:pPr>
        <w:pStyle w:val="BodyText"/>
      </w:pPr>
      <w:r>
        <w:t xml:space="preserve">Верифікація крос-кореляції. Зсув на два відліки відновлено точно, а значення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збігається з теоретичним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5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894</m:t>
        </m:r>
      </m:oMath>
      <w:r>
        <w:t xml:space="preserve"> </w:t>
      </w:r>
      <w:r>
        <w:t xml:space="preserve">з точністю до вибіркової</w:t>
      </w:r>
      <w:r>
        <w:t xml:space="preserve"> </w:t>
      </w:r>
      <w:r>
        <w:t xml:space="preserve">похибки. Знак лагу відповідає означенню п. 3.1.4, тому висновок про випередження</w:t>
      </w:r>
      <w:r>
        <w:t xml:space="preserve"> </w:t>
      </w:r>
      <w:r>
        <w:t xml:space="preserve">Харкова Львовом має правильний напрям.</w:t>
      </w:r>
    </w:p>
    <w:p>
      <w:pPr>
        <w:pStyle w:val="BodyText"/>
      </w:pPr>
      <w:r>
        <w:t xml:space="preserve">Верифікація гармонічної регресії. Амплітуда і СКВ залишку відновлені з похибкою</w:t>
      </w:r>
      <w:r>
        <w:t xml:space="preserve"> </w:t>
      </w:r>
      <w:r>
        <w:t xml:space="preserve">до 1 %, оцінка тренду відхиляється від заданої на 1,2 СКВ. Це звичайна вибіркова</w:t>
      </w:r>
      <w:r>
        <w:t xml:space="preserve"> </w:t>
      </w:r>
      <w:r>
        <w:t xml:space="preserve">похибка тренду за 10 років при незалежному шумі 3 °C. Реальні аномалії автокорельовані,</w:t>
      </w:r>
      <w:r>
        <w:t xml:space="preserve"> </w:t>
      </w:r>
      <w:r>
        <w:t xml:space="preserve">тому похибка тренду на них у кілька разів більша: у модельних реалізаціях 90 % інтервал</w:t>
      </w:r>
      <w:r>
        <w:t xml:space="preserve"> </w:t>
      </w:r>
      <w:r>
        <w:t xml:space="preserve">тренду Києва – від 0,0 до 1,84 °C за 10 років. Тренд окремого міста є наближеною</w:t>
      </w:r>
      <w:r>
        <w:t xml:space="preserve"> </w:t>
      </w:r>
      <w:r>
        <w:t xml:space="preserve">оцінкою. Надійніші висновки – додатний тренд у всіх 12 містах і його систематичне</w:t>
      </w:r>
      <w:r>
        <w:t xml:space="preserve"> </w:t>
      </w:r>
      <w:r>
        <w:t xml:space="preserve">зростання з довготою.</w:t>
      </w:r>
    </w:p>
    <w:p>
      <w:pPr>
        <w:pStyle w:val="BodyText"/>
      </w:pPr>
      <w:r>
        <w:t xml:space="preserve">Верифікація копули. Пряме і зворотне перетворення разом відтворюють вихідні значення</w:t>
      </w:r>
      <w:r>
        <w:t xml:space="preserve"> </w:t>
      </w:r>
      <w:r>
        <w:t xml:space="preserve">з машинною точністю, а нормальні ранги мають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і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997</m:t>
        </m:r>
      </m:oMath>
      <w:r>
        <w:t xml:space="preserve">. Ця перевірка</w:t>
      </w:r>
      <w:r>
        <w:t xml:space="preserve"> </w:t>
      </w:r>
      <w:r>
        <w:t xml:space="preserve">виявила помилку в першій версії зворотного перетворення: ранг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відповідав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/</m:t>
        </m:r>
        <m:r>
          <m:t>L</m:t>
        </m:r>
      </m:oMath>
      <w:r>
        <w:t xml:space="preserve">, а позиція у вибірці обчислювалась як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 Через це крайні</w:t>
      </w:r>
      <w:r>
        <w:t xml:space="preserve"> </w:t>
      </w:r>
      <w:r>
        <w:t xml:space="preserve">значення зсувались до центру на пів рангу. Після виправлення позиція береться як</w:t>
      </w:r>
      <w:r>
        <w:t xml:space="preserve"> </w:t>
      </w:r>
      <m:oMath>
        <m:r>
          <m:t>u</m:t>
        </m:r>
        <m:r>
          <m:t>L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BodyText"/>
      </w:pPr>
      <w:r>
        <w:t xml:space="preserve">Внутрішня перевірка моделей. Оцінювання моделі і генерування узгоджені між собою:</w:t>
      </w:r>
      <w:r>
        <w:t xml:space="preserve"> </w:t>
      </w:r>
      <w:r>
        <w:t xml:space="preserve">середнє, СКВ, тренд і амплітуду модель погоди відтворює в 12 містах з 12 при всіх</w:t>
      </w:r>
      <w:r>
        <w:t xml:space="preserve"> </w:t>
      </w:r>
      <w:r>
        <w:t xml:space="preserve">трьох генераторах. Модель курсу відтворює рівень, розкид і p-значення ADF. Тобто</w:t>
      </w:r>
      <w:r>
        <w:t xml:space="preserve"> </w:t>
      </w:r>
      <w:r>
        <w:t xml:space="preserve">детермінована частина і нестаціонарність перенесені в синтез правильно, а розбіжності</w:t>
      </w:r>
      <w:r>
        <w:t xml:space="preserve"> </w:t>
      </w:r>
      <w:r>
        <w:t xml:space="preserve">стосуються лише стохастичної частини.</w:t>
      </w:r>
    </w:p>
    <w:p>
      <w:pPr>
        <w:pStyle w:val="BodyText"/>
      </w:pPr>
      <w:r>
        <w:t xml:space="preserve">Обмеження моделей.</w:t>
      </w:r>
    </w:p>
    <w:p>
      <w:pPr>
        <w:pStyle w:val="Compact"/>
        <w:numPr>
          <w:ilvl w:val="0"/>
          <w:numId w:val="1005"/>
        </w:numPr>
      </w:pPr>
      <w:r>
        <w:t xml:space="preserve">Модель курсу не відтворює одиничні події, яких у даних немає повторень. Стрибок</w:t>
      </w:r>
      <w:r>
        <w:t xml:space="preserve"> </w:t>
      </w:r>
      <w:r>
        <w:t xml:space="preserve">24.05 визначає ексцес приростів (183 проти 68 у моделі) і більшу частину їхньої</w:t>
      </w:r>
      <w:r>
        <w:t xml:space="preserve"> </w:t>
      </w:r>
      <w:r>
        <w:t xml:space="preserve">дисперсії. Для таких подій потрібна окрема компонента стрибків, але оцінити її</w:t>
      </w:r>
      <w:r>
        <w:t xml:space="preserve"> </w:t>
      </w:r>
      <w:r>
        <w:t xml:space="preserve">параметри за одним випадком неможливо.</w:t>
      </w:r>
    </w:p>
    <w:p>
      <w:pPr>
        <w:pStyle w:val="Compact"/>
        <w:numPr>
          <w:ilvl w:val="0"/>
          <w:numId w:val="1005"/>
        </w:numPr>
      </w:pPr>
      <w:r>
        <w:t xml:space="preserve">Модель погоди має коротку пам’ять: ACF(7) і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занижені в усіх містах. Повільна</w:t>
      </w:r>
      <w:r>
        <w:t xml:space="preserve"> </w:t>
      </w:r>
      <w:r>
        <w:t xml:space="preserve">складова аномалій (теплі й холодні місяці) спільна для всіх міст. Її можна описати</w:t>
      </w:r>
      <w:r>
        <w:t xml:space="preserve"> </w:t>
      </w:r>
      <w:r>
        <w:t xml:space="preserve">другим, місячним рівнем моделі, але в експерименті з ним погіршилось відтворення</w:t>
      </w:r>
      <w:r>
        <w:t xml:space="preserve"> </w:t>
      </w:r>
      <w:r>
        <w:t xml:space="preserve">просторових кореляцій, тому в остаточну модель його не включено.</w:t>
      </w:r>
    </w:p>
    <w:p>
      <w:pPr>
        <w:pStyle w:val="Compact"/>
        <w:numPr>
          <w:ilvl w:val="0"/>
          <w:numId w:val="1005"/>
        </w:numPr>
      </w:pPr>
      <w:r>
        <w:t xml:space="preserve">Сезонний бутстреп і копула відтворюють різні аспекти: кореляційну структуру</w:t>
      </w:r>
      <w:r>
        <w:t xml:space="preserve"> </w:t>
      </w:r>
      <w:r>
        <w:t xml:space="preserve">і форму розподілу відповідно. Поєднати їх може копула з хвостовою залежністю,</w:t>
      </w:r>
      <w:r>
        <w:t xml:space="preserve"> </w:t>
      </w:r>
      <w:r>
        <w:t xml:space="preserve">наприклад t-копула.</w:t>
      </w:r>
    </w:p>
    <w:bookmarkEnd w:id="100"/>
    <w:bookmarkEnd w:id="101"/>
    <w:bookmarkStart w:id="102" w:name="iv.-висновки"/>
    <w:p>
      <w:pPr>
        <w:pStyle w:val="Heading1"/>
      </w:pPr>
      <w:r>
        <w:t xml:space="preserve">IV. Висновки</w:t>
      </w:r>
    </w:p>
    <w:p>
      <w:pPr>
        <w:pStyle w:val="FirstParagraph"/>
      </w:pPr>
      <w:r>
        <w:t xml:space="preserve">У роботі реалізовано поглиблений аналіз Time Series: декомпозицію, оцінку властивостей,</w:t>
      </w:r>
      <w:r>
        <w:t xml:space="preserve"> </w:t>
      </w:r>
      <w:r>
        <w:t xml:space="preserve">візуалізацію, кластеризацію і кореляційний аналіз. Також реалізовано синтез модельних</w:t>
      </w:r>
      <w:r>
        <w:t xml:space="preserve"> </w:t>
      </w:r>
      <w:r>
        <w:t xml:space="preserve">рядів з виявленими закономірностями і перевірку їх адекватності. Аналіз і синтез</w:t>
      </w:r>
      <w:r>
        <w:t xml:space="preserve"> </w:t>
      </w:r>
      <w:r>
        <w:t xml:space="preserve">оформлено окремими модулями, незалежними від набору даних. Виконано обидві групи вимог:</w:t>
      </w:r>
      <w:r>
        <w:t xml:space="preserve"> </w:t>
      </w:r>
      <w:r>
        <w:t xml:space="preserve">групу 1 – на курсі USD Ощадбанку, групу 2 – на погодному архіві 12 міст України</w:t>
      </w:r>
      <w:r>
        <w:t xml:space="preserve"> </w:t>
      </w:r>
      <w:r>
        <w:t xml:space="preserve">за 10 років.</w:t>
      </w:r>
    </w:p>
    <w:p>
      <w:pPr>
        <w:pStyle w:val="BodyText"/>
      </w:pPr>
      <w:r>
        <w:t xml:space="preserve">Для курсу валют виявлено, що ряд нестаціонарний, а його прирости стаціонарні, без пам’яті</w:t>
      </w:r>
      <w:r>
        <w:t xml:space="preserve"> </w:t>
      </w:r>
      <w:r>
        <w:t xml:space="preserve">(</w:t>
      </w:r>
      <m:oMath>
        <m:r>
          <m:t>H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51</m:t>
        </m:r>
      </m:oMath>
      <w:r>
        <w:t xml:space="preserve"> </w:t>
      </w:r>
      <w:r>
        <w:t xml:space="preserve">після поправки на зміщення) і з дуже важкими хвостами (ексцес 183).</w:t>
      </w:r>
      <w:r>
        <w:t xml:space="preserve"> </w:t>
      </w:r>
      <w:r>
        <w:t xml:space="preserve">Тижневої сезонності немає (</w:t>
      </w:r>
      <m:oMath>
        <m:sSub>
          <m:e>
            <m:r>
              <m:t>F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). Кластеризація ознак курсу відновила п’ять</w:t>
      </w:r>
      <w:r>
        <w:t xml:space="preserve"> </w:t>
      </w:r>
      <w:r>
        <w:t xml:space="preserve">режимів, що відповідають подіям 2022 року: фіксацію курсу НБУ, появу і зростання</w:t>
      </w:r>
      <w:r>
        <w:t xml:space="preserve"> </w:t>
      </w:r>
      <w:r>
        <w:t xml:space="preserve">ринкової премії, шок кінця травня і девальвацію. Прирости ринкового курсу з курсом НБУ</w:t>
      </w:r>
      <w:r>
        <w:t xml:space="preserve"> </w:t>
      </w:r>
      <w:r>
        <w:t xml:space="preserve">не корелюють (0,021), хоча рівні корелюють на 0,88 через спільний тренд. Режимна модель</w:t>
      </w:r>
      <w:r>
        <w:t xml:space="preserve"> </w:t>
      </w:r>
      <w:r>
        <w:t xml:space="preserve">з AR(1) і бутстрепом інновацій відтворює 9 показників з 13.</w:t>
      </w:r>
    </w:p>
    <w:p>
      <w:pPr>
        <w:pStyle w:val="BodyText"/>
      </w:pPr>
      <w:r>
        <w:t xml:space="preserve">Для погоди виявлено просторові закономірності: річна амплітуда температури зростає</w:t>
      </w:r>
      <w:r>
        <w:t xml:space="preserve"> </w:t>
      </w:r>
      <w:r>
        <w:t xml:space="preserve">із заходу на схід (кореляція з довготою 0,97). Потепління додатне в усіх містах</w:t>
      </w:r>
      <w:r>
        <w:t xml:space="preserve"> </w:t>
      </w:r>
      <w:r>
        <w:t xml:space="preserve">і більше на сході й півдні (1,4–1,7 °C за 10 років), ніж на заході (0,6–0,9 °C). Аномалії температури мають</w:t>
      </w:r>
      <w:r>
        <w:t xml:space="preserve"> </w:t>
      </w:r>
      <w:r>
        <w:t xml:space="preserve">від’ємну асиметрію, що посилюється взимку, коротку пам’ять синоптичного масштабу</w:t>
      </w:r>
      <w:r>
        <w:t xml:space="preserve"> </w:t>
      </w:r>
      <w:r>
        <w:t xml:space="preserve">і радіус кореляції 1435 км. Крос-кореляція показала західне перенесення: погода</w:t>
      </w:r>
      <w:r>
        <w:t xml:space="preserve"> </w:t>
      </w:r>
      <w:r>
        <w:t xml:space="preserve">у Львові випереджає Харків на добу. Частина сильних кореляцій між показниками</w:t>
      </w:r>
      <w:r>
        <w:t xml:space="preserve"> </w:t>
      </w:r>
      <w:r>
        <w:t xml:space="preserve">виявилась наслідком сезонності, що підтверджує потребу аналізувати аномалії, а не</w:t>
      </w:r>
      <w:r>
        <w:t xml:space="preserve"> </w:t>
      </w:r>
      <w:r>
        <w:t xml:space="preserve">сирі ряди. Кластеризація за кліматом і за синхронністю коливань дала однакові чотири</w:t>
      </w:r>
      <w:r>
        <w:t xml:space="preserve"> </w:t>
      </w:r>
      <w:r>
        <w:t xml:space="preserve">кліматичні зони (ARI = 1).</w:t>
      </w:r>
    </w:p>
    <w:p>
      <w:pPr>
        <w:pStyle w:val="BodyText"/>
      </w:pPr>
      <w:r>
        <w:t xml:space="preserve">Модель погоди з гармонічною сезонністю, сезонною дисперсією і VAR(2) відтворює річний</w:t>
      </w:r>
      <w:r>
        <w:t xml:space="preserve"> </w:t>
      </w:r>
      <w:r>
        <w:t xml:space="preserve">цикл, тренд, кореляцію між містами, перенесення і кліматичні зони. Порівняння трьох</w:t>
      </w:r>
      <w:r>
        <w:t xml:space="preserve"> </w:t>
      </w:r>
      <w:r>
        <w:t xml:space="preserve">генераторів інновацій показало компроміс. Сезонний бутстреп зберігає кореляційну</w:t>
      </w:r>
      <w:r>
        <w:t xml:space="preserve"> </w:t>
      </w:r>
      <w:r>
        <w:t xml:space="preserve">структуру (87 показників з 135), копула – форму розподілу (98 з 135) ціною занижених</w:t>
      </w:r>
      <w:r>
        <w:t xml:space="preserve"> </w:t>
      </w:r>
      <w:r>
        <w:t xml:space="preserve">кореляцій. Причина – хвостова залежність: сильні морози в різних містах збігаються</w:t>
      </w:r>
      <w:r>
        <w:t xml:space="preserve"> </w:t>
      </w:r>
      <w:r>
        <w:t xml:space="preserve">частіше, ніж у гаусовій моделі.</w:t>
      </w:r>
    </w:p>
    <w:p>
      <w:pPr>
        <w:pStyle w:val="BodyText"/>
      </w:pPr>
      <w:r>
        <w:t xml:space="preserve">Поправка Аніса–Ллойда до показника Херста зменшує зміщення на білому шумі з 0,04–0,07</w:t>
      </w:r>
      <w:r>
        <w:t xml:space="preserve"> </w:t>
      </w:r>
      <w:r>
        <w:t xml:space="preserve">до рівня, меншого за СКВ оцінки. Без неї висновок про пам’ять приростів курсу був би</w:t>
      </w:r>
      <w:r>
        <w:t xml:space="preserve"> </w:t>
      </w:r>
      <w:r>
        <w:t xml:space="preserve">хибним. Напрям подальшої роботи – копула з хвостовою залежністю та дворівнева модель</w:t>
      </w:r>
      <w:r>
        <w:t xml:space="preserve"> </w:t>
      </w:r>
      <w:r>
        <w:t xml:space="preserve">з повільною місячною складовою.</w:t>
      </w:r>
    </w:p>
    <w:bookmarkEnd w:id="102"/>
    <w:bookmarkStart w:id="103" w:name="перелік-джерел"/>
    <w:p>
      <w:pPr>
        <w:pStyle w:val="Heading1"/>
      </w:pPr>
      <w:r>
        <w:t xml:space="preserve">Перелік джерел</w:t>
      </w:r>
    </w:p>
    <w:p>
      <w:pPr>
        <w:pStyle w:val="Compact"/>
        <w:numPr>
          <w:ilvl w:val="0"/>
          <w:numId w:val="1006"/>
        </w:numPr>
        <w:jc w:val="left"/>
      </w:pPr>
      <w:r>
        <w:t xml:space="preserve">Open-Meteo. Historical Weather API. URL: https://open-meteo.com/en/docs/historical-weather-api</w:t>
      </w:r>
    </w:p>
    <w:p>
      <w:pPr>
        <w:pStyle w:val="Compact"/>
        <w:numPr>
          <w:ilvl w:val="0"/>
          <w:numId w:val="1006"/>
        </w:numPr>
      </w:pPr>
      <w:r>
        <w:t xml:space="preserve">Cleveland R. B., Cleveland W. S., McRae J. E., Terpenning I. STL: A Seasonal-Trend</w:t>
      </w:r>
      <w:r>
        <w:t xml:space="preserve"> </w:t>
      </w:r>
      <w:r>
        <w:t xml:space="preserve">Decomposition Procedure Based on Loess. Journal of Official Statistics. 1990. Vol. 6,</w:t>
      </w:r>
      <w:r>
        <w:t xml:space="preserve"> </w:t>
      </w:r>
      <w:r>
        <w:t xml:space="preserve">No. 1. P. 3–73.</w:t>
      </w:r>
    </w:p>
    <w:p>
      <w:pPr>
        <w:pStyle w:val="Compact"/>
        <w:numPr>
          <w:ilvl w:val="0"/>
          <w:numId w:val="1006"/>
        </w:numPr>
      </w:pPr>
      <w:r>
        <w:t xml:space="preserve">Peters E. E. Fractal Market Analysis: Applying Chaos Theory to Investment and</w:t>
      </w:r>
      <w:r>
        <w:t xml:space="preserve"> </w:t>
      </w:r>
      <w:r>
        <w:t xml:space="preserve">Economics. New York: Wiley, 1994. 315 p.</w:t>
      </w:r>
    </w:p>
    <w:bookmarkEnd w:id="103"/>
    <w:sectPr>
      <w:pgSz w:h="16838" w:w="11906"/>
      <w:pgMar w:bottom="1134" w:footer="708" w:gutter="0" w:header="708" w:left="1418" w:right="1134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suff w:val="space"/>
      <w:lvlText w:val=" "/>
      <w:lvlJc w:val="left"/>
      <w:pPr>
        <w:ind w:left="0" w:firstLine="709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suff w:val="space"/>
      <w:lvlText w:val="%1."/>
      <w:lvlJc w:val="left"/>
      <w:pPr>
        <w:ind w:left="0" w:firstLine="709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suff w:val="space"/>
      <w:lvlText w:val=""/>
      <w:lvlJc w:val="left"/>
      <w:pPr>
        <w:ind w:left="0" w:firstLine="709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8"/>
        <w:szCs w:val="28"/>
        <w:lang w:val="uk-UA"/>
      </w:rPr>
    </w:rPrDefault>
    <w:pPrDefault>
      <w:pPr>
        <w:spacing w:after="0" w:before="0" w:line="36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ind w:firstLine="709"/>
      <w:jc w:val="both"/>
    </w:pPr>
    <w:rPr>
      <w:rFonts w:ascii="Times New Roman" w:cs="Times New Roman" w:eastAsia="Times New Roman" w:hAnsi="Times New Roman"/>
    </w:rPr>
  </w:style>
  <w:style w:styleId="BodyText" w:type="paragraph">
    <w:name w:val="Body Text"/>
    <w:basedOn w:val="Normal"/>
    <w:link w:val="BodyTextChar"/>
    <w:qFormat/>
    <w:pPr>
      <w:ind w:firstLine="709"/>
      <w:jc w:val="both"/>
    </w:pPr>
  </w:style>
  <w:style w:customStyle="1" w:styleId="FirstParagraph" w:type="paragraph">
    <w:name w:val="First Paragraph"/>
    <w:basedOn w:val="BodyText"/>
    <w:next w:val="BodyText"/>
    <w:qFormat/>
    <w:pPr>
      <w:ind w:firstLine="709"/>
      <w:jc w:val="both"/>
    </w:pPr>
  </w:style>
  <w:style w:customStyle="1" w:styleId="Compact" w:type="paragraph">
    <w:name w:val="Compact"/>
    <w:basedOn w:val="BodyText"/>
    <w:qFormat/>
    <w:pPr>
      <w:ind w:firstLine="0" w:left="0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20" w:before="240" w:line="360" w:lineRule="auto"/>
      <w:ind w:firstLine="0" w:left="0"/>
      <w:jc w:val="center"/>
    </w:pPr>
    <w:rPr>
      <w:b/>
      <w:caps/>
      <w:sz w:val="28"/>
      <w:szCs w:val="28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240" w:line="360" w:lineRule="auto"/>
      <w:ind w:firstLine="0" w:left="0"/>
    </w:pPr>
    <w:rPr>
      <w:b/>
      <w:sz w:val="28"/>
      <w:szCs w:val="28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60" w:before="120" w:line="360" w:lineRule="auto"/>
      <w:ind w:firstLine="0" w:left="0"/>
    </w:pPr>
    <w:rPr>
      <w:b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60" w:before="120" w:line="360" w:lineRule="auto"/>
      <w:ind w:firstLine="0" w:left="0"/>
    </w:pPr>
    <w:rPr>
      <w:i/>
      <w:sz w:val="28"/>
      <w:szCs w:val="28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0" w:before="0" w:line="240" w:lineRule="auto"/>
      <w:ind w:firstLine="0" w:left="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0" w:before="0" w:line="240" w:lineRule="auto"/>
      <w:ind w:firstLine="0" w:left="0"/>
    </w:pPr>
    <w:rPr>
      <w:rFonts w:ascii="Times New Roman" w:cs="Times New Roman" w:eastAsia="Times New Roman" w:hAnsi="Times New Roman"/>
      <w:sz w:val="24"/>
      <w:szCs w:val="24"/>
    </w:rPr>
    <w:tblPr>
      <w:tblInd w:type="dxa" w:w="0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type="dxa" w:w="28"/>
        <w:left w:type="dxa" w:w="85"/>
        <w:bottom w:type="dxa" w:w="28"/>
        <w:right w:type="dxa" w:w="85"/>
      </w:tblCellMar>
    </w:tblPr>
    <w:tblStylePr w:type="firstRow">
      <w:pPr>
        <w:jc w:val="center"/>
      </w:pPr>
      <w:rPr>
        <w:b/>
      </w:r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240" w:before="0" w:line="240" w:lineRule="auto"/>
      <w:ind w:firstLine="0" w:left="0"/>
      <w:jc w:val="center"/>
    </w:pPr>
  </w:style>
  <w:style w:customStyle="1" w:styleId="TableCaption" w:type="paragraph">
    <w:name w:val="Table Caption"/>
    <w:basedOn w:val="Caption"/>
    <w:pPr>
      <w:spacing w:after="240" w:before="0" w:line="240" w:lineRule="auto"/>
      <w:ind w:firstLine="0" w:left="0"/>
      <w:jc w:val="center"/>
    </w:pPr>
  </w:style>
  <w:style w:customStyle="1" w:styleId="ImageCaption" w:type="paragraph">
    <w:name w:val="Image Caption"/>
    <w:basedOn w:val="Caption"/>
    <w:pPr>
      <w:spacing w:after="240" w:before="0" w:line="240" w:lineRule="auto"/>
      <w:ind w:firstLine="0" w:left="0"/>
      <w:jc w:val="center"/>
    </w:pPr>
  </w:style>
  <w:style w:customStyle="1" w:styleId="Figure" w:type="paragraph">
    <w:name w:val="Figure"/>
    <w:basedOn w:val="Normal"/>
    <w:pPr>
      <w:keepNext/>
      <w:keepLines/>
      <w:spacing w:after="60" w:before="240" w:line="240" w:lineRule="auto"/>
      <w:ind w:firstLine="0" w:left="0"/>
      <w:jc w:val="center"/>
    </w:pPr>
  </w:style>
  <w:style w:customStyle="1" w:styleId="CaptionedFigure" w:type="paragraph">
    <w:name w:val="Captioned Figure"/>
    <w:basedOn w:val="Figure"/>
    <w:pPr>
      <w:keepNext/>
      <w:keepLines/>
      <w:spacing w:after="60" w:before="240" w:line="240" w:lineRule="auto"/>
      <w:ind w:firstLine="0" w:left="0"/>
      <w:jc w:val="center"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urier New" w:cs="Courier New" w:eastAsia="Courier New" w:hAnsi="Courier New"/>
      <w:sz w:val="20"/>
      <w:szCs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styleId="SourceCode" w:type="paragraph">
    <w:name w:val="Source Code"/>
    <w:basedOn w:val="Normal"/>
    <w:qFormat/>
    <w:pPr>
      <w:spacing w:after="0" w:before="0" w:line="240" w:lineRule="auto"/>
      <w:ind w:firstLine="0" w:left="0"/>
      <w:jc w:val="left"/>
    </w:pPr>
    <w:rPr>
      <w:rFonts w:ascii="Courier New" w:cs="Courier New" w:eastAsia="Courier New" w:hAnsi="Courier New"/>
      <w:sz w:val="20"/>
      <w:szCs w:val="20"/>
    </w:rPr>
  </w:style>
  <w:style w:styleId="TitlePage" w:type="paragraph">
    <w:name w:val="Титульний"/>
    <w:basedOn w:val="Normal"/>
    <w:qFormat/>
    <w:pPr>
      <w:spacing w:after="0" w:before="0" w:line="240" w:lineRule="auto"/>
      <w:ind w:firstLine="0" w:left="0"/>
      <w:jc w:val="center"/>
    </w:pPr>
  </w:style>
  <w:style w:styleId="TitlePageLeft" w:type="paragraph">
    <w:name w:val="Титульний лівий"/>
    <w:basedOn w:val="Normal"/>
    <w:qFormat/>
    <w:pPr>
      <w:spacing w:after="0" w:before="0" w:line="240" w:lineRule="auto"/>
      <w:ind w:firstLine="0" w:left="709"/>
      <w:jc w:val="left"/>
    </w:pPr>
  </w:style>
  <w:style w:styleId="FigureImage" w:type="paragraph">
    <w:name w:val="Рисунок"/>
    <w:basedOn w:val="Normal"/>
    <w:qFormat/>
    <w:pPr>
      <w:keepNext/>
      <w:keepLines/>
      <w:spacing w:after="60" w:before="240" w:line="240" w:lineRule="auto"/>
      <w:ind w:firstLine="0" w:left="0"/>
      <w:jc w:val="center"/>
    </w:pPr>
  </w:style>
  <w:style w:styleId="FigureCaption" w:type="paragraph">
    <w:name w:val="Підпис"/>
    <w:basedOn w:val="Normal"/>
    <w:qFormat/>
    <w:pPr>
      <w:spacing w:after="240" w:before="0" w:line="240" w:lineRule="auto"/>
      <w:ind w:firstLine="0" w:left="0"/>
      <w:jc w:val="center"/>
    </w:pPr>
  </w:style>
  <w:style w:styleId="TableCaptionOwn" w:type="paragraph">
    <w:name w:val="Підпис таблиці"/>
    <w:basedOn w:val="Normal"/>
    <w:qFormat/>
    <w:pPr>
      <w:keepNext/>
      <w:keepLines/>
      <w:spacing w:after="60" w:before="240" w:line="240" w:lineRule="auto"/>
      <w:ind w:firstLine="0" w:left="0"/>
      <w:jc w:val="left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9" Target="media/rId9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44" Target="media/rId44.png" /><Relationship Type="http://schemas.openxmlformats.org/officeDocument/2006/relationships/image" Id="rId40" Target="media/rId40.png" /><Relationship Type="http://schemas.openxmlformats.org/officeDocument/2006/relationships/image" Id="rId48" Target="media/rId48.png" /><Relationship Type="http://schemas.openxmlformats.org/officeDocument/2006/relationships/image" Id="rId51" Target="media/rId51.png" /><Relationship Type="http://schemas.openxmlformats.org/officeDocument/2006/relationships/image" Id="rId55" Target="media/rId55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5" Target="media/rId65.png" /><Relationship Type="http://schemas.openxmlformats.org/officeDocument/2006/relationships/image" Id="rId68" Target="media/rId68.png" /><Relationship Type="http://schemas.openxmlformats.org/officeDocument/2006/relationships/image" Id="rId72" Target="media/rId72.png" /><Relationship Type="http://schemas.openxmlformats.org/officeDocument/2006/relationships/image" Id="rId76" Target="media/rId76.png" /><Relationship Type="http://schemas.openxmlformats.org/officeDocument/2006/relationships/image" Id="rId79" Target="media/rId79.png" /><Relationship Type="http://schemas.openxmlformats.org/officeDocument/2006/relationships/image" Id="rId83" Target="media/rId83.png" /><Relationship Type="http://schemas.openxmlformats.org/officeDocument/2006/relationships/image" Id="rId87" Target="media/rId87.png" /><Relationship Type="http://schemas.openxmlformats.org/officeDocument/2006/relationships/image" Id="rId91" Target="media/rId91.png" /><Relationship Type="http://schemas.openxmlformats.org/officeDocument/2006/relationships/image" Id="rId94" Target="media/rId9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2026-10-18T16:01:35Z</dcterms:created>
  <dcterms:modified xsi:type="dcterms:W3CDTF">2026-10-18T16:01:35Z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