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9.png" ContentType="image/png"/>
  <Override PartName="/word/media/rId24.png" ContentType="image/png"/>
  <Override PartName="/word/media/rId27.png" ContentType="image/png"/>
  <Override PartName="/word/media/rId38.png" ContentType="image/png"/>
  <Override PartName="/word/media/rId31.png" ContentType="image/png"/>
  <Override PartName="/word/media/rId34.png" ContentType="image/png"/>
  <Override PartName="/word/media/rId41.png" ContentType="image/png"/>
  <Override PartName="/word/media/rId44.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Page"/>
      </w:pPr>
      <w:r>
        <w:drawing>
          <wp:inline>
            <wp:extent cx="5255999" cy="839095"/>
            <wp:effectExtent b="0" l="0" r="0" t="0"/>
            <wp:docPr descr="" title="" id="10" name="Picture"/>
            <a:graphic>
              <a:graphicData uri="http://schemas.openxmlformats.org/drawingml/2006/picture">
                <pic:pic>
                  <pic:nvPicPr>
                    <pic:cNvPr descr="assets/00_logo.png" id="11" name="Picture"/>
                    <pic:cNvPicPr>
                      <a:picLocks noChangeArrowheads="1" noChangeAspect="1"/>
                    </pic:cNvPicPr>
                  </pic:nvPicPr>
                  <pic:blipFill>
                    <a:blip r:embed="rId9"/>
                    <a:stretch>
                      <a:fillRect/>
                    </a:stretch>
                  </pic:blipFill>
                  <pic:spPr bwMode="auto">
                    <a:xfrm>
                      <a:off x="0" y="0"/>
                      <a:ext cx="5255999" cy="839095"/>
                    </a:xfrm>
                    <a:prstGeom prst="rect">
                      <a:avLst/>
                    </a:prstGeom>
                    <a:noFill/>
                    <a:ln w="9525">
                      <a:noFill/>
                      <a:headEnd/>
                      <a:tailEnd/>
                    </a:ln>
                  </pic:spPr>
                </pic:pic>
              </a:graphicData>
            </a:graphic>
          </wp:inline>
        </w:drawing>
      </w:r>
    </w:p>
    <w:p>
      <w:pPr>
        <w:pStyle w:val="TitlePage"/>
      </w:pPr>
      <w:r>
        <w:t xml:space="preserve">Міністерство освіти та науки України</w:t>
      </w:r>
    </w:p>
    <w:p>
      <w:pPr>
        <w:pStyle w:val="TitlePage"/>
      </w:pPr>
      <w:r>
        <w:t xml:space="preserve">Національний технічний університет України</w:t>
      </w:r>
    </w:p>
    <w:p>
      <w:pPr>
        <w:pStyle w:val="TitlePage"/>
      </w:pPr>
      <w:r>
        <w:t xml:space="preserve">«Київський політехнічний інститут імені Ігоря Сікорського»</w:t>
      </w:r>
    </w:p>
    <w:p>
      <w:pPr>
        <w:pStyle w:val="TitlePage"/>
      </w:pPr>
      <w:r>
        <w:t xml:space="preserve">Факультет інформатики та обчислювальної техніки</w:t>
      </w:r>
    </w:p>
    <w:p>
      <w:pPr>
        <w:pStyle w:val="TitlePage"/>
      </w:pPr>
      <w:r>
        <w:t xml:space="preserve">Кафедра обчислювальної техніки</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rPr>
          <w:b/>
          <w:bCs/>
        </w:rPr>
        <w:t xml:space="preserve">Звіт</w:t>
      </w:r>
    </w:p>
    <w:p>
      <w:pPr>
        <w:pStyle w:val="TitlePage"/>
      </w:pPr>
      <w:r>
        <w:t xml:space="preserve">з дисципліни «Аналіз та обробка часових рядів (Time Series)»</w:t>
      </w:r>
    </w:p>
    <w:p>
      <w:pPr>
        <w:pStyle w:val="TitlePage"/>
      </w:pPr>
      <w:r>
        <w:t xml:space="preserve">Лабораторна робота № 9</w:t>
      </w:r>
    </w:p>
    <w:p>
      <w:pPr>
        <w:pStyle w:val="TitlePage"/>
      </w:pPr>
      <w:r>
        <w:t xml:space="preserve">«Проектний практикум з прогнозування ієрархічних структур Time Series»</w:t>
      </w:r>
    </w:p>
    <w:p>
      <w:pPr>
        <w:pStyle w:val="TitlePage"/>
      </w:pPr>
      <w:r>
        <w:t xml:space="preserve">Рівень складності III, варіант 8</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Left"/>
      </w:pPr>
      <w:r>
        <w:rPr>
          <w:b/>
          <w:bCs/>
          <w:u w:val="single"/>
        </w:rPr>
        <w:t xml:space="preserve">Виконав:</w:t>
      </w:r>
    </w:p>
    <w:p>
      <w:pPr>
        <w:pStyle w:val="TitlePageLeft"/>
      </w:pPr>
      <w:r>
        <w:rPr>
          <w:i/>
          <w:iCs/>
        </w:rPr>
        <w:t xml:space="preserve">Студент IV курсу</w:t>
      </w:r>
    </w:p>
    <w:p>
      <w:pPr>
        <w:pStyle w:val="TitlePageLeft"/>
      </w:pPr>
      <w:r>
        <w:rPr>
          <w:i/>
          <w:iCs/>
        </w:rPr>
        <w:t xml:space="preserve">гр. ІП-33</w:t>
      </w:r>
    </w:p>
    <w:p>
      <w:pPr>
        <w:pStyle w:val="TitlePageLeft"/>
      </w:pPr>
      <w:r>
        <w:t xml:space="preserve">Соколов О. В.</w:t>
      </w:r>
    </w:p>
    <w:p>
      <w:pPr>
        <w:pStyle w:val="TitlePageLeft"/>
      </w:pPr>
      <w:r>
        <w:rPr>
          <w:b/>
          <w:bCs/>
          <w:u w:val="single"/>
        </w:rPr>
        <w:t xml:space="preserve">Прийняв:</w:t>
      </w:r>
    </w:p>
    <w:p>
      <w:pPr>
        <w:pStyle w:val="TitlePageLeft"/>
      </w:pPr>
      <w:r>
        <w:t xml:space="preserve">Писарчук О. О.</w:t>
      </w:r>
    </w:p>
    <w:p>
      <w:pPr>
        <w:pStyle w:val="TitlePageLeft"/>
      </w:pPr>
      <w:r>
        <w:t xml:space="preserve">«___» ____________ 2026 р.</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t xml:space="preserve"> </w:t>
      </w:r>
    </w:p>
    <w:p>
      <w:pPr>
        <w:pStyle w:val="TitlePage"/>
      </w:pPr>
      <w:r>
        <w:rPr>
          <w:b/>
          <w:bCs/>
        </w:rPr>
        <w:t xml:space="preserve">Київ – 2026</w:t>
      </w:r>
    </w:p>
    <w:p>
      <w:r>
        <w:br w:type="page"/>
      </w:r>
    </w:p>
    <w:bookmarkStart w:id="12" w:name="і.-мета"/>
    <w:p>
      <w:pPr>
        <w:pStyle w:val="Heading1"/>
      </w:pPr>
      <w:r>
        <w:t xml:space="preserve">І. Мета</w:t>
      </w:r>
    </w:p>
    <w:p>
      <w:pPr>
        <w:pStyle w:val="FirstParagraph"/>
      </w:pPr>
      <w:r>
        <w:t xml:space="preserve">Дослідити прикладні аспекти розробки, навчання та аналізу моделей ієрархічного</w:t>
      </w:r>
      <w:r>
        <w:t xml:space="preserve"> </w:t>
      </w:r>
      <w:r>
        <w:t xml:space="preserve">прогнозування на прикладі датасету з регіональним розподілом даних та ієрархічною</w:t>
      </w:r>
      <w:r>
        <w:t xml:space="preserve"> </w:t>
      </w:r>
      <w:r>
        <w:t xml:space="preserve">структурою.</w:t>
      </w:r>
    </w:p>
    <w:bookmarkEnd w:id="12"/>
    <w:bookmarkStart w:id="13" w:name="іі.-завдання"/>
    <w:p>
      <w:pPr>
        <w:pStyle w:val="Heading1"/>
      </w:pPr>
      <w:r>
        <w:t xml:space="preserve">ІІ. Завдання</w:t>
      </w:r>
    </w:p>
    <w:p>
      <w:pPr>
        <w:pStyle w:val="FirstParagraph"/>
      </w:pPr>
      <w:r>
        <w:t xml:space="preserve">Рівень III, варіант 8. В інтересах державних установ здійснити прогнозування</w:t>
      </w:r>
      <w:r>
        <w:t xml:space="preserve"> </w:t>
      </w:r>
      <w:r>
        <w:t xml:space="preserve">статистичних даних щодо населення методами bottom-up, top-down, middle-out і</w:t>
      </w:r>
      <w:r>
        <w:t xml:space="preserve"> </w:t>
      </w:r>
      <w:r>
        <w:t xml:space="preserve">reconciliation на датасеті 2_dataset_POPULATION_BIRTH.xlsx, порівняти результати</w:t>
      </w:r>
      <w:r>
        <w:t xml:space="preserve"> </w:t>
      </w:r>
      <w:r>
        <w:t xml:space="preserve">методів і зробити висновок про оптимальний метод для цього датасету.</w:t>
      </w:r>
    </w:p>
    <w:p>
      <w:pPr>
        <w:pStyle w:val="BodyText"/>
      </w:pPr>
      <w:r>
        <w:t xml:space="preserve">Необхідно реалізувати:</w:t>
      </w:r>
    </w:p>
    <w:p>
      <w:pPr>
        <w:pStyle w:val="Compact"/>
        <w:numPr>
          <w:ilvl w:val="0"/>
          <w:numId w:val="1001"/>
        </w:numPr>
      </w:pPr>
      <w:r>
        <w:t xml:space="preserve">Парсинг файлу датасету.</w:t>
      </w:r>
    </w:p>
    <w:p>
      <w:pPr>
        <w:pStyle w:val="Compact"/>
        <w:numPr>
          <w:ilvl w:val="0"/>
          <w:numId w:val="1001"/>
        </w:numPr>
      </w:pPr>
      <w:r>
        <w:t xml:space="preserve">Попередній аналіз даних та їх обробку.</w:t>
      </w:r>
    </w:p>
    <w:p>
      <w:pPr>
        <w:pStyle w:val="Compact"/>
        <w:numPr>
          <w:ilvl w:val="0"/>
          <w:numId w:val="1001"/>
        </w:numPr>
      </w:pPr>
      <w:r>
        <w:t xml:space="preserve">Модель прогнозування за ієрархією області → країна підходами bottom-up, top-down,</w:t>
      </w:r>
      <w:r>
        <w:t xml:space="preserve"> </w:t>
      </w:r>
      <w:r>
        <w:t xml:space="preserve">middle-out, reconciliation.</w:t>
      </w:r>
    </w:p>
    <w:p>
      <w:pPr>
        <w:pStyle w:val="Compact"/>
        <w:numPr>
          <w:ilvl w:val="0"/>
          <w:numId w:val="1001"/>
        </w:numPr>
      </w:pPr>
      <w:r>
        <w:t xml:space="preserve">Для middle-out використати дані з більше ніж двома рівнями ієрархії.</w:t>
      </w:r>
    </w:p>
    <w:p>
      <w:pPr>
        <w:pStyle w:val="Compact"/>
        <w:numPr>
          <w:ilvl w:val="0"/>
          <w:numId w:val="1001"/>
        </w:numPr>
      </w:pPr>
      <w:r>
        <w:t xml:space="preserve">Прогнозування динаміки народжуваності за регіонами та країною (таблиця, графік).</w:t>
      </w:r>
    </w:p>
    <w:p>
      <w:pPr>
        <w:pStyle w:val="Compact"/>
        <w:numPr>
          <w:ilvl w:val="0"/>
          <w:numId w:val="1001"/>
        </w:numPr>
      </w:pPr>
      <w:r>
        <w:t xml:space="preserve">Візуалізацію рішення та порівняння підходів між собою.</w:t>
      </w:r>
    </w:p>
    <w:p>
      <w:pPr>
        <w:pStyle w:val="Compact"/>
        <w:numPr>
          <w:ilvl w:val="0"/>
          <w:numId w:val="1001"/>
        </w:numPr>
      </w:pPr>
      <w:r>
        <w:t xml:space="preserve">Висновки щодо оптимального методу для поточного датасету.</w:t>
      </w:r>
    </w:p>
    <w:bookmarkEnd w:id="13"/>
    <w:bookmarkStart w:id="54" w:name="Xc1386a3283912c4f3374a84873b52512cc02c89"/>
    <w:p>
      <w:pPr>
        <w:pStyle w:val="Heading1"/>
      </w:pPr>
      <w:r>
        <w:t xml:space="preserve">ІІІ. Результати виконання лабораторної роботи</w:t>
      </w:r>
    </w:p>
    <w:bookmarkStart w:id="18" w:name="синтезована-математична-модель"/>
    <w:p>
      <w:pPr>
        <w:pStyle w:val="Heading2"/>
      </w:pPr>
      <w:r>
        <w:t xml:space="preserve">3.1. Синтезована математична модель</w:t>
      </w:r>
    </w:p>
    <w:bookmarkStart w:id="14" w:name="ієрархічна-структура"/>
    <w:p>
      <w:pPr>
        <w:pStyle w:val="Heading3"/>
      </w:pPr>
      <w:r>
        <w:t xml:space="preserve">3.1.1. Ієрархічна структура</w:t>
      </w:r>
    </w:p>
    <w:p>
      <w:pPr>
        <w:pStyle w:val="FirstParagraph"/>
      </w:pPr>
      <w:r>
        <w:t xml:space="preserve">Датасет Держстату [1] містить 18 демографічних показників у розрізах віку матері й</w:t>
      </w:r>
      <w:r>
        <w:t xml:space="preserve"> </w:t>
      </w:r>
      <w:r>
        <w:t xml:space="preserve">батька, статі, сімейного стану, громадянства і типу місцевості. Для прогнозу взято</w:t>
      </w:r>
      <w:r>
        <w:t xml:space="preserve"> </w:t>
      </w:r>
      <w:r>
        <w:t xml:space="preserve">річну кількість живонароджених за 1989–2021 роки з підсумковими значеннями всіх</w:t>
      </w:r>
      <w:r>
        <w:t xml:space="preserve"> </w:t>
      </w:r>
      <w:r>
        <w:t xml:space="preserve">розрізів, крім території і типу місцевості. Розріз за типом місцевості (міська,</w:t>
      </w:r>
      <w:r>
        <w:t xml:space="preserve"> </w:t>
      </w:r>
      <w:r>
        <w:t xml:space="preserve">сільська) дає третій рівень ієрархії в тому самому джерелі:</w:t>
      </w:r>
    </w:p>
    <w:p>
      <w:pPr>
        <w:pStyle w:val="Compact"/>
        <w:numPr>
          <w:ilvl w:val="0"/>
          <w:numId w:val="1002"/>
        </w:numPr>
      </w:pPr>
      <w:r>
        <w:t xml:space="preserve">рівень 0 – Україна, 1 ряд;</w:t>
      </w:r>
    </w:p>
    <w:p>
      <w:pPr>
        <w:pStyle w:val="Compact"/>
        <w:numPr>
          <w:ilvl w:val="0"/>
          <w:numId w:val="1002"/>
        </w:numPr>
      </w:pPr>
      <w:r>
        <w:t xml:space="preserve">рівень 1 – 24 області і м. Київ, 25 рядів;</w:t>
      </w:r>
    </w:p>
    <w:p>
      <w:pPr>
        <w:pStyle w:val="Compact"/>
        <w:numPr>
          <w:ilvl w:val="0"/>
          <w:numId w:val="1002"/>
        </w:numPr>
      </w:pPr>
      <w:r>
        <w:t xml:space="preserve">рівень 2 – міська і сільська місцевість кожної області, 49 рядів (у Києві лише</w:t>
      </w:r>
      <w:r>
        <w:t xml:space="preserve"> </w:t>
      </w:r>
      <w:r>
        <w:t xml:space="preserve">міська).</w:t>
      </w:r>
    </w:p>
    <w:p>
      <w:pPr>
        <w:pStyle w:val="FirstParagraph"/>
      </w:pPr>
      <w:r>
        <w:t xml:space="preserve">Автономна Республіка Крим і м. Севастополь не входять в ієрархію: з 2014 року даних</w:t>
      </w:r>
      <w:r>
        <w:t xml:space="preserve"> </w:t>
      </w:r>
      <w:r>
        <w:t xml:space="preserve">по них немає, а вузол, що зникає посеред вибірки, порушує сталість структури.</w:t>
      </w:r>
      <w:r>
        <w:t xml:space="preserve"> </w:t>
      </w:r>
      <w:r>
        <w:t xml:space="preserve">Рівень «Україна» рахується як сума 25 регіонів і з 2014 року точно збігається з</w:t>
      </w:r>
      <w:r>
        <w:t xml:space="preserve"> </w:t>
      </w:r>
      <w:r>
        <w:t xml:space="preserve">офіційним рядом.</w:t>
      </w:r>
    </w:p>
    <w:p>
      <w:pPr>
        <w:pStyle w:val="BodyText"/>
      </w:pPr>
      <w:r>
        <w:t xml:space="preserve">Ієрархія записується сумувальною матрицею</w:t>
      </w:r>
      <w:r>
        <w:t xml:space="preserve"> </w:t>
      </w:r>
      <m:oMath>
        <m:r>
          <m:t>S</m:t>
        </m:r>
      </m:oMath>
      <w:r>
        <w:t xml:space="preserve"> </w:t>
      </w:r>
      <w:r>
        <w:t xml:space="preserve">розміром</w:t>
      </w:r>
      <w:r>
        <w:t xml:space="preserve"> </w:t>
      </w:r>
      <m:oMath>
        <m:r>
          <m:t>n</m:t>
        </m:r>
        <m:r>
          <m:rPr>
            <m:sty m:val="p"/>
          </m:rPr>
          <m:t>×</m:t>
        </m:r>
        <m:r>
          <m:t>m</m:t>
        </m:r>
      </m:oMath>
      <w:r>
        <w:t xml:space="preserve">, де</w:t>
      </w:r>
      <w:r>
        <w:t xml:space="preserve"> </w:t>
      </w:r>
      <m:oMath>
        <m:r>
          <m:t>n</m:t>
        </m:r>
        <m:r>
          <m:rPr>
            <m:sty m:val="p"/>
          </m:rPr>
          <m:t>=</m:t>
        </m:r>
        <m:r>
          <m:t>75</m:t>
        </m:r>
      </m:oMath>
      <w:r>
        <w:t xml:space="preserve"> </w:t>
      </w:r>
      <w:r>
        <w:t xml:space="preserve">– усі</w:t>
      </w:r>
      <w:r>
        <w:t xml:space="preserve"> </w:t>
      </w:r>
      <w:r>
        <w:t xml:space="preserve">вузли,</w:t>
      </w:r>
      <w:r>
        <w:t xml:space="preserve"> </w:t>
      </w:r>
      <m:oMath>
        <m:r>
          <m:t>m</m:t>
        </m:r>
        <m:r>
          <m:rPr>
            <m:sty m:val="p"/>
          </m:rPr>
          <m:t>=</m:t>
        </m:r>
        <m:r>
          <m:t>49</m:t>
        </m:r>
      </m:oMath>
      <w:r>
        <w:t xml:space="preserve"> </w:t>
      </w:r>
      <w:r>
        <w:t xml:space="preserve">– нижній рівень:</w:t>
      </w:r>
    </w:p>
    <w:p>
      <w:pPr>
        <w:pStyle w:val="BodyText"/>
      </w:pPr>
      <m:oMathPara>
        <m:oMathParaPr>
          <m:jc m:val="center"/>
        </m:oMathParaPr>
        <m:oMath>
          <m:sSub>
            <m:e>
              <m:r>
                <m:t>y</m:t>
              </m:r>
            </m:e>
            <m:sub>
              <m:r>
                <m:t>t</m:t>
              </m:r>
            </m:sub>
          </m:sSub>
          <m:r>
            <m:rPr>
              <m:sty m:val="p"/>
            </m:rPr>
            <m:t>=</m:t>
          </m:r>
          <m:r>
            <m:t>S</m:t>
          </m:r>
          <m:sSub>
            <m:e>
              <m:r>
                <m:t>b</m:t>
              </m:r>
            </m:e>
            <m:sub>
              <m:r>
                <m:t>t</m:t>
              </m:r>
            </m:sub>
          </m:sSub>
          <m:r>
            <m:rPr>
              <m:sty m:val="p"/>
            </m:rPr>
            <m:t>,</m:t>
          </m:r>
          <m:r>
            <m:t>  </m:t>
          </m:r>
          <m:r>
            <m:t>S</m:t>
          </m:r>
          <m:r>
            <m:rPr>
              <m:sty m:val="p"/>
            </m:rPr>
            <m:t>=</m:t>
          </m:r>
          <m:d>
            <m:dPr>
              <m:begChr m:val="("/>
              <m:sepChr m:val=""/>
              <m:endChr m:val=")"/>
              <m:grow/>
            </m:dPr>
            <m:e>
              <m:m>
                <m:mPr>
                  <m:baseJc m:val="center"/>
                  <m:plcHide m:val="on"/>
                  <m:mcs>
                    <m:mc>
                      <m:mcPr>
                        <m:mcJc m:val="center"/>
                        <m:count m:val="1"/>
                      </m:mcPr>
                    </m:mc>
                  </m:mcs>
                </m:mPr>
                <m:mr>
                  <m:e>
                    <m:sSup>
                      <m:e>
                        <m:r>
                          <m:rPr>
                            <m:sty m:val="b"/>
                          </m:rPr>
                          <m:t>1</m:t>
                        </m:r>
                      </m:e>
                      <m:sup>
                        <m:r>
                          <m:rPr>
                            <m:scr m:val="sans-serif"/>
                            <m:sty m:val="p"/>
                          </m:rPr>
                          <m:t>T</m:t>
                        </m:r>
                      </m:sup>
                    </m:sSup>
                  </m:e>
                </m:mr>
                <m:mr>
                  <m:e>
                    <m:sSub>
                      <m:e>
                        <m:r>
                          <m:t>S</m:t>
                        </m:r>
                      </m:e>
                      <m:sub>
                        <m:r>
                          <m:t>1</m:t>
                        </m:r>
                      </m:sub>
                    </m:sSub>
                  </m:e>
                </m:mr>
                <m:mr>
                  <m:e>
                    <m:sSub>
                      <m:e>
                        <m:r>
                          <m:t>I</m:t>
                        </m:r>
                      </m:e>
                      <m:sub>
                        <m:r>
                          <m:t>m</m:t>
                        </m:r>
                      </m:sub>
                    </m:sSub>
                  </m:e>
                </m:mr>
              </m:m>
            </m:e>
          </m:d>
        </m:oMath>
      </m:oMathPara>
    </w:p>
    <w:p>
      <w:pPr>
        <w:pStyle w:val="FirstParagraph"/>
      </w:pPr>
      <w:r>
        <w:t xml:space="preserve">де</w:t>
      </w:r>
      <w:r>
        <w:t xml:space="preserve"> </w:t>
      </w:r>
      <m:oMath>
        <m:sSub>
          <m:e>
            <m:r>
              <m:t>b</m:t>
            </m:r>
          </m:e>
          <m:sub>
            <m:r>
              <m:t>t</m:t>
            </m:r>
          </m:sub>
        </m:sSub>
      </m:oMath>
      <w:r>
        <w:t xml:space="preserve"> </w:t>
      </w:r>
      <w:r>
        <w:t xml:space="preserve">– значення нижнього рівня,</w:t>
      </w:r>
      <w:r>
        <w:t xml:space="preserve"> </w:t>
      </w:r>
      <m:oMath>
        <m:sSub>
          <m:e>
            <m:r>
              <m:t>S</m:t>
            </m:r>
          </m:e>
          <m:sub>
            <m:r>
              <m:t>1</m:t>
            </m:r>
          </m:sub>
        </m:sSub>
      </m:oMath>
      <w:r>
        <w:t xml:space="preserve"> </w:t>
      </w:r>
      <w:r>
        <w:t xml:space="preserve">– матриця 25 × 49 з одиницями на перетині</w:t>
      </w:r>
      <w:r>
        <w:t xml:space="preserve"> </w:t>
      </w:r>
      <w:r>
        <w:t xml:space="preserve">області та її типів місцевості. Для дворівневої постановки області → країна нижнім</w:t>
      </w:r>
      <w:r>
        <w:t xml:space="preserve"> </w:t>
      </w:r>
      <w:r>
        <w:t xml:space="preserve">рівнем є області:</w:t>
      </w:r>
      <w:r>
        <w:t xml:space="preserve"> </w:t>
      </w:r>
      <m:oMath>
        <m:r>
          <m:t>m</m:t>
        </m:r>
        <m:r>
          <m:rPr>
            <m:sty m:val="p"/>
          </m:rPr>
          <m:t>=</m:t>
        </m:r>
        <m:r>
          <m:t>25</m:t>
        </m:r>
      </m:oMath>
      <w:r>
        <w:t xml:space="preserve">,</w:t>
      </w:r>
      <w:r>
        <w:t xml:space="preserve"> </w:t>
      </w:r>
      <m:oMath>
        <m:r>
          <m:t>S</m:t>
        </m:r>
        <m:r>
          <m:rPr>
            <m:sty m:val="p"/>
          </m:rPr>
          <m:t>=</m:t>
        </m:r>
        <m:r>
          <m:rPr>
            <m:sty m:val="p"/>
          </m:rPr>
          <m:t>(</m:t>
        </m:r>
        <m:r>
          <m:rPr>
            <m:sty m:val="b"/>
          </m:rPr>
          <m:t>1</m:t>
        </m:r>
        <m:r>
          <m:rPr>
            <m:sty m:val="p"/>
          </m:rPr>
          <m:t>,</m:t>
        </m:r>
        <m:sSub>
          <m:e>
            <m:r>
              <m:t>I</m:t>
            </m:r>
          </m:e>
          <m:sub>
            <m:r>
              <m:t>25</m:t>
            </m:r>
          </m:sub>
        </m:sSub>
        <m:sSup>
          <m:e>
            <m:r>
              <m:rPr>
                <m:sty m:val="p"/>
              </m:rPr>
              <m:t>)</m:t>
            </m:r>
          </m:e>
          <m:sup>
            <m:r>
              <m:rPr>
                <m:scr m:val="sans-serif"/>
                <m:sty m:val="p"/>
              </m:rPr>
              <m:t>T</m:t>
            </m:r>
          </m:sup>
        </m:sSup>
      </m:oMath>
      <w:r>
        <w:t xml:space="preserve">.</w:t>
      </w:r>
    </w:p>
    <w:bookmarkEnd w:id="14"/>
    <w:bookmarkStart w:id="15" w:name="базові-прогнози"/>
    <w:p>
      <w:pPr>
        <w:pStyle w:val="Heading3"/>
      </w:pPr>
      <w:r>
        <w:t xml:space="preserve">3.1.2. Базові прогнози</w:t>
      </w:r>
    </w:p>
    <w:p>
      <w:pPr>
        <w:pStyle w:val="FirstParagraph"/>
      </w:pPr>
      <w:r>
        <w:t xml:space="preserve">Кожен з 75 рядів прогнозується незалежно експоненційним згладжуванням, яке</w:t>
      </w:r>
      <w:r>
        <w:t xml:space="preserve"> </w:t>
      </w:r>
      <w:r>
        <w:t xml:space="preserve">застосовується до</w:t>
      </w:r>
      <w:r>
        <w:t xml:space="preserve"> </w:t>
      </w:r>
      <m:oMath>
        <m:r>
          <m:rPr>
            <m:sty m:val="p"/>
          </m:rPr>
          <m:t>ln</m:t>
        </m:r>
        <m:sSub>
          <m:e>
            <m:r>
              <m:t>y</m:t>
            </m:r>
          </m:e>
          <m:sub>
            <m:r>
              <m:t>t</m:t>
            </m:r>
          </m:sub>
        </m:sSub>
      </m:oMath>
      <w:r>
        <w:t xml:space="preserve">, щоб прогноз лишався додатним, а тренд був відносним.</w:t>
      </w:r>
      <w:r>
        <w:t xml:space="preserve"> </w:t>
      </w:r>
      <w:r>
        <w:t xml:space="preserve">Модель обирається за найменшим AICc серед трьох:</w:t>
      </w:r>
    </w:p>
    <w:p>
      <w:pPr>
        <w:pStyle w:val="Compact"/>
        <w:numPr>
          <w:ilvl w:val="0"/>
          <w:numId w:val="1003"/>
        </w:numPr>
      </w:pPr>
      <w:r>
        <w:t xml:space="preserve">просте згладжування (SES):</w:t>
      </w:r>
      <w:r>
        <w:t xml:space="preserve"> </w:t>
      </w:r>
      <m:oMath>
        <m:sSub>
          <m:e>
            <m:r>
              <m:t>ℓ</m:t>
            </m:r>
          </m:e>
          <m:sub>
            <m:r>
              <m:t>t</m:t>
            </m:r>
          </m:sub>
        </m:sSub>
        <m:r>
          <m:rPr>
            <m:sty m:val="p"/>
          </m:rPr>
          <m:t>=</m:t>
        </m:r>
        <m:r>
          <m:t>α</m:t>
        </m:r>
        <m:sSub>
          <m:e>
            <m:r>
              <m:t>z</m:t>
            </m:r>
          </m:e>
          <m:sub>
            <m:r>
              <m:t>t</m:t>
            </m:r>
          </m:sub>
        </m:sSub>
        <m:r>
          <m:rPr>
            <m:sty m:val="p"/>
          </m:rPr>
          <m:t>+</m:t>
        </m:r>
        <m:r>
          <m:rPr>
            <m:sty m:val="p"/>
          </m:rPr>
          <m:t>(</m:t>
        </m:r>
        <m:r>
          <m:t>1</m:t>
        </m:r>
        <m:r>
          <m:rPr>
            <m:sty m:val="p"/>
          </m:rPr>
          <m:t>−</m:t>
        </m:r>
        <m:r>
          <m:t>α</m:t>
        </m:r>
        <m:r>
          <m:rPr>
            <m:sty m:val="p"/>
          </m:rPr>
          <m:t>)</m:t>
        </m:r>
        <m:sSub>
          <m:e>
            <m:r>
              <m:t>ℓ</m:t>
            </m:r>
          </m:e>
          <m:sub>
            <m:r>
              <m:t>t</m:t>
            </m:r>
            <m:r>
              <m:rPr>
                <m:sty m:val="p"/>
              </m:rPr>
              <m:t>−</m:t>
            </m:r>
            <m:r>
              <m:t>1</m:t>
            </m:r>
          </m:sub>
        </m:sSub>
      </m:oMath>
      <w:r>
        <w:t xml:space="preserve">, де</w:t>
      </w:r>
      <w:r>
        <w:t xml:space="preserve"> </w:t>
      </w:r>
      <m:oMath>
        <m:sSub>
          <m:e>
            <m:r>
              <m:t>z</m:t>
            </m:r>
          </m:e>
          <m:sub>
            <m:r>
              <m:t>t</m:t>
            </m:r>
          </m:sub>
        </m:sSub>
        <m:r>
          <m:rPr>
            <m:sty m:val="p"/>
          </m:rPr>
          <m:t>=</m:t>
        </m:r>
        <m:r>
          <m:rPr>
            <m:sty m:val="p"/>
          </m:rPr>
          <m:t>ln</m:t>
        </m:r>
        <m:sSub>
          <m:e>
            <m:r>
              <m:t>y</m:t>
            </m:r>
          </m:e>
          <m:sub>
            <m:r>
              <m:t>t</m:t>
            </m:r>
          </m:sub>
        </m:sSub>
      </m:oMath>
      <w:r>
        <w:t xml:space="preserve">;</w:t>
      </w:r>
    </w:p>
    <w:p>
      <w:pPr>
        <w:pStyle w:val="Compact"/>
        <w:numPr>
          <w:ilvl w:val="0"/>
          <w:numId w:val="1003"/>
        </w:numPr>
      </w:pPr>
      <w:r>
        <w:t xml:space="preserve">метод Хольта з адитивним трендом</w:t>
      </w:r>
      <w:r>
        <w:t xml:space="preserve"> </w:t>
      </w:r>
      <m:oMath>
        <m:sSub>
          <m:e>
            <m:r>
              <m:t>b</m:t>
            </m:r>
          </m:e>
          <m:sub>
            <m:r>
              <m:t>t</m:t>
            </m:r>
          </m:sub>
        </m:sSub>
      </m:oMath>
      <w:r>
        <w:t xml:space="preserve">;</w:t>
      </w:r>
    </w:p>
    <w:p>
      <w:pPr>
        <w:pStyle w:val="Compact"/>
        <w:numPr>
          <w:ilvl w:val="0"/>
          <w:numId w:val="1003"/>
        </w:numPr>
      </w:pPr>
      <w:r>
        <w:t xml:space="preserve">метод Хольта із затуханням тренду:</w:t>
      </w:r>
      <w:r>
        <w:t xml:space="preserve"> </w:t>
      </w:r>
      <m:oMath>
        <m:sSub>
          <m:e>
            <m:acc>
              <m:accPr>
                <m:chr m:val="̂"/>
              </m:accPr>
              <m:e>
                <m:r>
                  <m:t>z</m:t>
                </m:r>
              </m:e>
            </m:acc>
          </m:e>
          <m:sub>
            <m:r>
              <m:t>t</m:t>
            </m:r>
            <m:r>
              <m:rPr>
                <m:sty m:val="p"/>
              </m:rPr>
              <m:t>+</m:t>
            </m:r>
            <m:r>
              <m:t>h</m:t>
            </m:r>
          </m:sub>
        </m:sSub>
        <m:r>
          <m:rPr>
            <m:sty m:val="p"/>
          </m:rPr>
          <m:t>=</m:t>
        </m:r>
        <m:sSub>
          <m:e>
            <m:r>
              <m:t>ℓ</m:t>
            </m:r>
          </m:e>
          <m:sub>
            <m:r>
              <m:t>t</m:t>
            </m:r>
          </m:sub>
        </m:sSub>
        <m:r>
          <m:rPr>
            <m:sty m:val="p"/>
          </m:rPr>
          <m:t>+</m:t>
        </m:r>
        <m:r>
          <m:rPr>
            <m:sty m:val="p"/>
          </m:rPr>
          <m:t>(</m:t>
        </m:r>
        <m:r>
          <m:t>ϕ</m:t>
        </m:r>
        <m:r>
          <m:rPr>
            <m:sty m:val="p"/>
          </m:rPr>
          <m:t>+</m:t>
        </m:r>
        <m:sSup>
          <m:e>
            <m:r>
              <m:t>ϕ</m:t>
            </m:r>
          </m:e>
          <m:sup>
            <m:r>
              <m:t>2</m:t>
            </m:r>
          </m:sup>
        </m:sSup>
        <m:r>
          <m:rPr>
            <m:sty m:val="p"/>
          </m:rPr>
          <m:t>+</m:t>
        </m:r>
        <m:r>
          <m:rPr>
            <m:sty m:val="p"/>
          </m:rPr>
          <m:t>…</m:t>
        </m:r>
        <m:r>
          <m:rPr>
            <m:sty m:val="p"/>
          </m:rPr>
          <m:t>+</m:t>
        </m:r>
        <m:sSup>
          <m:e>
            <m:r>
              <m:t>ϕ</m:t>
            </m:r>
          </m:e>
          <m:sup>
            <m:r>
              <m:t>h</m:t>
            </m:r>
          </m:sup>
        </m:sSup>
        <m:r>
          <m:rPr>
            <m:sty m:val="p"/>
          </m:rPr>
          <m:t>)</m:t>
        </m:r>
        <m:sSub>
          <m:e>
            <m:r>
              <m:t>b</m:t>
            </m:r>
          </m:e>
          <m:sub>
            <m:r>
              <m:t>t</m:t>
            </m:r>
          </m:sub>
        </m:sSub>
      </m:oMath>
      <w:r>
        <w:t xml:space="preserve">.</w:t>
      </w:r>
    </w:p>
    <w:p>
      <w:pPr>
        <w:pStyle w:val="FirstParagraph"/>
      </w:pPr>
      <w:r>
        <w:t xml:space="preserve">Базові прогнози</w:t>
      </w:r>
      <w:r>
        <w:t xml:space="preserve"> </w:t>
      </w:r>
      <m:oMath>
        <m:sSub>
          <m:e>
            <m:acc>
              <m:accPr>
                <m:chr m:val="̂"/>
              </m:accPr>
              <m:e>
                <m:r>
                  <m:t>y</m:t>
                </m:r>
              </m:e>
            </m:acc>
          </m:e>
          <m:sub>
            <m:r>
              <m:t>h</m:t>
            </m:r>
          </m:sub>
        </m:sSub>
      </m:oMath>
      <w:r>
        <w:t xml:space="preserve"> </w:t>
      </w:r>
      <w:r>
        <w:t xml:space="preserve">не когерентні: прогноз країни не дорівнює сумі прогнозів</w:t>
      </w:r>
      <w:r>
        <w:t xml:space="preserve"> </w:t>
      </w:r>
      <w:r>
        <w:t xml:space="preserve">областей.</w:t>
      </w:r>
    </w:p>
    <w:bookmarkEnd w:id="15"/>
    <w:bookmarkStart w:id="16" w:name="методи-ієрархічного-прогнозування"/>
    <w:p>
      <w:pPr>
        <w:pStyle w:val="Heading3"/>
      </w:pPr>
      <w:r>
        <w:t xml:space="preserve">3.1.3. Методи ієрархічного прогнозування</w:t>
      </w:r>
    </w:p>
    <w:p>
      <w:pPr>
        <w:pStyle w:val="FirstParagraph"/>
      </w:pPr>
      <w:r>
        <w:t xml:space="preserve">Кожен метод дає прогноз нижнього рівня</w:t>
      </w:r>
      <w:r>
        <w:t xml:space="preserve"> </w:t>
      </w:r>
      <m:oMath>
        <m:sSub>
          <m:e>
            <m:acc>
              <m:accPr>
                <m:chr m:val="̃"/>
              </m:accPr>
              <m:e>
                <m:r>
                  <m:t>b</m:t>
                </m:r>
              </m:e>
            </m:acc>
          </m:e>
          <m:sub>
            <m:r>
              <m:t>h</m:t>
            </m:r>
          </m:sub>
        </m:sSub>
      </m:oMath>
      <w:r>
        <w:t xml:space="preserve">, а прогноз усієї ієрархії</w:t>
      </w:r>
      <w:r>
        <w:t xml:space="preserve"> </w:t>
      </w:r>
      <m:oMath>
        <m:sSub>
          <m:e>
            <m:acc>
              <m:accPr>
                <m:chr m:val="̃"/>
              </m:accPr>
              <m:e>
                <m:r>
                  <m:t>y</m:t>
                </m:r>
              </m:e>
            </m:acc>
          </m:e>
          <m:sub>
            <m:r>
              <m:t>h</m:t>
            </m:r>
          </m:sub>
        </m:sSub>
        <m:r>
          <m:rPr>
            <m:sty m:val="p"/>
          </m:rPr>
          <m:t>=</m:t>
        </m:r>
        <m:r>
          <m:t>S</m:t>
        </m:r>
        <m:sSub>
          <m:e>
            <m:acc>
              <m:accPr>
                <m:chr m:val="̃"/>
              </m:accPr>
              <m:e>
                <m:r>
                  <m:t>b</m:t>
                </m:r>
              </m:e>
            </m:acc>
          </m:e>
          <m:sub>
            <m:r>
              <m:t>h</m:t>
            </m:r>
          </m:sub>
        </m:sSub>
      </m:oMath>
      <w:r>
        <w:t xml:space="preserve"> </w:t>
      </w:r>
      <w:r>
        <w:t xml:space="preserve">когерентний за побудовою. Лінійні методи мають вигляд</w:t>
      </w:r>
      <w:r>
        <w:t xml:space="preserve"> </w:t>
      </w:r>
      <m:oMath>
        <m:sSub>
          <m:e>
            <m:acc>
              <m:accPr>
                <m:chr m:val="̃"/>
              </m:accPr>
              <m:e>
                <m:r>
                  <m:t>y</m:t>
                </m:r>
              </m:e>
            </m:acc>
          </m:e>
          <m:sub>
            <m:r>
              <m:t>h</m:t>
            </m:r>
          </m:sub>
        </m:sSub>
        <m:r>
          <m:rPr>
            <m:sty m:val="p"/>
          </m:rPr>
          <m:t>=</m:t>
        </m:r>
        <m:r>
          <m:t>S</m:t>
        </m:r>
        <m:r>
          <m:t>G</m:t>
        </m:r>
        <m:sSub>
          <m:e>
            <m:acc>
              <m:accPr>
                <m:chr m:val="̂"/>
              </m:accPr>
              <m:e>
                <m:r>
                  <m:t>y</m:t>
                </m:r>
              </m:e>
            </m:acc>
          </m:e>
          <m:sub>
            <m:r>
              <m:t>h</m:t>
            </m:r>
          </m:sub>
        </m:sSub>
      </m:oMath>
      <w:r>
        <w:t xml:space="preserve">.</w:t>
      </w:r>
    </w:p>
    <w:p>
      <w:pPr>
        <w:pStyle w:val="BodyText"/>
      </w:pPr>
      <w:r>
        <w:t xml:space="preserve">Bottom-up (BU) бере базові прогнози нижнього рівня:</w:t>
      </w:r>
      <w:r>
        <w:t xml:space="preserve"> </w:t>
      </w:r>
      <m:oMath>
        <m:r>
          <m:t>G</m:t>
        </m:r>
        <m:r>
          <m:rPr>
            <m:sty m:val="p"/>
          </m:rPr>
          <m:t>=</m:t>
        </m:r>
        <m:r>
          <m:rPr>
            <m:sty m:val="p"/>
          </m:rPr>
          <m:t>(</m:t>
        </m:r>
        <m:r>
          <m:t>0</m:t>
        </m:r>
        <m:r>
          <m:rPr>
            <m:sty m:val="p"/>
          </m:rPr>
          <m:t>∣</m:t>
        </m:r>
        <m:sSub>
          <m:e>
            <m:r>
              <m:t>I</m:t>
            </m:r>
          </m:e>
          <m:sub>
            <m:r>
              <m:t>m</m:t>
            </m:r>
          </m:sub>
        </m:sSub>
        <m:r>
          <m:rPr>
            <m:sty m:val="p"/>
          </m:rPr>
          <m:t>)</m:t>
        </m:r>
      </m:oMath>
      <w:r>
        <w:t xml:space="preserve">.</w:t>
      </w:r>
    </w:p>
    <w:p>
      <w:pPr>
        <w:pStyle w:val="BodyText"/>
      </w:pPr>
      <w:r>
        <w:t xml:space="preserve">Top-down розподіляє прогноз країни</w:t>
      </w:r>
      <w:r>
        <w:t xml:space="preserve"> </w:t>
      </w:r>
      <m:oMath>
        <m:sSub>
          <m:e>
            <m:acc>
              <m:accPr>
                <m:chr m:val="̂"/>
              </m:accPr>
              <m:e>
                <m:r>
                  <m:t>y</m:t>
                </m:r>
              </m:e>
            </m:acc>
          </m:e>
          <m:sub>
            <m:r>
              <m:t>0</m:t>
            </m:r>
            <m:r>
              <m:rPr>
                <m:sty m:val="p"/>
              </m:rPr>
              <m:t>,</m:t>
            </m:r>
            <m:r>
              <m:t>h</m:t>
            </m:r>
          </m:sub>
        </m:sSub>
      </m:oMath>
      <w:r>
        <w:t xml:space="preserve"> </w:t>
      </w:r>
      <w:r>
        <w:t xml:space="preserve">за частками</w:t>
      </w:r>
      <w:r>
        <w:t xml:space="preserve"> </w:t>
      </w:r>
      <m:oMath>
        <m:sSub>
          <m:e>
            <m:r>
              <m:t>p</m:t>
            </m:r>
          </m:e>
          <m:sub>
            <m:r>
              <m:t>j</m:t>
            </m:r>
          </m:sub>
        </m:sSub>
      </m:oMath>
      <w:r>
        <w:t xml:space="preserve">:</w:t>
      </w:r>
      <w:r>
        <w:t xml:space="preserve"> </w:t>
      </w:r>
      <m:oMath>
        <m:sSub>
          <m:e>
            <m:acc>
              <m:accPr>
                <m:chr m:val="̃"/>
              </m:accPr>
              <m:e>
                <m:r>
                  <m:t>b</m:t>
                </m:r>
              </m:e>
            </m:acc>
          </m:e>
          <m:sub>
            <m:r>
              <m:t>j</m:t>
            </m:r>
            <m:r>
              <m:rPr>
                <m:sty m:val="p"/>
              </m:rPr>
              <m:t>,</m:t>
            </m:r>
            <m:r>
              <m:t>h</m:t>
            </m:r>
          </m:sub>
        </m:sSub>
        <m:r>
          <m:rPr>
            <m:sty m:val="p"/>
          </m:rPr>
          <m:t>=</m:t>
        </m:r>
        <m:sSub>
          <m:e>
            <m:r>
              <m:t>p</m:t>
            </m:r>
          </m:e>
          <m:sub>
            <m:r>
              <m:t>j</m:t>
            </m:r>
          </m:sub>
        </m:sSub>
        <m:sSub>
          <m:e>
            <m:acc>
              <m:accPr>
                <m:chr m:val="̂"/>
              </m:accPr>
              <m:e>
                <m:r>
                  <m:t>y</m:t>
                </m:r>
              </m:e>
            </m:acc>
          </m:e>
          <m:sub>
            <m:r>
              <m:t>0</m:t>
            </m:r>
            <m:r>
              <m:rPr>
                <m:sty m:val="p"/>
              </m:rPr>
              <m:t>,</m:t>
            </m:r>
            <m:r>
              <m:t>h</m:t>
            </m:r>
          </m:sub>
        </m:sSub>
      </m:oMath>
      <w:r>
        <w:t xml:space="preserve">. Частки визначаються трьома способами [2]:</w:t>
      </w:r>
    </w:p>
    <w:p>
      <w:pPr>
        <w:pStyle w:val="BodyText"/>
      </w:pPr>
      <m:oMathPara>
        <m:oMathParaPr>
          <m:jc m:val="center"/>
        </m:oMathParaPr>
        <m:oMath>
          <m:sSubSup>
            <m:e>
              <m:r>
                <m:t>p</m:t>
              </m:r>
            </m:e>
            <m:sub>
              <m:r>
                <m:t>j</m:t>
              </m:r>
            </m:sub>
            <m:sup>
              <m:r>
                <m:t>A</m:t>
              </m:r>
              <m:r>
                <m:t>H</m:t>
              </m:r>
              <m:r>
                <m:t>P</m:t>
              </m:r>
            </m:sup>
          </m:sSubSup>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f>
                <m:fPr>
                  <m:type m:val="bar"/>
                </m:fPr>
                <m:num>
                  <m:sSub>
                    <m:e>
                      <m:r>
                        <m:t>y</m:t>
                      </m:r>
                    </m:e>
                    <m:sub>
                      <m:r>
                        <m:t>j</m:t>
                      </m:r>
                      <m:r>
                        <m:rPr>
                          <m:sty m:val="p"/>
                        </m:rPr>
                        <m:t>,</m:t>
                      </m:r>
                      <m:r>
                        <m:t>t</m:t>
                      </m:r>
                    </m:sub>
                  </m:sSub>
                </m:num>
                <m:den>
                  <m:sSub>
                    <m:e>
                      <m:r>
                        <m:t>y</m:t>
                      </m:r>
                    </m:e>
                    <m:sub>
                      <m:r>
                        <m:t>0</m:t>
                      </m:r>
                      <m:r>
                        <m:rPr>
                          <m:sty m:val="p"/>
                        </m:rPr>
                        <m:t>,</m:t>
                      </m:r>
                      <m:r>
                        <m:t>t</m:t>
                      </m:r>
                    </m:sub>
                  </m:sSub>
                </m:den>
              </m:f>
            </m:e>
          </m:nary>
          <m:r>
            <m:rPr>
              <m:sty m:val="p"/>
            </m:rPr>
            <m:t>,</m:t>
          </m:r>
          <m:r>
            <m:t>  </m:t>
          </m:r>
          <m:sSubSup>
            <m:e>
              <m:r>
                <m:t>p</m:t>
              </m:r>
            </m:e>
            <m:sub>
              <m:r>
                <m:t>j</m:t>
              </m:r>
            </m:sub>
            <m:sup>
              <m:r>
                <m:t>P</m:t>
              </m:r>
              <m:r>
                <m:t>H</m:t>
              </m:r>
              <m:r>
                <m:t>A</m:t>
              </m:r>
            </m:sup>
          </m:sSubSup>
          <m:r>
            <m:rPr>
              <m:sty m:val="p"/>
            </m:rPr>
            <m:t>=</m:t>
          </m:r>
          <m:f>
            <m:fPr>
              <m:type m:val="bar"/>
            </m:fPr>
            <m:num>
              <m:sSub>
                <m:e>
                  <m:acc>
                    <m:accPr>
                      <m:chr m:val="‾"/>
                    </m:accPr>
                    <m:e>
                      <m:r>
                        <m:t>y</m:t>
                      </m:r>
                    </m:e>
                  </m:acc>
                </m:e>
                <m:sub>
                  <m:r>
                    <m:t>j</m:t>
                  </m:r>
                </m:sub>
              </m:sSub>
            </m:num>
            <m:den>
              <m:sSub>
                <m:e>
                  <m:acc>
                    <m:accPr>
                      <m:chr m:val="‾"/>
                    </m:accPr>
                    <m:e>
                      <m:r>
                        <m:t>y</m:t>
                      </m:r>
                    </m:e>
                  </m:acc>
                </m:e>
                <m:sub>
                  <m:r>
                    <m:t>0</m:t>
                  </m:r>
                </m:sub>
              </m:sSub>
            </m:den>
          </m:f>
          <m:r>
            <m:rPr>
              <m:sty m:val="p"/>
            </m:rPr>
            <m:t>,</m:t>
          </m:r>
          <m:r>
            <m:t>  </m:t>
          </m:r>
          <m:sSubSup>
            <m:e>
              <m:r>
                <m:t>p</m:t>
              </m:r>
            </m:e>
            <m:sub>
              <m:r>
                <m:t>j</m:t>
              </m:r>
              <m:r>
                <m:rPr>
                  <m:sty m:val="p"/>
                </m:rPr>
                <m:t>,</m:t>
              </m:r>
              <m:r>
                <m:t>h</m:t>
              </m:r>
            </m:sub>
            <m:sup>
              <m:r>
                <m:t>F</m:t>
              </m:r>
              <m:r>
                <m:t>P</m:t>
              </m:r>
            </m:sup>
          </m:sSubSup>
          <m:r>
            <m:rPr>
              <m:sty m:val="p"/>
            </m:rPr>
            <m:t>=</m:t>
          </m:r>
          <m:nary>
            <m:naryPr>
              <m:chr m:val="∏"/>
              <m:limLoc m:val="undOvr"/>
              <m:subHide m:val="off"/>
              <m:supHide m:val="off"/>
            </m:naryPr>
            <m:sub>
              <m:r>
                <m:t>k</m:t>
              </m:r>
              <m:r>
                <m:rPr>
                  <m:sty m:val="p"/>
                </m:rPr>
                <m:t>=</m:t>
              </m:r>
              <m:r>
                <m:t>0</m:t>
              </m:r>
            </m:sub>
            <m:sup>
              <m:r>
                <m:t>K</m:t>
              </m:r>
              <m:r>
                <m:rPr>
                  <m:sty m:val="p"/>
                </m:rPr>
                <m:t>−</m:t>
              </m:r>
              <m:r>
                <m:t>1</m:t>
              </m:r>
            </m:sup>
            <m:e>
              <m:f>
                <m:fPr>
                  <m:type m:val="bar"/>
                </m:fPr>
                <m:num>
                  <m:sSubSup>
                    <m:e>
                      <m:acc>
                        <m:accPr>
                          <m:chr m:val="̂"/>
                        </m:accPr>
                        <m:e>
                          <m:r>
                            <m:t>y</m:t>
                          </m:r>
                        </m:e>
                      </m:acc>
                    </m:e>
                    <m:sub>
                      <m:r>
                        <m:t>j</m:t>
                      </m:r>
                      <m:r>
                        <m:rPr>
                          <m:sty m:val="p"/>
                        </m:rPr>
                        <m:t>,</m:t>
                      </m:r>
                      <m:r>
                        <m:t>h</m:t>
                      </m:r>
                    </m:sub>
                    <m:sup>
                      <m:r>
                        <m:rPr>
                          <m:sty m:val="p"/>
                        </m:rPr>
                        <m:t>(</m:t>
                      </m:r>
                      <m:r>
                        <m:t>k</m:t>
                      </m:r>
                      <m:r>
                        <m:rPr>
                          <m:sty m:val="p"/>
                        </m:rPr>
                        <m:t>)</m:t>
                      </m:r>
                    </m:sup>
                  </m:sSubSup>
                </m:num>
                <m:den>
                  <m:sSubSup>
                    <m:e>
                      <m:acc>
                        <m:accPr>
                          <m:chr m:val="̂"/>
                        </m:accPr>
                        <m:e>
                          <m:r>
                            <m:t>S</m:t>
                          </m:r>
                        </m:e>
                      </m:acc>
                    </m:e>
                    <m:sub>
                      <m:r>
                        <m:t>j</m:t>
                      </m:r>
                      <m:r>
                        <m:rPr>
                          <m:sty m:val="p"/>
                        </m:rPr>
                        <m:t>,</m:t>
                      </m:r>
                      <m:r>
                        <m:t>h</m:t>
                      </m:r>
                    </m:sub>
                    <m:sup>
                      <m:r>
                        <m:rPr>
                          <m:sty m:val="p"/>
                        </m:rPr>
                        <m:t>(</m:t>
                      </m:r>
                      <m:r>
                        <m:t>k</m:t>
                      </m:r>
                      <m:r>
                        <m:rPr>
                          <m:sty m:val="p"/>
                        </m:rPr>
                        <m:t>+</m:t>
                      </m:r>
                      <m:r>
                        <m:t>1</m:t>
                      </m:r>
                      <m:r>
                        <m:rPr>
                          <m:sty m:val="p"/>
                        </m:rPr>
                        <m:t>)</m:t>
                      </m:r>
                    </m:sup>
                  </m:sSubSup>
                </m:den>
              </m:f>
            </m:e>
          </m:nary>
        </m:oMath>
      </m:oMathPara>
    </w:p>
    <w:p>
      <w:pPr>
        <w:pStyle w:val="FirstParagraph"/>
      </w:pPr>
      <w:r>
        <w:t xml:space="preserve">У TD-FP (forecast proportions)</w:t>
      </w:r>
      <w:r>
        <w:t xml:space="preserve"> </w:t>
      </w:r>
      <m:oMath>
        <m:sSubSup>
          <m:e>
            <m:acc>
              <m:accPr>
                <m:chr m:val="̂"/>
              </m:accPr>
              <m:e>
                <m:r>
                  <m:t>y</m:t>
                </m:r>
              </m:e>
            </m:acc>
          </m:e>
          <m:sub>
            <m:r>
              <m:t>j</m:t>
            </m:r>
            <m:r>
              <m:rPr>
                <m:sty m:val="p"/>
              </m:rPr>
              <m:t>,</m:t>
            </m:r>
            <m:r>
              <m:t>h</m:t>
            </m:r>
          </m:sub>
          <m:sup>
            <m:r>
              <m:rPr>
                <m:sty m:val="p"/>
              </m:rPr>
              <m:t>(</m:t>
            </m:r>
            <m:r>
              <m:t>k</m:t>
            </m:r>
            <m:r>
              <m:rPr>
                <m:sty m:val="p"/>
              </m:rPr>
              <m:t>)</m:t>
            </m:r>
          </m:sup>
        </m:sSubSup>
      </m:oMath>
      <w:r>
        <w:t xml:space="preserve"> </w:t>
      </w:r>
      <w:r>
        <w:t xml:space="preserve">– базовий прогноз предка листа</w:t>
      </w:r>
      <w:r>
        <w:t xml:space="preserve"> </w:t>
      </w:r>
      <m:oMath>
        <m:r>
          <m:t>j</m:t>
        </m:r>
      </m:oMath>
      <w:r>
        <w:t xml:space="preserve"> </w:t>
      </w:r>
      <w:r>
        <w:t xml:space="preserve">на</w:t>
      </w:r>
      <w:r>
        <w:t xml:space="preserve"> </w:t>
      </w:r>
      <m:oMath>
        <m:r>
          <m:t>k</m:t>
        </m:r>
      </m:oMath>
      <w:r>
        <w:t xml:space="preserve"> </w:t>
      </w:r>
      <w:r>
        <w:t xml:space="preserve">рівнів вище,</w:t>
      </w:r>
      <w:r>
        <w:t xml:space="preserve"> </w:t>
      </w:r>
      <m:oMath>
        <m:sSubSup>
          <m:e>
            <m:acc>
              <m:accPr>
                <m:chr m:val="̂"/>
              </m:accPr>
              <m:e>
                <m:r>
                  <m:t>S</m:t>
                </m:r>
              </m:e>
            </m:acc>
          </m:e>
          <m:sub>
            <m:r>
              <m:t>j</m:t>
            </m:r>
            <m:r>
              <m:rPr>
                <m:sty m:val="p"/>
              </m:rPr>
              <m:t>,</m:t>
            </m:r>
            <m:r>
              <m:t>h</m:t>
            </m:r>
          </m:sub>
          <m:sup>
            <m:r>
              <m:rPr>
                <m:sty m:val="p"/>
              </m:rPr>
              <m:t>(</m:t>
            </m:r>
            <m:r>
              <m:t>k</m:t>
            </m:r>
            <m:r>
              <m:rPr>
                <m:sty m:val="p"/>
              </m:rPr>
              <m:t>+</m:t>
            </m:r>
            <m:r>
              <m:t>1</m:t>
            </m:r>
            <m:r>
              <m:rPr>
                <m:sty m:val="p"/>
              </m:rPr>
              <m:t>)</m:t>
            </m:r>
          </m:sup>
        </m:sSubSup>
      </m:oMath>
      <w:r>
        <w:t xml:space="preserve"> </w:t>
      </w:r>
      <w:r>
        <w:t xml:space="preserve">– сума базових прогнозів його сиблінгів</w:t>
      </w:r>
      <w:r>
        <w:t xml:space="preserve"> </w:t>
      </w:r>
      <w:r>
        <w:t xml:space="preserve">разом із ним. Частки беруться з прогнозів, тож враховують зміну структури.</w:t>
      </w:r>
    </w:p>
    <w:p>
      <w:pPr>
        <w:pStyle w:val="BodyText"/>
      </w:pPr>
      <w:r>
        <w:t xml:space="preserve">Middle-out (MO) прогнозує на рівні областей. Угору прогнози сумуються, униз</w:t>
      </w:r>
      <w:r>
        <w:t xml:space="preserve"> </w:t>
      </w:r>
      <w:r>
        <w:t xml:space="preserve">розподіляються на міську і сільську місцевість частками прогнозу, як у TD-FP, але від</w:t>
      </w:r>
      <w:r>
        <w:t xml:space="preserve"> </w:t>
      </w:r>
      <w:r>
        <w:t xml:space="preserve">області.</w:t>
      </w:r>
    </w:p>
    <w:p>
      <w:pPr>
        <w:pStyle w:val="BodyText"/>
      </w:pPr>
      <w:r>
        <w:t xml:space="preserve">Reconciliation (оптимальне узгодження) [3] шукає когерентний прогноз, найближчий до</w:t>
      </w:r>
      <w:r>
        <w:t xml:space="preserve"> </w:t>
      </w:r>
      <w:r>
        <w:t xml:space="preserve">базових за узагальненим МНК:</w:t>
      </w:r>
    </w:p>
    <w:p>
      <w:pPr>
        <w:pStyle w:val="BodyText"/>
      </w:pPr>
      <m:oMathPara>
        <m:oMathParaPr>
          <m:jc m:val="center"/>
        </m:oMathParaPr>
        <m:oMath>
          <m:r>
            <m:t>G</m:t>
          </m:r>
          <m:r>
            <m:rPr>
              <m:sty m:val="p"/>
            </m:rPr>
            <m:t>=</m:t>
          </m:r>
          <m:r>
            <m:rPr>
              <m:sty m:val="p"/>
            </m:rPr>
            <m:t>(</m:t>
          </m:r>
          <m:sSup>
            <m:e>
              <m:r>
                <m:t>S</m:t>
              </m:r>
            </m:e>
            <m:sup>
              <m:r>
                <m:rPr>
                  <m:scr m:val="sans-serif"/>
                  <m:sty m:val="p"/>
                </m:rPr>
                <m:t>T</m:t>
              </m:r>
            </m:sup>
          </m:sSup>
          <m:sSup>
            <m:e>
              <m:r>
                <m:t>W</m:t>
              </m:r>
            </m:e>
            <m:sup>
              <m:r>
                <m:rPr>
                  <m:sty m:val="p"/>
                </m:rPr>
                <m:t>−</m:t>
              </m:r>
              <m:r>
                <m:t>1</m:t>
              </m:r>
            </m:sup>
          </m:sSup>
          <m:r>
            <m:t>S</m:t>
          </m:r>
          <m:sSup>
            <m:e>
              <m:r>
                <m:rPr>
                  <m:sty m:val="p"/>
                </m:rPr>
                <m:t>)</m:t>
              </m:r>
            </m:e>
            <m:sup>
              <m:r>
                <m:rPr>
                  <m:sty m:val="p"/>
                </m:rPr>
                <m:t>−</m:t>
              </m:r>
              <m:r>
                <m:t>1</m:t>
              </m:r>
            </m:sup>
          </m:sSup>
          <m:sSup>
            <m:e>
              <m:r>
                <m:t>S</m:t>
              </m:r>
            </m:e>
            <m:sup>
              <m:r>
                <m:rPr>
                  <m:scr m:val="sans-serif"/>
                  <m:sty m:val="p"/>
                </m:rPr>
                <m:t>T</m:t>
              </m:r>
            </m:sup>
          </m:sSup>
          <m:sSup>
            <m:e>
              <m:r>
                <m:t>W</m:t>
              </m:r>
            </m:e>
            <m:sup>
              <m:r>
                <m:rPr>
                  <m:sty m:val="p"/>
                </m:rPr>
                <m:t>−</m:t>
              </m:r>
              <m:r>
                <m:t>1</m:t>
              </m:r>
            </m:sup>
          </m:sSup>
        </m:oMath>
      </m:oMathPara>
    </w:p>
    <w:p>
      <w:pPr>
        <w:pStyle w:val="Compact"/>
        <w:numPr>
          <w:ilvl w:val="0"/>
          <w:numId w:val="1004"/>
        </w:numPr>
      </w:pPr>
      <w:r>
        <w:t xml:space="preserve">OLS:</w:t>
      </w:r>
      <w:r>
        <w:t xml:space="preserve"> </w:t>
      </w:r>
      <m:oMath>
        <m:r>
          <m:t>W</m:t>
        </m:r>
        <m:r>
          <m:rPr>
            <m:sty m:val="p"/>
          </m:rPr>
          <m:t>=</m:t>
        </m:r>
        <m:sSub>
          <m:e>
            <m:r>
              <m:t>I</m:t>
            </m:r>
          </m:e>
          <m:sub>
            <m:r>
              <m:t>n</m:t>
            </m:r>
          </m:sub>
        </m:sSub>
      </m:oMath>
      <w:r>
        <w:t xml:space="preserve">;</w:t>
      </w:r>
    </w:p>
    <w:p>
      <w:pPr>
        <w:pStyle w:val="Compact"/>
        <w:numPr>
          <w:ilvl w:val="0"/>
          <w:numId w:val="1004"/>
        </w:numPr>
      </w:pPr>
      <w:r>
        <w:t xml:space="preserve">WLS зі структурними вагами:</w:t>
      </w:r>
      <w:r>
        <w:t xml:space="preserve"> </w:t>
      </w:r>
      <m:oMath>
        <m:r>
          <m:t>W</m:t>
        </m:r>
        <m:r>
          <m:rPr>
            <m:sty m:val="p"/>
          </m:rPr>
          <m:t>=</m:t>
        </m:r>
        <m:r>
          <m:rPr>
            <m:nor/>
            <m:sty m:val="p"/>
          </m:rPr>
          <m:t>diag</m:t>
        </m:r>
        <m:r>
          <m:rPr>
            <m:sty m:val="p"/>
          </m:rPr>
          <m:t>(</m:t>
        </m:r>
        <m:r>
          <m:t>S</m:t>
        </m:r>
        <m:r>
          <m:rPr>
            <m:sty m:val="b"/>
          </m:rPr>
          <m:t>1</m:t>
        </m:r>
        <m:r>
          <m:rPr>
            <m:sty m:val="p"/>
          </m:rPr>
          <m:t>)</m:t>
        </m:r>
      </m:oMath>
      <w:r>
        <w:t xml:space="preserve">, вага вузла обернена до кількості листів у ньому;</w:t>
      </w:r>
    </w:p>
    <w:p>
      <w:pPr>
        <w:pStyle w:val="Compact"/>
        <w:numPr>
          <w:ilvl w:val="0"/>
          <w:numId w:val="1004"/>
        </w:numPr>
      </w:pPr>
      <w:r>
        <w:t xml:space="preserve">MinT:</w:t>
      </w:r>
      <w:r>
        <w:t xml:space="preserve"> </w:t>
      </w:r>
      <m:oMath>
        <m:r>
          <m:t>W</m:t>
        </m:r>
      </m:oMath>
      <w:r>
        <w:t xml:space="preserve"> </w:t>
      </w:r>
      <w:r>
        <w:t xml:space="preserve">– коваріація однокрокових залишків базових моделей. 75 рядів</w:t>
      </w:r>
      <w:r>
        <w:t xml:space="preserve"> </w:t>
      </w:r>
      <w:r>
        <w:t xml:space="preserve">за 33 роки дають вироджену вибіркову коваріацію</w:t>
      </w:r>
      <w:r>
        <w:t xml:space="preserve"> </w:t>
      </w:r>
      <m:oMath>
        <m:acc>
          <m:accPr>
            <m:chr m:val="̂"/>
          </m:accPr>
          <m:e>
            <m:r>
              <m:rPr>
                <m:sty m:val="p"/>
              </m:rPr>
              <m:t>Σ</m:t>
            </m:r>
          </m:e>
        </m:acc>
      </m:oMath>
      <w:r>
        <w:t xml:space="preserve">, тому вона</w:t>
      </w:r>
      <w:r>
        <w:t xml:space="preserve"> </w:t>
      </w:r>
      <w:r>
        <w:t xml:space="preserve">стискається до діагоналі:</w:t>
      </w:r>
      <w:r>
        <w:t xml:space="preserve"> </w:t>
      </w:r>
      <m:oMath>
        <m:r>
          <m:t>W</m:t>
        </m:r>
        <m:r>
          <m:rPr>
            <m:sty m:val="p"/>
          </m:rPr>
          <m:t>=</m:t>
        </m:r>
        <m:r>
          <m:t>λ</m:t>
        </m:r>
        <m:r>
          <m:t> </m:t>
        </m:r>
        <m:r>
          <m:rPr>
            <m:nor/>
            <m:sty m:val="p"/>
          </m:rPr>
          <m:t>diag</m:t>
        </m:r>
        <m:r>
          <m:rPr>
            <m:sty m:val="p"/>
          </m:rPr>
          <m:t>(</m:t>
        </m:r>
        <m:acc>
          <m:accPr>
            <m:chr m:val="̂"/>
          </m:accPr>
          <m:e>
            <m:r>
              <m:rPr>
                <m:sty m:val="p"/>
              </m:rPr>
              <m:t>Σ</m:t>
            </m:r>
          </m:e>
        </m:acc>
        <m:r>
          <m:rPr>
            <m:sty m:val="p"/>
          </m:rPr>
          <m:t>)</m:t>
        </m:r>
        <m:r>
          <m:rPr>
            <m:sty m:val="p"/>
          </m:rPr>
          <m:t>+</m:t>
        </m:r>
        <m:r>
          <m:rPr>
            <m:sty m:val="p"/>
          </m:rPr>
          <m:t>(</m:t>
        </m:r>
        <m:r>
          <m:t>1</m:t>
        </m:r>
        <m:r>
          <m:rPr>
            <m:sty m:val="p"/>
          </m:rPr>
          <m:t>−</m:t>
        </m:r>
        <m:r>
          <m:t>λ</m:t>
        </m:r>
        <m:r>
          <m:rPr>
            <m:sty m:val="p"/>
          </m:rPr>
          <m:t>)</m:t>
        </m:r>
        <m:acc>
          <m:accPr>
            <m:chr m:val="̂"/>
          </m:accPr>
          <m:e>
            <m:r>
              <m:rPr>
                <m:sty m:val="p"/>
              </m:rPr>
              <m:t>Σ</m:t>
            </m:r>
          </m:e>
        </m:acc>
      </m:oMath>
      <w:r>
        <w:t xml:space="preserve">,</w:t>
      </w:r>
      <w:r>
        <w:t xml:space="preserve"> </w:t>
      </w:r>
      <w:r>
        <w:t xml:space="preserve">де</w:t>
      </w:r>
      <w:r>
        <w:t xml:space="preserve"> </w:t>
      </w:r>
      <m:oMath>
        <m:r>
          <m:t>λ</m:t>
        </m:r>
      </m:oMath>
      <w:r>
        <w:t xml:space="preserve"> </w:t>
      </w:r>
      <w:r>
        <w:t xml:space="preserve">визначається за Шефером–Штріммером [4].</w:t>
      </w:r>
    </w:p>
    <w:p>
      <w:pPr>
        <w:pStyle w:val="FirstParagraph"/>
      </w:pPr>
      <w:r>
        <w:t xml:space="preserve">Для OLS, WLS, MinT і BU</w:t>
      </w:r>
      <w:r>
        <w:t xml:space="preserve"> </w:t>
      </w:r>
      <m:oMath>
        <m:r>
          <m:t>G</m:t>
        </m:r>
        <m:r>
          <m:t>S</m:t>
        </m:r>
        <m:r>
          <m:rPr>
            <m:sty m:val="p"/>
          </m:rPr>
          <m:t>=</m:t>
        </m:r>
        <m:sSub>
          <m:e>
            <m:r>
              <m:t>I</m:t>
            </m:r>
          </m:e>
          <m:sub>
            <m:r>
              <m:t>m</m:t>
            </m:r>
          </m:sub>
        </m:sSub>
      </m:oMath>
      <w:r>
        <w:t xml:space="preserve">: незміщені базові прогнози лишаються незміщеними.</w:t>
      </w:r>
      <w:r>
        <w:t xml:space="preserve"> </w:t>
      </w:r>
      <w:r>
        <w:t xml:space="preserve">Для top-down ця властивість не виконується.</w:t>
      </w:r>
    </w:p>
    <w:bookmarkEnd w:id="16"/>
    <w:bookmarkStart w:id="17" w:name="оцінювання-методів"/>
    <w:p>
      <w:pPr>
        <w:pStyle w:val="Heading3"/>
      </w:pPr>
      <w:r>
        <w:t xml:space="preserve">3.1.4. Оцінювання методів</w:t>
      </w:r>
    </w:p>
    <w:p>
      <w:pPr>
        <w:pStyle w:val="FirstParagraph"/>
      </w:pPr>
      <w:r>
        <w:t xml:space="preserve">Методи порівнюються ретроспективно з ковзним початком прогнозу: моделі навчаються на</w:t>
      </w:r>
      <w:r>
        <w:t xml:space="preserve"> </w:t>
      </w:r>
      <w:r>
        <w:t xml:space="preserve">даних до 2015, 2016, 2017 і 2018 року і прогнозують на 3 роки вперед. Усі старти лежать</w:t>
      </w:r>
      <w:r>
        <w:t xml:space="preserve"> </w:t>
      </w:r>
      <w:r>
        <w:t xml:space="preserve">після злому 2014 року, тож перевірка відповідає поточній структурі даних. Похибки</w:t>
      </w:r>
      <w:r>
        <w:t xml:space="preserve"> </w:t>
      </w:r>
      <w:r>
        <w:t xml:space="preserve">усереднюються за стартами, кроками і вузлами окремо для кожного рівня:</w:t>
      </w:r>
    </w:p>
    <w:p>
      <w:pPr>
        <w:pStyle w:val="BodyText"/>
      </w:pPr>
      <m:oMathPara>
        <m:oMathParaPr>
          <m:jc m:val="center"/>
        </m:oMathParaPr>
        <m:oMath>
          <m:r>
            <m:rPr>
              <m:nor/>
              <m:sty m:val="p"/>
            </m:rPr>
            <m:t>MAPE</m:t>
          </m:r>
          <m:r>
            <m:rPr>
              <m:sty m:val="p"/>
            </m:rPr>
            <m:t>=</m:t>
          </m:r>
          <m:f>
            <m:fPr>
              <m:type m:val="bar"/>
            </m:fPr>
            <m:num>
              <m:r>
                <m:t>100</m:t>
              </m:r>
            </m:num>
            <m:den>
              <m:r>
                <m:t>N</m:t>
              </m:r>
            </m:den>
          </m:f>
          <m:r>
            <m:rPr>
              <m:sty m:val="p"/>
            </m:rPr>
            <m:t>∑</m:t>
          </m:r>
          <m:f>
            <m:fPr>
              <m:type m:val="bar"/>
            </m:fPr>
            <m:num>
              <m:r>
                <m:rPr>
                  <m:sty m:val="p"/>
                </m:rPr>
                <m:t>|</m:t>
              </m:r>
              <m:acc>
                <m:accPr>
                  <m:chr m:val="̃"/>
                </m:accPr>
                <m:e>
                  <m:r>
                    <m:t>y</m:t>
                  </m:r>
                </m:e>
              </m:acc>
              <m:r>
                <m:rPr>
                  <m:sty m:val="p"/>
                </m:rPr>
                <m:t>−</m:t>
              </m:r>
              <m:r>
                <m:t>y</m:t>
              </m:r>
              <m:r>
                <m:rPr>
                  <m:sty m:val="p"/>
                </m:rPr>
                <m:t>|</m:t>
              </m:r>
            </m:num>
            <m:den>
              <m:r>
                <m:t>y</m:t>
              </m:r>
            </m:den>
          </m:f>
          <m:r>
            <m:rPr>
              <m:sty m:val="p"/>
            </m:rPr>
            <m:t>,</m:t>
          </m:r>
          <m:r>
            <m:t>  </m:t>
          </m:r>
          <m:r>
            <m:rPr>
              <m:nor/>
              <m:sty m:val="p"/>
            </m:rPr>
            <m:t>MASE</m:t>
          </m:r>
          <m:r>
            <m:rPr>
              <m:sty m:val="p"/>
            </m:rPr>
            <m:t>=</m:t>
          </m:r>
          <m:f>
            <m:fPr>
              <m:type m:val="bar"/>
            </m:fPr>
            <m:num>
              <m:r>
                <m:t>1</m:t>
              </m:r>
            </m:num>
            <m:den>
              <m:r>
                <m:t>N</m:t>
              </m:r>
            </m:den>
          </m:f>
          <m:r>
            <m:rPr>
              <m:sty m:val="p"/>
            </m:rPr>
            <m:t>∑</m:t>
          </m:r>
          <m:f>
            <m:fPr>
              <m:type m:val="bar"/>
            </m:fPr>
            <m:num>
              <m:r>
                <m:rPr>
                  <m:sty m:val="p"/>
                </m:rPr>
                <m:t>|</m:t>
              </m:r>
              <m:acc>
                <m:accPr>
                  <m:chr m:val="̃"/>
                </m:accPr>
                <m:e>
                  <m:r>
                    <m:t>y</m:t>
                  </m:r>
                </m:e>
              </m:acc>
              <m:r>
                <m:rPr>
                  <m:sty m:val="p"/>
                </m:rPr>
                <m:t>−</m:t>
              </m:r>
              <m:r>
                <m:t>y</m:t>
              </m:r>
              <m:r>
                <m:rPr>
                  <m:sty m:val="p"/>
                </m:rPr>
                <m:t>|</m:t>
              </m:r>
            </m:num>
            <m:den>
              <m:f>
                <m:fPr>
                  <m:type m:val="bar"/>
                </m:fPr>
                <m:num>
                  <m:r>
                    <m:t>1</m:t>
                  </m:r>
                </m:num>
                <m:den>
                  <m:r>
                    <m:t>T</m:t>
                  </m:r>
                  <m:r>
                    <m:rPr>
                      <m:sty m:val="p"/>
                    </m:rPr>
                    <m:t>−</m:t>
                  </m:r>
                  <m:r>
                    <m:t>1</m:t>
                  </m:r>
                </m:den>
              </m:f>
              <m:nary>
                <m:naryPr>
                  <m:chr m:val="∑"/>
                  <m:limLoc m:val="undOvr"/>
                  <m:subHide m:val="off"/>
                  <m:supHide m:val="on"/>
                </m:naryPr>
                <m:sub>
                  <m:r>
                    <m:t>t</m:t>
                  </m:r>
                </m:sub>
                <m:sup>
                  <m:r>
                    <m:t>​</m:t>
                  </m:r>
                </m:sup>
                <m:e>
                  <m:r>
                    <m:rPr>
                      <m:sty m:val="p"/>
                    </m:rPr>
                    <m:t>|</m:t>
                  </m:r>
                </m:e>
              </m:nary>
              <m:sSub>
                <m:e>
                  <m:r>
                    <m:t>y</m:t>
                  </m:r>
                </m:e>
                <m:sub>
                  <m:r>
                    <m:t>t</m:t>
                  </m:r>
                </m:sub>
              </m:sSub>
              <m:r>
                <m:rPr>
                  <m:sty m:val="p"/>
                </m:rPr>
                <m:t>−</m:t>
              </m:r>
              <m:sSub>
                <m:e>
                  <m:r>
                    <m:t>y</m:t>
                  </m:r>
                </m:e>
                <m:sub>
                  <m:r>
                    <m:t>t</m:t>
                  </m:r>
                  <m:r>
                    <m:rPr>
                      <m:sty m:val="p"/>
                    </m:rPr>
                    <m:t>−</m:t>
                  </m:r>
                  <m:r>
                    <m:t>1</m:t>
                  </m:r>
                </m:sub>
              </m:sSub>
              <m:r>
                <m:rPr>
                  <m:sty m:val="p"/>
                </m:rPr>
                <m:t>|</m:t>
              </m:r>
            </m:den>
          </m:f>
        </m:oMath>
      </m:oMathPara>
    </w:p>
    <w:p>
      <w:pPr>
        <w:pStyle w:val="FirstParagraph"/>
      </w:pPr>
      <w:r>
        <w:t xml:space="preserve">MASE нормує похибку на середню річну зміну ряду і порівнює вузли різного масштабу.</w:t>
      </w:r>
      <w:r>
        <w:t xml:space="preserve"> </w:t>
      </w:r>
      <w:r>
        <w:t xml:space="preserve">Оптимальним вважається метод з найменшою середньою MAPE трьох рівнів, взятих з</w:t>
      </w:r>
      <w:r>
        <w:t xml:space="preserve"> </w:t>
      </w:r>
      <w:r>
        <w:t xml:space="preserve">однаковою вагою.</w:t>
      </w:r>
    </w:p>
    <w:bookmarkEnd w:id="17"/>
    <w:bookmarkEnd w:id="18"/>
    <w:bookmarkStart w:id="22" w:name="блок-схема-алгоритму-та-її-опис"/>
    <w:p>
      <w:pPr>
        <w:pStyle w:val="Heading2"/>
      </w:pPr>
      <w:r>
        <w:t xml:space="preserve">3.2. Блок-схема алгоритму та її опис</w:t>
      </w:r>
    </w:p>
    <w:p>
      <w:pPr>
        <w:pStyle w:val="FigureImage"/>
      </w:pPr>
      <w:r>
        <w:drawing>
          <wp:inline>
            <wp:extent cx="4026554" cy="7919999"/>
            <wp:effectExtent b="0" l="0" r="0" t="0"/>
            <wp:docPr descr="Блок-схема алгоритму" title="" id="20" name="Picture"/>
            <a:graphic>
              <a:graphicData uri="http://schemas.openxmlformats.org/drawingml/2006/picture">
                <pic:pic>
                  <pic:nvPicPr>
                    <pic:cNvPr descr="assets/00_blockscheme.png" id="21" name="Picture"/>
                    <pic:cNvPicPr>
                      <a:picLocks noChangeArrowheads="1" noChangeAspect="1"/>
                    </pic:cNvPicPr>
                  </pic:nvPicPr>
                  <pic:blipFill>
                    <a:blip r:embed="rId19"/>
                    <a:stretch>
                      <a:fillRect/>
                    </a:stretch>
                  </pic:blipFill>
                  <pic:spPr bwMode="auto">
                    <a:xfrm>
                      <a:off x="0" y="0"/>
                      <a:ext cx="4026554" cy="7919999"/>
                    </a:xfrm>
                    <a:prstGeom prst="rect">
                      <a:avLst/>
                    </a:prstGeom>
                    <a:noFill/>
                    <a:ln w="9525">
                      <a:noFill/>
                      <a:headEnd/>
                      <a:tailEnd/>
                    </a:ln>
                  </pic:spPr>
                </pic:pic>
              </a:graphicData>
            </a:graphic>
          </wp:inline>
        </w:drawing>
      </w:r>
    </w:p>
    <w:p>
      <w:pPr>
        <w:pStyle w:val="FigureCaption"/>
      </w:pPr>
      <w:r>
        <w:t xml:space="preserve">Рисунок 1 – Блок-схема алгоритму програми</w:t>
      </w:r>
    </w:p>
    <w:p>
      <w:pPr>
        <w:pStyle w:val="BodyText"/>
      </w:pPr>
      <w:r>
        <w:t xml:space="preserve">Після парсингу і попереднього аналізу будуються дві ієрархії: дворівнева (області →</w:t>
      </w:r>
      <w:r>
        <w:t xml:space="preserve"> </w:t>
      </w:r>
      <w:r>
        <w:t xml:space="preserve">країна) і трирівнева (з типом місцевості). Для кожного старту ретроспективної перевірки</w:t>
      </w:r>
      <w:r>
        <w:t xml:space="preserve"> </w:t>
      </w:r>
      <w:r>
        <w:t xml:space="preserve">базові моделі навчаються заново, і їхні прогнози узгоджуються всіма методами. Найкращий</w:t>
      </w:r>
      <w:r>
        <w:t xml:space="preserve"> </w:t>
      </w:r>
      <w:r>
        <w:t xml:space="preserve">метод визначається за похибками на всіх стартах. Підсумковий прогноз будується з</w:t>
      </w:r>
      <w:r>
        <w:t xml:space="preserve"> </w:t>
      </w:r>
      <w:r>
        <w:t xml:space="preserve">повних даних. Верифікація перевіряє властивості методів і збіг з бібліотекою</w:t>
      </w:r>
      <w:r>
        <w:t xml:space="preserve"> </w:t>
      </w:r>
      <w:r>
        <w:t xml:space="preserve">scikit-hts [5].</w:t>
      </w:r>
    </w:p>
    <w:bookmarkEnd w:id="22"/>
    <w:bookmarkStart w:id="23" w:name="опис-структури-проекту-програми"/>
    <w:p>
      <w:pPr>
        <w:pStyle w:val="Heading2"/>
      </w:pPr>
      <w:r>
        <w:t xml:space="preserve">3.3. Опис структури проекту програми</w:t>
      </w:r>
    </w:p>
    <w:p>
      <w:pPr>
        <w:pStyle w:val="SourceCode"/>
        <w:ind w:left="1317" w:firstLine="0"/>
      </w:pPr>
      <w:r>
        <w:rPr>
          <w:rStyle w:val="VerbatimChar"/>
        </w:rPr>
        <w:t xml:space="preserve">project/</w:t>
      </w:r>
      <w:r>
        <w:br/>
      </w:r>
      <w:r>
        <w:rPr>
          <w:rStyle w:val="VerbatimChar"/>
        </w:rPr>
        <w:t xml:space="preserve">├── justfile         рецепти запуску та збірки звіту</w:t>
      </w:r>
      <w:r>
        <w:br/>
      </w:r>
      <w:r>
        <w:rPr>
          <w:rStyle w:val="VerbatimChar"/>
        </w:rPr>
        <w:t xml:space="preserve">├── pyproject.toml   залежності лабораторної роботи</w:t>
      </w:r>
      <w:r>
        <w:br/>
      </w:r>
      <w:r>
        <w:rPr>
          <w:rStyle w:val="VerbatimChar"/>
        </w:rPr>
        <w:t xml:space="preserve">├── data/            births.csv – відібрані ряди</w:t>
      </w:r>
      <w:r>
        <w:br/>
      </w:r>
      <w:r>
        <w:rPr>
          <w:rStyle w:val="VerbatimChar"/>
        </w:rPr>
        <w:t xml:space="preserve">├── out/             графіки, births_forecast.xlsx</w:t>
      </w:r>
      <w:r>
        <w:br/>
      </w:r>
      <w:r>
        <w:rPr>
          <w:rStyle w:val="VerbatimChar"/>
        </w:rPr>
        <w:t xml:space="preserve">└── src/</w:t>
      </w:r>
      <w:r>
        <w:br/>
      </w:r>
      <w:r>
        <w:rPr>
          <w:rStyle w:val="VerbatimChar"/>
        </w:rPr>
        <w:t xml:space="preserve">    ├── main.py        точка входу, етапи 1–4</w:t>
      </w:r>
      <w:r>
        <w:br/>
      </w:r>
      <w:r>
        <w:rPr>
          <w:rStyle w:val="VerbatimChar"/>
        </w:rPr>
        <w:t xml:space="preserve">    ├── loaders.py     парсинг датасету Держстату</w:t>
      </w:r>
      <w:r>
        <w:br/>
      </w:r>
      <w:r>
        <w:rPr>
          <w:rStyle w:val="VerbatimChar"/>
        </w:rPr>
        <w:t xml:space="preserve">    ├── analysis.py    попередній аналіз</w:t>
      </w:r>
      <w:r>
        <w:br/>
      </w:r>
      <w:r>
        <w:rPr>
          <w:rStyle w:val="VerbatimChar"/>
        </w:rPr>
        <w:t xml:space="preserve">    ├── hierarchy.py   вузли, рівні, матриця S</w:t>
      </w:r>
      <w:r>
        <w:br/>
      </w:r>
      <w:r>
        <w:rPr>
          <w:rStyle w:val="VerbatimChar"/>
        </w:rPr>
        <w:t xml:space="preserve">    ├── base.py        базові ETS-прогнози</w:t>
      </w:r>
      <w:r>
        <w:br/>
      </w:r>
      <w:r>
        <w:rPr>
          <w:rStyle w:val="VerbatimChar"/>
        </w:rPr>
        <w:t xml:space="preserve">    ├── reconcile.py   BU, TD, MO, OLS, WLS, MinT</w:t>
      </w:r>
      <w:r>
        <w:br/>
      </w:r>
      <w:r>
        <w:rPr>
          <w:rStyle w:val="VerbatimChar"/>
        </w:rPr>
        <w:t xml:space="preserve">    ├── evaluate.py    ретроспективна перевірка, прогноз</w:t>
      </w:r>
      <w:r>
        <w:br/>
      </w:r>
      <w:r>
        <w:rPr>
          <w:rStyle w:val="VerbatimChar"/>
        </w:rPr>
        <w:t xml:space="preserve">    ├── verify.py      верифікація методів</w:t>
      </w:r>
      <w:r>
        <w:br/>
      </w:r>
      <w:r>
        <w:rPr>
          <w:rStyle w:val="VerbatimChar"/>
        </w:rPr>
        <w:t xml:space="preserve">    ├── figures.py     графіки і таблиця xlsx</w:t>
      </w:r>
      <w:r>
        <w:br/>
      </w:r>
      <w:r>
        <w:rPr>
          <w:rStyle w:val="VerbatimChar"/>
        </w:rPr>
        <w:t xml:space="preserve">    └── plots.py       оформлення графіків</w:t>
      </w:r>
    </w:p>
    <w:p>
      <w:pPr>
        <w:pStyle w:val="FigureCaption"/>
      </w:pPr>
      <w:r>
        <w:t xml:space="preserve">Рисунок 2 – Структура проекту</w:t>
      </w:r>
    </w:p>
    <w:p>
      <w:pPr>
        <w:pStyle w:val="BodyText"/>
      </w:pPr>
      <w:r>
        <w:t xml:space="preserve">Методи в</w:t>
      </w:r>
      <w:r>
        <w:t xml:space="preserve"> </w:t>
      </w:r>
      <w:r>
        <w:rPr>
          <w:rStyle w:val="VerbatimChar"/>
        </w:rPr>
        <w:t xml:space="preserve">reconcile.py</w:t>
      </w:r>
      <w:r>
        <w:t xml:space="preserve"> </w:t>
      </w:r>
      <w:r>
        <w:t xml:space="preserve">не залежать від даних: кожен отримує ієрархію, базові</w:t>
      </w:r>
      <w:r>
        <w:t xml:space="preserve"> </w:t>
      </w:r>
      <w:r>
        <w:t xml:space="preserve">прогнози, залишки та історію і повертає прогноз нижнього рівня. Тому ті самі функції</w:t>
      </w:r>
      <w:r>
        <w:t xml:space="preserve"> </w:t>
      </w:r>
      <w:r>
        <w:t xml:space="preserve">працюють для дворівневої і трирівневої ієрархії. Бібліотека scikit-hts 0.5.12 з</w:t>
      </w:r>
      <w:r>
        <w:t xml:space="preserve"> </w:t>
      </w:r>
      <w:r>
        <w:t xml:space="preserve">сучасною версією pandas виконує лише BU, OLS і WLS: top-down завершується помилкою,</w:t>
      </w:r>
      <w:r>
        <w:t xml:space="preserve"> </w:t>
      </w:r>
      <w:r>
        <w:t xml:space="preserve">частки прогнозу дають нулі, а middle-out у ній немає. Тому всі методи реалізовано</w:t>
      </w:r>
      <w:r>
        <w:t xml:space="preserve"> </w:t>
      </w:r>
      <w:r>
        <w:t xml:space="preserve">матрично в numpy, а scikit-hts використано для звірки.</w:t>
      </w:r>
    </w:p>
    <w:p>
      <w:pPr>
        <w:pStyle w:val="BodyText"/>
      </w:pPr>
      <w:r>
        <w:t xml:space="preserve">Використані бібліотеки:</w:t>
      </w:r>
      <w:r>
        <w:t xml:space="preserve"> </w:t>
      </w:r>
      <w:r>
        <w:rPr>
          <w:rStyle w:val="VerbatimChar"/>
        </w:rPr>
        <w:t xml:space="preserve">pandas</w:t>
      </w:r>
      <w:r>
        <w:t xml:space="preserve"> </w:t>
      </w:r>
      <w:r>
        <w:t xml:space="preserve">– парсинг Excel і таблиці;</w:t>
      </w:r>
      <w:r>
        <w:t xml:space="preserve"> </w:t>
      </w:r>
      <w:r>
        <w:rPr>
          <w:rStyle w:val="VerbatimChar"/>
        </w:rPr>
        <w:t xml:space="preserve">numpy</w:t>
      </w:r>
      <w:r>
        <w:t xml:space="preserve"> </w:t>
      </w:r>
      <w:r>
        <w:t xml:space="preserve">– матриці</w:t>
      </w:r>
      <w:r>
        <w:t xml:space="preserve"> </w:t>
      </w:r>
      <w:r>
        <w:t xml:space="preserve">ієрархії й узгодження;</w:t>
      </w:r>
      <w:r>
        <w:t xml:space="preserve"> </w:t>
      </w:r>
      <w:r>
        <w:rPr>
          <w:rStyle w:val="VerbatimChar"/>
        </w:rPr>
        <w:t xml:space="preserve">statsmodels</w:t>
      </w:r>
      <w:r>
        <w:t xml:space="preserve"> </w:t>
      </w:r>
      <w:r>
        <w:t xml:space="preserve">– експоненційне згладжування;</w:t>
      </w:r>
      <w:r>
        <w:t xml:space="preserve"> </w:t>
      </w:r>
      <w:r>
        <w:rPr>
          <w:rStyle w:val="VerbatimChar"/>
        </w:rPr>
        <w:t xml:space="preserve">scikit-hts</w:t>
      </w:r>
      <w:r>
        <w:t xml:space="preserve"> </w:t>
      </w:r>
      <w:r>
        <w:t xml:space="preserve">–</w:t>
      </w:r>
      <w:r>
        <w:t xml:space="preserve"> </w:t>
      </w:r>
      <w:r>
        <w:t xml:space="preserve">контроль BU, OLS, WLS;</w:t>
      </w:r>
      <w:r>
        <w:t xml:space="preserve"> </w:t>
      </w:r>
      <w:r>
        <w:rPr>
          <w:rStyle w:val="VerbatimChar"/>
        </w:rPr>
        <w:t xml:space="preserve">matplotlib</w:t>
      </w:r>
      <w:r>
        <w:t xml:space="preserve"> </w:t>
      </w:r>
      <w:r>
        <w:t xml:space="preserve">– візуалізація;</w:t>
      </w:r>
      <w:r>
        <w:t xml:space="preserve"> </w:t>
      </w:r>
      <w:r>
        <w:rPr>
          <w:rStyle w:val="VerbatimChar"/>
        </w:rPr>
        <w:t xml:space="preserve">openpyxl</w:t>
      </w:r>
      <w:r>
        <w:t xml:space="preserve"> </w:t>
      </w:r>
      <w:r>
        <w:t xml:space="preserve">– файли Excel.</w:t>
      </w:r>
    </w:p>
    <w:bookmarkEnd w:id="23"/>
    <w:bookmarkStart w:id="51" w:name="результати-роботи-програми"/>
    <w:p>
      <w:pPr>
        <w:pStyle w:val="Heading2"/>
      </w:pPr>
      <w:r>
        <w:t xml:space="preserve">3.4. Результати роботи програми</w:t>
      </w:r>
    </w:p>
    <w:bookmarkStart w:id="30" w:name="етап-1.-парсинг-і-попередній-аналіз"/>
    <w:p>
      <w:pPr>
        <w:pStyle w:val="Heading3"/>
      </w:pPr>
      <w:r>
        <w:t xml:space="preserve">Етап 1. Парсинг і попередній аналіз</w:t>
      </w:r>
    </w:p>
    <w:p>
      <w:pPr>
        <w:pStyle w:val="FirstParagraph"/>
      </w:pPr>
      <w:r>
        <w:t xml:space="preserve">З 37 818 рядків файлу відібрано 2 688 значень: 28 територій, три типи місцевості,</w:t>
      </w:r>
      <w:r>
        <w:t xml:space="preserve"> </w:t>
      </w:r>
      <w:r>
        <w:t xml:space="preserve">1989–2021 роки. Значення за 2022 рік у файлі відсутні. Неповні ряди мають лише Крим</w:t>
      </w:r>
      <w:r>
        <w:t xml:space="preserve"> </w:t>
      </w:r>
      <w:r>
        <w:t xml:space="preserve">(25 років) і Севастополь (24 роки). Сума міської і сільської місцевості дорівнює</w:t>
      </w:r>
      <w:r>
        <w:t xml:space="preserve"> </w:t>
      </w:r>
      <w:r>
        <w:t xml:space="preserve">значенню області без розбіжностей. Офіційний ряд «Україна» до 2013 року відрізняється</w:t>
      </w:r>
      <w:r>
        <w:t xml:space="preserve"> </w:t>
      </w:r>
      <w:r>
        <w:t xml:space="preserve">від суми 25 регіонів рівно на Крим і Севастополь, а з 2014 року збігається з нею.</w:t>
      </w:r>
    </w:p>
    <w:p>
      <w:pPr>
        <w:pStyle w:val="FigureImage"/>
      </w:pPr>
      <w:r>
        <w:drawing>
          <wp:inline>
            <wp:extent cx="5930900" cy="1941021"/>
            <wp:effectExtent b="0" l="0" r="0" t="0"/>
            <wp:docPr descr="Живонароджені, Україна" title="" id="25" name="Picture"/>
            <a:graphic>
              <a:graphicData uri="http://schemas.openxmlformats.org/drawingml/2006/picture">
                <pic:pic>
                  <pic:nvPicPr>
                    <pic:cNvPr descr="assets/01_country.png" id="26" name="Picture"/>
                    <pic:cNvPicPr>
                      <a:picLocks noChangeArrowheads="1" noChangeAspect="1"/>
                    </pic:cNvPicPr>
                  </pic:nvPicPr>
                  <pic:blipFill>
                    <a:blip r:embed="rId24"/>
                    <a:stretch>
                      <a:fillRect/>
                    </a:stretch>
                  </pic:blipFill>
                  <pic:spPr bwMode="auto">
                    <a:xfrm>
                      <a:off x="0" y="0"/>
                      <a:ext cx="5930900" cy="1941021"/>
                    </a:xfrm>
                    <a:prstGeom prst="rect">
                      <a:avLst/>
                    </a:prstGeom>
                    <a:noFill/>
                    <a:ln w="9525">
                      <a:noFill/>
                      <a:headEnd/>
                      <a:tailEnd/>
                    </a:ln>
                  </pic:spPr>
                </pic:pic>
              </a:graphicData>
            </a:graphic>
          </wp:inline>
        </w:drawing>
      </w:r>
    </w:p>
    <w:p>
      <w:pPr>
        <w:pStyle w:val="FigureCaption"/>
      </w:pPr>
      <w:r>
        <w:t xml:space="preserve">Рисунок 3 – Кількість живонароджених в Україні і за типом місцевості</w:t>
      </w:r>
    </w:p>
    <w:p>
      <w:pPr>
        <w:pStyle w:val="BodyText"/>
      </w:pPr>
      <w:r>
        <w:t xml:space="preserve">Ряд країни має дві хвилі. Після 1989 року (657 тис.) народжуваність падала до мінімуму</w:t>
      </w:r>
      <w:r>
        <w:t xml:space="preserve"> </w:t>
      </w:r>
      <w:r>
        <w:t xml:space="preserve">2001 року (359 тис.), потім зростала до піку 2012 року (491 тис.). З 2014 року падіння</w:t>
      </w:r>
      <w:r>
        <w:t xml:space="preserve"> </w:t>
      </w:r>
      <w:r>
        <w:t xml:space="preserve">прискорилося, і у 2021 році народилося 272 тис. дітей, на 44,7 % менше, ніж на піку.</w:t>
      </w:r>
      <w:r>
        <w:t xml:space="preserve"> </w:t>
      </w:r>
      <w:r>
        <w:t xml:space="preserve">Частка міських народжень за весь період змінилася мало: 68,2 % у 1989 році і 64,4 % у 2021.</w:t>
      </w:r>
    </w:p>
    <w:p>
      <w:pPr>
        <w:pStyle w:val="FigureImage"/>
      </w:pPr>
      <w:r>
        <w:drawing>
          <wp:inline>
            <wp:extent cx="5930900" cy="4942416"/>
            <wp:effectExtent b="0" l="0" r="0" t="0"/>
            <wp:docPr descr="Області" title="" id="28" name="Picture"/>
            <a:graphic>
              <a:graphicData uri="http://schemas.openxmlformats.org/drawingml/2006/picture">
                <pic:pic>
                  <pic:nvPicPr>
                    <pic:cNvPr descr="assets/02_regions.png" id="29" name="Picture"/>
                    <pic:cNvPicPr>
                      <a:picLocks noChangeArrowheads="1" noChangeAspect="1"/>
                    </pic:cNvPicPr>
                  </pic:nvPicPr>
                  <pic:blipFill>
                    <a:blip r:embed="rId27"/>
                    <a:stretch>
                      <a:fillRect/>
                    </a:stretch>
                  </pic:blipFill>
                  <pic:spPr bwMode="auto">
                    <a:xfrm>
                      <a:off x="0" y="0"/>
                      <a:ext cx="5930900" cy="4942416"/>
                    </a:xfrm>
                    <a:prstGeom prst="rect">
                      <a:avLst/>
                    </a:prstGeom>
                    <a:noFill/>
                    <a:ln w="9525">
                      <a:noFill/>
                      <a:headEnd/>
                      <a:tailEnd/>
                    </a:ln>
                  </pic:spPr>
                </pic:pic>
              </a:graphicData>
            </a:graphic>
          </wp:inline>
        </w:drawing>
      </w:r>
    </w:p>
    <w:p>
      <w:pPr>
        <w:pStyle w:val="FigureCaption"/>
      </w:pPr>
      <w:r>
        <w:t xml:space="preserve">Рисунок 4 – Живонароджені за областями, міська і сільська місцевість</w:t>
      </w:r>
    </w:p>
    <w:p>
      <w:pPr>
        <w:pStyle w:val="BodyText"/>
      </w:pPr>
      <w:r>
        <w:t xml:space="preserve">Динаміка областей синхронна, але з двома винятками. У Луганській (–53,8 %) і Донецькій</w:t>
      </w:r>
      <w:r>
        <w:t xml:space="preserve"> </w:t>
      </w:r>
      <w:r>
        <w:t xml:space="preserve">(–52,4 %) областях у 2015 році стався злам: дані з тимчасово окупованих територій</w:t>
      </w:r>
      <w:r>
        <w:t xml:space="preserve"> </w:t>
      </w:r>
      <w:r>
        <w:t xml:space="preserve">більше не враховуються. Через це частка Донецької області у країні зменшилася з 8,7 %</w:t>
      </w:r>
      <w:r>
        <w:t xml:space="preserve"> </w:t>
      </w:r>
      <w:r>
        <w:t xml:space="preserve">(середня за 1989–2013) до 3,7 % у 2021 році, а частка Києва зросла з 5,6 % до 10,9 %.</w:t>
      </w:r>
      <w:r>
        <w:t xml:space="preserve"> </w:t>
      </w:r>
      <w:r>
        <w:t xml:space="preserve">За 2013–2021 роки народжуваність знизилася в усіх регіонах: від –11,1 % у Києві до</w:t>
      </w:r>
      <w:r>
        <w:t xml:space="preserve"> </w:t>
      </w:r>
      <w:r>
        <w:t xml:space="preserve">–83,7 % у Луганській області. На заході (Закарпатська, Волинська, Рівненська,</w:t>
      </w:r>
      <w:r>
        <w:t xml:space="preserve"> </w:t>
      </w:r>
      <w:r>
        <w:t xml:space="preserve">Чернівецька, Тернопільська, Івано-Франківська області) сільських народжень більше,</w:t>
      </w:r>
      <w:r>
        <w:t xml:space="preserve"> </w:t>
      </w:r>
      <w:r>
        <w:t xml:space="preserve">ніж міських. У решті областей переважають міські.</w:t>
      </w:r>
    </w:p>
    <w:bookmarkEnd w:id="30"/>
    <w:bookmarkStart w:id="37" w:name="етап-2.-ретроспективна-перевірка-методів"/>
    <w:p>
      <w:pPr>
        <w:pStyle w:val="Heading3"/>
      </w:pPr>
      <w:r>
        <w:t xml:space="preserve">Етап 2. Ретроспективна перевірка методів</w:t>
      </w:r>
    </w:p>
    <w:p>
      <w:pPr>
        <w:pStyle w:val="TableCaptionOwn"/>
        <w:keepNext/>
      </w:pPr>
      <w:r>
        <w:t xml:space="preserve">Таблиця 1 – MAPE методів, %, трирівнева ієрархія</w:t>
      </w:r>
    </w:p>
    <w:tbl>
      <w:tblPr>
        <w:tblStyle w:val="Table"/>
        <w:tblW w:type="pct" w:w="5000"/>
        <w:tblLook w:firstRow="1" w:lastRow="0" w:firstColumn="0" w:lastColumn="0" w:noHBand="0" w:noVBand="0" w:val="0020"/>
      </w:tblPr>
      <w:tblGrid>
        <w:gridCol w:w="1584"/>
        <w:gridCol w:w="1584"/>
        <w:gridCol w:w="1584"/>
        <w:gridCol w:w="1584"/>
        <w:gridCol w:w="1584"/>
      </w:tblGrid>
      <w:tr>
        <w:trPr>
          <w:cantSplit/>
          <w:tblHeader w:val="on"/>
        </w:trPr>
        <w:tc>
          <w:tcPr/>
          <w:p>
            <w:pPr>
              <w:pStyle w:val="Compact"/>
              <w:keepNext/>
              <w:jc w:val="center"/>
            </w:pPr>
            <w:r>
              <w:t xml:space="preserve">Метод</w:t>
            </w:r>
          </w:p>
        </w:tc>
        <w:tc>
          <w:tcPr/>
          <w:p>
            <w:pPr>
              <w:pStyle w:val="Compact"/>
              <w:keepNext/>
              <w:jc w:val="center"/>
            </w:pPr>
            <w:r>
              <w:t xml:space="preserve">Країна</w:t>
            </w:r>
          </w:p>
        </w:tc>
        <w:tc>
          <w:tcPr/>
          <w:p>
            <w:pPr>
              <w:pStyle w:val="Compact"/>
              <w:keepNext/>
              <w:jc w:val="center"/>
            </w:pPr>
            <w:r>
              <w:t xml:space="preserve">Область</w:t>
            </w:r>
          </w:p>
        </w:tc>
        <w:tc>
          <w:tcPr/>
          <w:p>
            <w:pPr>
              <w:pStyle w:val="Compact"/>
              <w:keepNext/>
              <w:jc w:val="center"/>
            </w:pPr>
            <w:r>
              <w:t xml:space="preserve">Місцевість</w:t>
            </w:r>
          </w:p>
        </w:tc>
        <w:tc>
          <w:tcPr/>
          <w:p>
            <w:pPr>
              <w:pStyle w:val="Compact"/>
              <w:keepNext/>
              <w:jc w:val="center"/>
            </w:pPr>
            <w:r>
              <w:t xml:space="preserve">Загалом</w:t>
            </w:r>
          </w:p>
        </w:tc>
      </w:tr>
      <w:tr>
        <w:trPr>
          <w:cantSplit/>
        </w:trPr>
        <w:tc>
          <w:tcPr/>
          <w:p>
            <w:pPr>
              <w:pStyle w:val="Compact"/>
              <w:keepNext/>
              <w:jc w:val="left"/>
            </w:pPr>
            <w:r>
              <w:t xml:space="preserve">base</w:t>
            </w:r>
          </w:p>
        </w:tc>
        <w:tc>
          <w:tcPr/>
          <w:p>
            <w:pPr>
              <w:pStyle w:val="Compact"/>
              <w:keepNext/>
              <w:jc w:val="left"/>
            </w:pPr>
            <w:r>
              <w:t xml:space="preserve">2,83</w:t>
            </w:r>
          </w:p>
        </w:tc>
        <w:tc>
          <w:tcPr/>
          <w:p>
            <w:pPr>
              <w:pStyle w:val="Compact"/>
              <w:keepNext/>
              <w:jc w:val="left"/>
            </w:pPr>
            <w:r>
              <w:t xml:space="preserve">9,33</w:t>
            </w:r>
          </w:p>
        </w:tc>
        <w:tc>
          <w:tcPr/>
          <w:p>
            <w:pPr>
              <w:pStyle w:val="Compact"/>
              <w:keepNext/>
              <w:jc w:val="left"/>
            </w:pPr>
            <w:r>
              <w:t xml:space="preserve">10,44</w:t>
            </w:r>
          </w:p>
        </w:tc>
        <w:tc>
          <w:tcPr/>
          <w:p>
            <w:pPr>
              <w:pStyle w:val="Compact"/>
              <w:keepNext/>
              <w:jc w:val="left"/>
            </w:pPr>
            <w:r>
              <w:t xml:space="preserve">7,53</w:t>
            </w:r>
          </w:p>
        </w:tc>
      </w:tr>
      <w:tr>
        <w:trPr>
          <w:cantSplit/>
        </w:trPr>
        <w:tc>
          <w:tcPr/>
          <w:p>
            <w:pPr>
              <w:pStyle w:val="Compact"/>
              <w:keepNext/>
              <w:jc w:val="left"/>
            </w:pPr>
            <w:r>
              <w:t xml:space="preserve">BU</w:t>
            </w:r>
          </w:p>
        </w:tc>
        <w:tc>
          <w:tcPr/>
          <w:p>
            <w:pPr>
              <w:pStyle w:val="Compact"/>
              <w:keepNext/>
              <w:jc w:val="left"/>
            </w:pPr>
            <w:r>
              <w:t xml:space="preserve">5,15</w:t>
            </w:r>
          </w:p>
        </w:tc>
        <w:tc>
          <w:tcPr/>
          <w:p>
            <w:pPr>
              <w:pStyle w:val="Compact"/>
              <w:keepNext/>
              <w:jc w:val="left"/>
            </w:pPr>
            <w:r>
              <w:t xml:space="preserve">10,27</w:t>
            </w:r>
          </w:p>
        </w:tc>
        <w:tc>
          <w:tcPr/>
          <w:p>
            <w:pPr>
              <w:pStyle w:val="Compact"/>
              <w:keepNext/>
              <w:jc w:val="left"/>
            </w:pPr>
            <w:r>
              <w:t xml:space="preserve">10,44</w:t>
            </w:r>
          </w:p>
        </w:tc>
        <w:tc>
          <w:tcPr/>
          <w:p>
            <w:pPr>
              <w:pStyle w:val="Compact"/>
              <w:keepNext/>
              <w:jc w:val="left"/>
            </w:pPr>
            <w:r>
              <w:t xml:space="preserve">8,62</w:t>
            </w:r>
          </w:p>
        </w:tc>
      </w:tr>
      <w:tr>
        <w:trPr>
          <w:cantSplit/>
        </w:trPr>
        <w:tc>
          <w:tcPr/>
          <w:p>
            <w:pPr>
              <w:pStyle w:val="Compact"/>
              <w:keepNext/>
              <w:jc w:val="left"/>
            </w:pPr>
            <w:r>
              <w:t xml:space="preserve">TD-AHP</w:t>
            </w:r>
          </w:p>
        </w:tc>
        <w:tc>
          <w:tcPr/>
          <w:p>
            <w:pPr>
              <w:pStyle w:val="Compact"/>
              <w:keepNext/>
              <w:jc w:val="left"/>
            </w:pPr>
            <w:r>
              <w:t xml:space="preserve">2,83</w:t>
            </w:r>
          </w:p>
        </w:tc>
        <w:tc>
          <w:tcPr/>
          <w:p>
            <w:pPr>
              <w:pStyle w:val="Compact"/>
              <w:keepNext/>
              <w:jc w:val="left"/>
            </w:pPr>
            <w:r>
              <w:t xml:space="preserve">19,25</w:t>
            </w:r>
          </w:p>
        </w:tc>
        <w:tc>
          <w:tcPr/>
          <w:p>
            <w:pPr>
              <w:pStyle w:val="Compact"/>
              <w:keepNext/>
              <w:jc w:val="left"/>
            </w:pPr>
            <w:r>
              <w:t xml:space="preserve">17,77</w:t>
            </w:r>
          </w:p>
        </w:tc>
        <w:tc>
          <w:tcPr/>
          <w:p>
            <w:pPr>
              <w:pStyle w:val="Compact"/>
              <w:keepNext/>
              <w:jc w:val="left"/>
            </w:pPr>
            <w:r>
              <w:t xml:space="preserve">13,28</w:t>
            </w:r>
          </w:p>
        </w:tc>
      </w:tr>
      <w:tr>
        <w:trPr>
          <w:cantSplit/>
        </w:trPr>
        <w:tc>
          <w:tcPr/>
          <w:p>
            <w:pPr>
              <w:pStyle w:val="Compact"/>
              <w:keepNext/>
              <w:jc w:val="left"/>
            </w:pPr>
            <w:r>
              <w:t xml:space="preserve">TD-PHA</w:t>
            </w:r>
          </w:p>
        </w:tc>
        <w:tc>
          <w:tcPr/>
          <w:p>
            <w:pPr>
              <w:pStyle w:val="Compact"/>
              <w:keepNext/>
              <w:jc w:val="left"/>
            </w:pPr>
            <w:r>
              <w:t xml:space="preserve">2,83</w:t>
            </w:r>
          </w:p>
        </w:tc>
        <w:tc>
          <w:tcPr/>
          <w:p>
            <w:pPr>
              <w:pStyle w:val="Compact"/>
              <w:keepNext/>
              <w:jc w:val="left"/>
            </w:pPr>
            <w:r>
              <w:t xml:space="preserve">19,82</w:t>
            </w:r>
          </w:p>
        </w:tc>
        <w:tc>
          <w:tcPr/>
          <w:p>
            <w:pPr>
              <w:pStyle w:val="Compact"/>
              <w:keepNext/>
              <w:jc w:val="left"/>
            </w:pPr>
            <w:r>
              <w:t xml:space="preserve">18,15</w:t>
            </w:r>
          </w:p>
        </w:tc>
        <w:tc>
          <w:tcPr/>
          <w:p>
            <w:pPr>
              <w:pStyle w:val="Compact"/>
              <w:keepNext/>
              <w:jc w:val="left"/>
            </w:pPr>
            <w:r>
              <w:t xml:space="preserve">13,60</w:t>
            </w:r>
          </w:p>
        </w:tc>
      </w:tr>
      <w:tr>
        <w:trPr>
          <w:cantSplit/>
        </w:trPr>
        <w:tc>
          <w:tcPr/>
          <w:p>
            <w:pPr>
              <w:pStyle w:val="Compact"/>
              <w:keepNext/>
              <w:jc w:val="left"/>
            </w:pPr>
            <w:r>
              <w:t xml:space="preserve">TD-FP</w:t>
            </w:r>
          </w:p>
        </w:tc>
        <w:tc>
          <w:tcPr/>
          <w:p>
            <w:pPr>
              <w:pStyle w:val="Compact"/>
              <w:keepNext/>
              <w:jc w:val="left"/>
            </w:pPr>
            <w:r>
              <w:t xml:space="preserve">2,83</w:t>
            </w:r>
          </w:p>
        </w:tc>
        <w:tc>
          <w:tcPr/>
          <w:p>
            <w:pPr>
              <w:pStyle w:val="Compact"/>
              <w:keepNext/>
              <w:jc w:val="left"/>
            </w:pPr>
            <w:r>
              <w:t xml:space="preserve">6,79</w:t>
            </w:r>
          </w:p>
        </w:tc>
        <w:tc>
          <w:tcPr/>
          <w:p>
            <w:pPr>
              <w:pStyle w:val="Compact"/>
              <w:keepNext/>
              <w:jc w:val="left"/>
            </w:pPr>
            <w:r>
              <w:t xml:space="preserve">7,47</w:t>
            </w:r>
          </w:p>
        </w:tc>
        <w:tc>
          <w:tcPr/>
          <w:p>
            <w:pPr>
              <w:pStyle w:val="Compact"/>
              <w:keepNext/>
              <w:jc w:val="left"/>
            </w:pPr>
            <w:r>
              <w:t xml:space="preserve">5,69</w:t>
            </w:r>
          </w:p>
        </w:tc>
      </w:tr>
      <w:tr>
        <w:trPr>
          <w:cantSplit/>
        </w:trPr>
        <w:tc>
          <w:tcPr/>
          <w:p>
            <w:pPr>
              <w:pStyle w:val="Compact"/>
              <w:keepNext/>
              <w:jc w:val="left"/>
            </w:pPr>
            <w:r>
              <w:t xml:space="preserve">MO</w:t>
            </w:r>
          </w:p>
        </w:tc>
        <w:tc>
          <w:tcPr/>
          <w:p>
            <w:pPr>
              <w:pStyle w:val="Compact"/>
              <w:keepNext/>
              <w:jc w:val="left"/>
            </w:pPr>
            <w:r>
              <w:t xml:space="preserve">4,15</w:t>
            </w:r>
          </w:p>
        </w:tc>
        <w:tc>
          <w:tcPr/>
          <w:p>
            <w:pPr>
              <w:pStyle w:val="Compact"/>
              <w:keepNext/>
              <w:jc w:val="left"/>
            </w:pPr>
            <w:r>
              <w:t xml:space="preserve">9,33</w:t>
            </w:r>
          </w:p>
        </w:tc>
        <w:tc>
          <w:tcPr/>
          <w:p>
            <w:pPr>
              <w:pStyle w:val="Compact"/>
              <w:keepNext/>
              <w:jc w:val="left"/>
            </w:pPr>
            <w:r>
              <w:t xml:space="preserve">9,69</w:t>
            </w:r>
          </w:p>
        </w:tc>
        <w:tc>
          <w:tcPr/>
          <w:p>
            <w:pPr>
              <w:pStyle w:val="Compact"/>
              <w:keepNext/>
              <w:jc w:val="left"/>
            </w:pPr>
            <w:r>
              <w:t xml:space="preserve">7,72</w:t>
            </w:r>
          </w:p>
        </w:tc>
      </w:tr>
      <w:tr>
        <w:trPr>
          <w:cantSplit/>
        </w:trPr>
        <w:tc>
          <w:tcPr/>
          <w:p>
            <w:pPr>
              <w:pStyle w:val="Compact"/>
              <w:keepNext/>
              <w:jc w:val="left"/>
            </w:pPr>
            <w:r>
              <w:t xml:space="preserve">OLS</w:t>
            </w:r>
          </w:p>
        </w:tc>
        <w:tc>
          <w:tcPr/>
          <w:p>
            <w:pPr>
              <w:pStyle w:val="Compact"/>
              <w:keepNext/>
              <w:jc w:val="left"/>
            </w:pPr>
            <w:r>
              <w:t xml:space="preserve">2,78</w:t>
            </w:r>
          </w:p>
        </w:tc>
        <w:tc>
          <w:tcPr/>
          <w:p>
            <w:pPr>
              <w:pStyle w:val="Compact"/>
              <w:keepNext/>
              <w:jc w:val="left"/>
            </w:pPr>
            <w:r>
              <w:t xml:space="preserve">7,12</w:t>
            </w:r>
          </w:p>
        </w:tc>
        <w:tc>
          <w:tcPr/>
          <w:p>
            <w:pPr>
              <w:pStyle w:val="Compact"/>
              <w:keepNext/>
              <w:jc w:val="left"/>
            </w:pPr>
            <w:r>
              <w:t xml:space="preserve">8,21</w:t>
            </w:r>
          </w:p>
        </w:tc>
        <w:tc>
          <w:tcPr/>
          <w:p>
            <w:pPr>
              <w:pStyle w:val="Compact"/>
              <w:keepNext/>
              <w:jc w:val="left"/>
            </w:pPr>
            <w:r>
              <w:t xml:space="preserve">6,03</w:t>
            </w:r>
          </w:p>
        </w:tc>
      </w:tr>
      <w:tr>
        <w:trPr>
          <w:cantSplit/>
        </w:trPr>
        <w:tc>
          <w:tcPr/>
          <w:p>
            <w:pPr>
              <w:pStyle w:val="Compact"/>
              <w:keepNext/>
              <w:jc w:val="left"/>
            </w:pPr>
            <w:r>
              <w:t xml:space="preserve">WLS</w:t>
            </w:r>
          </w:p>
        </w:tc>
        <w:tc>
          <w:tcPr/>
          <w:p>
            <w:pPr>
              <w:pStyle w:val="Compact"/>
              <w:keepNext/>
              <w:jc w:val="left"/>
            </w:pPr>
            <w:r>
              <w:t xml:space="preserve">3,28</w:t>
            </w:r>
          </w:p>
        </w:tc>
        <w:tc>
          <w:tcPr/>
          <w:p>
            <w:pPr>
              <w:pStyle w:val="Compact"/>
              <w:keepNext/>
              <w:jc w:val="left"/>
            </w:pPr>
            <w:r>
              <w:t xml:space="preserve">8,36</w:t>
            </w:r>
          </w:p>
        </w:tc>
        <w:tc>
          <w:tcPr/>
          <w:p>
            <w:pPr>
              <w:pStyle w:val="Compact"/>
              <w:keepNext/>
              <w:jc w:val="left"/>
            </w:pPr>
            <w:r>
              <w:t xml:space="preserve">8,76</w:t>
            </w:r>
          </w:p>
        </w:tc>
        <w:tc>
          <w:tcPr/>
          <w:p>
            <w:pPr>
              <w:pStyle w:val="Compact"/>
              <w:keepNext/>
              <w:jc w:val="left"/>
            </w:pPr>
            <w:r>
              <w:t xml:space="preserve">6,80</w:t>
            </w:r>
          </w:p>
        </w:tc>
      </w:tr>
      <w:tr>
        <w:trPr>
          <w:cantSplit/>
        </w:trPr>
        <w:tc>
          <w:tcPr/>
          <w:p>
            <w:pPr>
              <w:pStyle w:val="Compact"/>
              <w:jc w:val="left"/>
            </w:pPr>
            <w:r>
              <w:t xml:space="preserve">MinT</w:t>
            </w:r>
          </w:p>
        </w:tc>
        <w:tc>
          <w:tcPr/>
          <w:p>
            <w:pPr>
              <w:pStyle w:val="Compact"/>
              <w:jc w:val="left"/>
            </w:pPr>
            <w:r>
              <w:t xml:space="preserve">5,06</w:t>
            </w:r>
          </w:p>
        </w:tc>
        <w:tc>
          <w:tcPr/>
          <w:p>
            <w:pPr>
              <w:pStyle w:val="Compact"/>
              <w:jc w:val="left"/>
            </w:pPr>
            <w:r>
              <w:t xml:space="preserve">9,04</w:t>
            </w:r>
          </w:p>
        </w:tc>
        <w:tc>
          <w:tcPr/>
          <w:p>
            <w:pPr>
              <w:pStyle w:val="Compact"/>
              <w:jc w:val="left"/>
            </w:pPr>
            <w:r>
              <w:t xml:space="preserve">8,95</w:t>
            </w:r>
          </w:p>
        </w:tc>
        <w:tc>
          <w:tcPr/>
          <w:p>
            <w:pPr>
              <w:pStyle w:val="Compact"/>
              <w:jc w:val="left"/>
            </w:pPr>
            <w:r>
              <w:t xml:space="preserve">7,68</w:t>
            </w:r>
          </w:p>
        </w:tc>
      </w:tr>
    </w:tbl>
    <w:p>
      <w:pPr>
        <w:pStyle w:val="TableCaptionOwn"/>
        <w:keepNext/>
        <w:spacing w:before="420"/>
      </w:pPr>
      <w:r>
        <w:t xml:space="preserve">Таблиця 2 – MASE методів, трирівнева ієрархія</w:t>
      </w:r>
    </w:p>
    <w:tbl>
      <w:tblPr>
        <w:tblStyle w:val="Table"/>
        <w:tblW w:type="pct" w:w="5000"/>
        <w:tblLook w:firstRow="1" w:lastRow="0" w:firstColumn="0" w:lastColumn="0" w:noHBand="0" w:noVBand="0" w:val="0020"/>
      </w:tblPr>
      <w:tblGrid>
        <w:gridCol w:w="1584"/>
        <w:gridCol w:w="1584"/>
        <w:gridCol w:w="1584"/>
        <w:gridCol w:w="1584"/>
        <w:gridCol w:w="1584"/>
      </w:tblGrid>
      <w:tr>
        <w:trPr>
          <w:cantSplit/>
          <w:tblHeader w:val="on"/>
        </w:trPr>
        <w:tc>
          <w:tcPr/>
          <w:p>
            <w:pPr>
              <w:pStyle w:val="Compact"/>
              <w:keepNext/>
              <w:jc w:val="center"/>
            </w:pPr>
            <w:r>
              <w:t xml:space="preserve">Метод</w:t>
            </w:r>
          </w:p>
        </w:tc>
        <w:tc>
          <w:tcPr/>
          <w:p>
            <w:pPr>
              <w:pStyle w:val="Compact"/>
              <w:keepNext/>
              <w:jc w:val="center"/>
            </w:pPr>
            <w:r>
              <w:t xml:space="preserve">Країна</w:t>
            </w:r>
          </w:p>
        </w:tc>
        <w:tc>
          <w:tcPr/>
          <w:p>
            <w:pPr>
              <w:pStyle w:val="Compact"/>
              <w:keepNext/>
              <w:jc w:val="center"/>
            </w:pPr>
            <w:r>
              <w:t xml:space="preserve">Область</w:t>
            </w:r>
          </w:p>
        </w:tc>
        <w:tc>
          <w:tcPr/>
          <w:p>
            <w:pPr>
              <w:pStyle w:val="Compact"/>
              <w:keepNext/>
              <w:jc w:val="center"/>
            </w:pPr>
            <w:r>
              <w:t xml:space="preserve">Місцевість</w:t>
            </w:r>
          </w:p>
        </w:tc>
        <w:tc>
          <w:tcPr/>
          <w:p>
            <w:pPr>
              <w:pStyle w:val="Compact"/>
              <w:keepNext/>
              <w:jc w:val="center"/>
            </w:pPr>
            <w:r>
              <w:t xml:space="preserve">Загалом</w:t>
            </w:r>
          </w:p>
        </w:tc>
      </w:tr>
      <w:tr>
        <w:trPr>
          <w:cantSplit/>
        </w:trPr>
        <w:tc>
          <w:tcPr/>
          <w:p>
            <w:pPr>
              <w:pStyle w:val="Compact"/>
              <w:keepNext/>
              <w:jc w:val="left"/>
            </w:pPr>
            <w:r>
              <w:t xml:space="preserve">base</w:t>
            </w:r>
          </w:p>
        </w:tc>
        <w:tc>
          <w:tcPr/>
          <w:p>
            <w:pPr>
              <w:pStyle w:val="Compact"/>
              <w:keepNext/>
              <w:jc w:val="left"/>
            </w:pPr>
            <w:r>
              <w:t xml:space="preserve">0,45</w:t>
            </w:r>
          </w:p>
        </w:tc>
        <w:tc>
          <w:tcPr/>
          <w:p>
            <w:pPr>
              <w:pStyle w:val="Compact"/>
              <w:keepNext/>
              <w:jc w:val="left"/>
            </w:pPr>
            <w:r>
              <w:t xml:space="preserve">1,20</w:t>
            </w:r>
          </w:p>
        </w:tc>
        <w:tc>
          <w:tcPr/>
          <w:p>
            <w:pPr>
              <w:pStyle w:val="Compact"/>
              <w:keepNext/>
              <w:jc w:val="left"/>
            </w:pPr>
            <w:r>
              <w:t xml:space="preserve">1,39</w:t>
            </w:r>
          </w:p>
        </w:tc>
        <w:tc>
          <w:tcPr/>
          <w:p>
            <w:pPr>
              <w:pStyle w:val="Compact"/>
              <w:keepNext/>
              <w:jc w:val="left"/>
            </w:pPr>
            <w:r>
              <w:t xml:space="preserve">1,01</w:t>
            </w:r>
          </w:p>
        </w:tc>
      </w:tr>
      <w:tr>
        <w:trPr>
          <w:cantSplit/>
        </w:trPr>
        <w:tc>
          <w:tcPr/>
          <w:p>
            <w:pPr>
              <w:pStyle w:val="Compact"/>
              <w:keepNext/>
              <w:jc w:val="left"/>
            </w:pPr>
            <w:r>
              <w:t xml:space="preserve">BU</w:t>
            </w:r>
          </w:p>
        </w:tc>
        <w:tc>
          <w:tcPr/>
          <w:p>
            <w:pPr>
              <w:pStyle w:val="Compact"/>
              <w:keepNext/>
              <w:jc w:val="left"/>
            </w:pPr>
            <w:r>
              <w:t xml:space="preserve">0,81</w:t>
            </w:r>
          </w:p>
        </w:tc>
        <w:tc>
          <w:tcPr/>
          <w:p>
            <w:pPr>
              <w:pStyle w:val="Compact"/>
              <w:keepNext/>
              <w:jc w:val="left"/>
            </w:pPr>
            <w:r>
              <w:t xml:space="preserve">1,36</w:t>
            </w:r>
          </w:p>
        </w:tc>
        <w:tc>
          <w:tcPr/>
          <w:p>
            <w:pPr>
              <w:pStyle w:val="Compact"/>
              <w:keepNext/>
              <w:jc w:val="left"/>
            </w:pPr>
            <w:r>
              <w:t xml:space="preserve">1,39</w:t>
            </w:r>
          </w:p>
        </w:tc>
        <w:tc>
          <w:tcPr/>
          <w:p>
            <w:pPr>
              <w:pStyle w:val="Compact"/>
              <w:keepNext/>
              <w:jc w:val="left"/>
            </w:pPr>
            <w:r>
              <w:t xml:space="preserve">1,19</w:t>
            </w:r>
          </w:p>
        </w:tc>
      </w:tr>
      <w:tr>
        <w:trPr>
          <w:cantSplit/>
        </w:trPr>
        <w:tc>
          <w:tcPr/>
          <w:p>
            <w:pPr>
              <w:pStyle w:val="Compact"/>
              <w:keepNext/>
              <w:jc w:val="left"/>
            </w:pPr>
            <w:r>
              <w:t xml:space="preserve">TD-AHP</w:t>
            </w:r>
          </w:p>
        </w:tc>
        <w:tc>
          <w:tcPr/>
          <w:p>
            <w:pPr>
              <w:pStyle w:val="Compact"/>
              <w:keepNext/>
              <w:jc w:val="left"/>
            </w:pPr>
            <w:r>
              <w:t xml:space="preserve">0,45</w:t>
            </w:r>
          </w:p>
        </w:tc>
        <w:tc>
          <w:tcPr/>
          <w:p>
            <w:pPr>
              <w:pStyle w:val="Compact"/>
              <w:keepNext/>
              <w:jc w:val="left"/>
            </w:pPr>
            <w:r>
              <w:t xml:space="preserve">2,01</w:t>
            </w:r>
          </w:p>
        </w:tc>
        <w:tc>
          <w:tcPr/>
          <w:p>
            <w:pPr>
              <w:pStyle w:val="Compact"/>
              <w:keepNext/>
              <w:jc w:val="left"/>
            </w:pPr>
            <w:r>
              <w:t xml:space="preserve">1,91</w:t>
            </w:r>
          </w:p>
        </w:tc>
        <w:tc>
          <w:tcPr/>
          <w:p>
            <w:pPr>
              <w:pStyle w:val="Compact"/>
              <w:keepNext/>
              <w:jc w:val="left"/>
            </w:pPr>
            <w:r>
              <w:t xml:space="preserve">1,46</w:t>
            </w:r>
          </w:p>
        </w:tc>
      </w:tr>
      <w:tr>
        <w:trPr>
          <w:cantSplit/>
        </w:trPr>
        <w:tc>
          <w:tcPr/>
          <w:p>
            <w:pPr>
              <w:pStyle w:val="Compact"/>
              <w:keepNext/>
              <w:jc w:val="left"/>
            </w:pPr>
            <w:r>
              <w:t xml:space="preserve">TD-PHA</w:t>
            </w:r>
          </w:p>
        </w:tc>
        <w:tc>
          <w:tcPr/>
          <w:p>
            <w:pPr>
              <w:pStyle w:val="Compact"/>
              <w:keepNext/>
              <w:jc w:val="left"/>
            </w:pPr>
            <w:r>
              <w:t xml:space="preserve">0,45</w:t>
            </w:r>
          </w:p>
        </w:tc>
        <w:tc>
          <w:tcPr/>
          <w:p>
            <w:pPr>
              <w:pStyle w:val="Compact"/>
              <w:keepNext/>
              <w:jc w:val="left"/>
            </w:pPr>
            <w:r>
              <w:t xml:space="preserve">2,07</w:t>
            </w:r>
          </w:p>
        </w:tc>
        <w:tc>
          <w:tcPr/>
          <w:p>
            <w:pPr>
              <w:pStyle w:val="Compact"/>
              <w:keepNext/>
              <w:jc w:val="left"/>
            </w:pPr>
            <w:r>
              <w:t xml:space="preserve">1,94</w:t>
            </w:r>
          </w:p>
        </w:tc>
        <w:tc>
          <w:tcPr/>
          <w:p>
            <w:pPr>
              <w:pStyle w:val="Compact"/>
              <w:keepNext/>
              <w:jc w:val="left"/>
            </w:pPr>
            <w:r>
              <w:t xml:space="preserve">1,49</w:t>
            </w:r>
          </w:p>
        </w:tc>
      </w:tr>
      <w:tr>
        <w:trPr>
          <w:cantSplit/>
        </w:trPr>
        <w:tc>
          <w:tcPr/>
          <w:p>
            <w:pPr>
              <w:pStyle w:val="Compact"/>
              <w:keepNext/>
              <w:jc w:val="left"/>
            </w:pPr>
            <w:r>
              <w:t xml:space="preserve">TD-FP</w:t>
            </w:r>
          </w:p>
        </w:tc>
        <w:tc>
          <w:tcPr/>
          <w:p>
            <w:pPr>
              <w:pStyle w:val="Compact"/>
              <w:keepNext/>
              <w:jc w:val="left"/>
            </w:pPr>
            <w:r>
              <w:t xml:space="preserve">0,45</w:t>
            </w:r>
          </w:p>
        </w:tc>
        <w:tc>
          <w:tcPr/>
          <w:p>
            <w:pPr>
              <w:pStyle w:val="Compact"/>
              <w:keepNext/>
              <w:jc w:val="left"/>
            </w:pPr>
            <w:r>
              <w:t xml:space="preserve">0,77</w:t>
            </w:r>
          </w:p>
        </w:tc>
        <w:tc>
          <w:tcPr/>
          <w:p>
            <w:pPr>
              <w:pStyle w:val="Compact"/>
              <w:keepNext/>
              <w:jc w:val="left"/>
            </w:pPr>
            <w:r>
              <w:t xml:space="preserve">0,89</w:t>
            </w:r>
          </w:p>
        </w:tc>
        <w:tc>
          <w:tcPr/>
          <w:p>
            <w:pPr>
              <w:pStyle w:val="Compact"/>
              <w:keepNext/>
              <w:jc w:val="left"/>
            </w:pPr>
            <w:r>
              <w:t xml:space="preserve">0,70</w:t>
            </w:r>
          </w:p>
        </w:tc>
      </w:tr>
      <w:tr>
        <w:trPr>
          <w:cantSplit/>
        </w:trPr>
        <w:tc>
          <w:tcPr/>
          <w:p>
            <w:pPr>
              <w:pStyle w:val="Compact"/>
              <w:keepNext/>
              <w:jc w:val="left"/>
            </w:pPr>
            <w:r>
              <w:t xml:space="preserve">MO</w:t>
            </w:r>
          </w:p>
        </w:tc>
        <w:tc>
          <w:tcPr/>
          <w:p>
            <w:pPr>
              <w:pStyle w:val="Compact"/>
              <w:keepNext/>
              <w:jc w:val="left"/>
            </w:pPr>
            <w:r>
              <w:t xml:space="preserve">0,65</w:t>
            </w:r>
          </w:p>
        </w:tc>
        <w:tc>
          <w:tcPr/>
          <w:p>
            <w:pPr>
              <w:pStyle w:val="Compact"/>
              <w:keepNext/>
              <w:jc w:val="left"/>
            </w:pPr>
            <w:r>
              <w:t xml:space="preserve">1,20</w:t>
            </w:r>
          </w:p>
        </w:tc>
        <w:tc>
          <w:tcPr/>
          <w:p>
            <w:pPr>
              <w:pStyle w:val="Compact"/>
              <w:keepNext/>
              <w:jc w:val="left"/>
            </w:pPr>
            <w:r>
              <w:t xml:space="preserve">1,27</w:t>
            </w:r>
          </w:p>
        </w:tc>
        <w:tc>
          <w:tcPr/>
          <w:p>
            <w:pPr>
              <w:pStyle w:val="Compact"/>
              <w:keepNext/>
              <w:jc w:val="left"/>
            </w:pPr>
            <w:r>
              <w:t xml:space="preserve">1,04</w:t>
            </w:r>
          </w:p>
        </w:tc>
      </w:tr>
      <w:tr>
        <w:trPr>
          <w:cantSplit/>
        </w:trPr>
        <w:tc>
          <w:tcPr/>
          <w:p>
            <w:pPr>
              <w:pStyle w:val="Compact"/>
              <w:keepNext/>
              <w:jc w:val="left"/>
            </w:pPr>
            <w:r>
              <w:t xml:space="preserve">OLS</w:t>
            </w:r>
          </w:p>
        </w:tc>
        <w:tc>
          <w:tcPr/>
          <w:p>
            <w:pPr>
              <w:pStyle w:val="Compact"/>
              <w:keepNext/>
              <w:jc w:val="left"/>
            </w:pPr>
            <w:r>
              <w:t xml:space="preserve">0,44</w:t>
            </w:r>
          </w:p>
        </w:tc>
        <w:tc>
          <w:tcPr/>
          <w:p>
            <w:pPr>
              <w:pStyle w:val="Compact"/>
              <w:keepNext/>
              <w:jc w:val="left"/>
            </w:pPr>
            <w:r>
              <w:t xml:space="preserve">0,80</w:t>
            </w:r>
          </w:p>
        </w:tc>
        <w:tc>
          <w:tcPr/>
          <w:p>
            <w:pPr>
              <w:pStyle w:val="Compact"/>
              <w:keepNext/>
              <w:jc w:val="left"/>
            </w:pPr>
            <w:r>
              <w:t xml:space="preserve">0,98</w:t>
            </w:r>
          </w:p>
        </w:tc>
        <w:tc>
          <w:tcPr/>
          <w:p>
            <w:pPr>
              <w:pStyle w:val="Compact"/>
              <w:keepNext/>
              <w:jc w:val="left"/>
            </w:pPr>
            <w:r>
              <w:t xml:space="preserve">0,74</w:t>
            </w:r>
          </w:p>
        </w:tc>
      </w:tr>
      <w:tr>
        <w:trPr>
          <w:cantSplit/>
        </w:trPr>
        <w:tc>
          <w:tcPr/>
          <w:p>
            <w:pPr>
              <w:pStyle w:val="Compact"/>
              <w:keepNext/>
              <w:jc w:val="left"/>
            </w:pPr>
            <w:r>
              <w:t xml:space="preserve">WLS</w:t>
            </w:r>
          </w:p>
        </w:tc>
        <w:tc>
          <w:tcPr/>
          <w:p>
            <w:pPr>
              <w:pStyle w:val="Compact"/>
              <w:keepNext/>
              <w:jc w:val="left"/>
            </w:pPr>
            <w:r>
              <w:t xml:space="preserve">0,52</w:t>
            </w:r>
          </w:p>
        </w:tc>
        <w:tc>
          <w:tcPr/>
          <w:p>
            <w:pPr>
              <w:pStyle w:val="Compact"/>
              <w:keepNext/>
              <w:jc w:val="left"/>
            </w:pPr>
            <w:r>
              <w:t xml:space="preserve">1,03</w:t>
            </w:r>
          </w:p>
        </w:tc>
        <w:tc>
          <w:tcPr/>
          <w:p>
            <w:pPr>
              <w:pStyle w:val="Compact"/>
              <w:keepNext/>
              <w:jc w:val="left"/>
            </w:pPr>
            <w:r>
              <w:t xml:space="preserve">1,11</w:t>
            </w:r>
          </w:p>
        </w:tc>
        <w:tc>
          <w:tcPr/>
          <w:p>
            <w:pPr>
              <w:pStyle w:val="Compact"/>
              <w:keepNext/>
              <w:jc w:val="left"/>
            </w:pPr>
            <w:r>
              <w:t xml:space="preserve">0,89</w:t>
            </w:r>
          </w:p>
        </w:tc>
      </w:tr>
      <w:tr>
        <w:trPr>
          <w:cantSplit/>
        </w:trPr>
        <w:tc>
          <w:tcPr/>
          <w:p>
            <w:pPr>
              <w:pStyle w:val="Compact"/>
              <w:jc w:val="left"/>
            </w:pPr>
            <w:r>
              <w:t xml:space="preserve">MinT</w:t>
            </w:r>
          </w:p>
        </w:tc>
        <w:tc>
          <w:tcPr/>
          <w:p>
            <w:pPr>
              <w:pStyle w:val="Compact"/>
              <w:jc w:val="left"/>
            </w:pPr>
            <w:r>
              <w:t xml:space="preserve">0,80</w:t>
            </w:r>
          </w:p>
        </w:tc>
        <w:tc>
          <w:tcPr/>
          <w:p>
            <w:pPr>
              <w:pStyle w:val="Compact"/>
              <w:jc w:val="left"/>
            </w:pPr>
            <w:r>
              <w:t xml:space="preserve">1,28</w:t>
            </w:r>
          </w:p>
        </w:tc>
        <w:tc>
          <w:tcPr/>
          <w:p>
            <w:pPr>
              <w:pStyle w:val="Compact"/>
              <w:jc w:val="left"/>
            </w:pPr>
            <w:r>
              <w:t xml:space="preserve">1,24</w:t>
            </w:r>
          </w:p>
        </w:tc>
        <w:tc>
          <w:tcPr/>
          <w:p>
            <w:pPr>
              <w:pStyle w:val="Compact"/>
              <w:jc w:val="left"/>
            </w:pPr>
            <w:r>
              <w:t xml:space="preserve">1,10</w:t>
            </w:r>
          </w:p>
        </w:tc>
      </w:tr>
    </w:tbl>
    <w:p>
      <w:pPr>
        <w:pStyle w:val="FigureImage"/>
        <w:spacing w:before="420"/>
      </w:pPr>
      <w:r>
        <w:drawing>
          <wp:inline>
            <wp:extent cx="5930900" cy="2264525"/>
            <wp:effectExtent b="0" l="0" r="0" t="0"/>
            <wp:docPr descr="MAPE методів" title="" id="32" name="Picture"/>
            <a:graphic>
              <a:graphicData uri="http://schemas.openxmlformats.org/drawingml/2006/picture">
                <pic:pic>
                  <pic:nvPicPr>
                    <pic:cNvPr descr="assets/04_backtest.png" id="33" name="Picture"/>
                    <pic:cNvPicPr>
                      <a:picLocks noChangeArrowheads="1" noChangeAspect="1"/>
                    </pic:cNvPicPr>
                  </pic:nvPicPr>
                  <pic:blipFill>
                    <a:blip r:embed="rId31"/>
                    <a:stretch>
                      <a:fillRect/>
                    </a:stretch>
                  </pic:blipFill>
                  <pic:spPr bwMode="auto">
                    <a:xfrm>
                      <a:off x="0" y="0"/>
                      <a:ext cx="5930900" cy="2264525"/>
                    </a:xfrm>
                    <a:prstGeom prst="rect">
                      <a:avLst/>
                    </a:prstGeom>
                    <a:noFill/>
                    <a:ln w="9525">
                      <a:noFill/>
                      <a:headEnd/>
                      <a:tailEnd/>
                    </a:ln>
                  </pic:spPr>
                </pic:pic>
              </a:graphicData>
            </a:graphic>
          </wp:inline>
        </w:drawing>
      </w:r>
    </w:p>
    <w:p>
      <w:pPr>
        <w:pStyle w:val="FigureCaption"/>
      </w:pPr>
      <w:r>
        <w:t xml:space="preserve">Рисунок 5 – MAPE методів за рівнями для дворівневої і трирівневої ієрархії</w:t>
      </w:r>
    </w:p>
    <w:p>
      <w:pPr>
        <w:pStyle w:val="BodyText"/>
      </w:pPr>
      <w:r>
        <w:t xml:space="preserve">У дворівневій ієрархії порядок методів такий самий: TD-FP (4,81 %), OLS (5,07 %),</w:t>
      </w:r>
      <w:r>
        <w:t xml:space="preserve"> </w:t>
      </w:r>
      <w:r>
        <w:t xml:space="preserve">WLS (5,18 %), base (6,08 %), MinT (6,18 %), BU (6,74 %), TD-AHP і TD-PHA (11,0–11,3 %).</w:t>
      </w:r>
      <w:r>
        <w:t xml:space="preserve"> </w:t>
      </w:r>
      <w:r>
        <w:t xml:space="preserve">Найточніший базовий прогноз має ряд країни (MAPE 2,83 %). Агрегат згладжує випадкові</w:t>
      </w:r>
      <w:r>
        <w:t xml:space="preserve"> </w:t>
      </w:r>
      <w:r>
        <w:t xml:space="preserve">коливання областей, і його тренд стабільніший. Усі top-down методи зберігають цей</w:t>
      </w:r>
      <w:r>
        <w:t xml:space="preserve"> </w:t>
      </w:r>
      <w:r>
        <w:t xml:space="preserve">прогноз на верхньому рівні. BU сумує 49 прогнозів нижнього рівня з власними трендами,</w:t>
      </w:r>
      <w:r>
        <w:t xml:space="preserve"> </w:t>
      </w:r>
      <w:r>
        <w:t xml:space="preserve">і на рівні країни його похибка майже вдвічі більша.</w:t>
      </w:r>
    </w:p>
    <w:p>
      <w:pPr>
        <w:pStyle w:val="BodyText"/>
      </w:pPr>
      <w:r>
        <w:t xml:space="preserve">Top-down з історичними частками (AHP, PHA) дає найбільші похибки на нижніх рівнях –</w:t>
      </w:r>
      <w:r>
        <w:t xml:space="preserve"> </w:t>
      </w:r>
      <w:r>
        <w:t xml:space="preserve">19–20 %. Частки, усереднені за 1989–2018 роки, не враховують злому 2014 року. Донецькій</w:t>
      </w:r>
      <w:r>
        <w:t xml:space="preserve"> </w:t>
      </w:r>
      <w:r>
        <w:t xml:space="preserve">області приписується вдвічі більша частка, а Києву – вдвічі менша, ніж є насправді.</w:t>
      </w:r>
      <w:r>
        <w:t xml:space="preserve"> </w:t>
      </w:r>
      <w:r>
        <w:t xml:space="preserve">TD-FP бере частки з базових прогнозів областей, тому зберігає сучасну структуру і має</w:t>
      </w:r>
      <w:r>
        <w:t xml:space="preserve"> </w:t>
      </w:r>
      <w:r>
        <w:t xml:space="preserve">найменшу похибку на рівнях області й місцевості.</w:t>
      </w:r>
    </w:p>
    <w:p>
      <w:pPr>
        <w:pStyle w:val="BodyText"/>
      </w:pPr>
      <w:r>
        <w:t xml:space="preserve">MinT гірший за OLS і WLS. Його ваги залежать від коваріації залишків за всі роки, а</w:t>
      </w:r>
      <w:r>
        <w:t xml:space="preserve"> </w:t>
      </w:r>
      <w:r>
        <w:t xml:space="preserve">в ній домінують залишки 2014–2015 років Донецької і Луганської областей</w:t>
      </w:r>
      <w:r>
        <w:t xml:space="preserve"> </w:t>
      </w:r>
      <w:r>
        <w:t xml:space="preserve">(</w:t>
      </w:r>
      <m:oMath>
        <m:r>
          <m:t>λ</m:t>
        </m:r>
        <m:r>
          <m:rPr>
            <m:sty m:val="p"/>
          </m:rPr>
          <m:t>=</m:t>
        </m:r>
        <m:r>
          <m:t>0</m:t>
        </m:r>
        <m:r>
          <m:rPr>
            <m:sty m:val="p"/>
          </m:rPr>
          <m:t>,</m:t>
        </m:r>
        <m:r>
          <m:t>15</m:t>
        </m:r>
      </m:oMath>
      <w:r>
        <w:t xml:space="preserve">, стискання слабке). Middle-out точніший за BU на всіх рівнях, але</w:t>
      </w:r>
      <w:r>
        <w:t xml:space="preserve"> </w:t>
      </w:r>
      <w:r>
        <w:t xml:space="preserve">поступається TD-FP і OLS: прогноз рівня областей несе ту саму похибку, що й base на</w:t>
      </w:r>
      <w:r>
        <w:t xml:space="preserve"> </w:t>
      </w:r>
      <w:r>
        <w:t xml:space="preserve">цьому рівні.</w:t>
      </w:r>
    </w:p>
    <w:p>
      <w:pPr>
        <w:pStyle w:val="FigureImage"/>
      </w:pPr>
      <w:r>
        <w:drawing>
          <wp:inline>
            <wp:extent cx="5930900" cy="1779270"/>
            <wp:effectExtent b="0" l="0" r="0" t="0"/>
            <wp:docPr descr="Похибка за кроком" title="" id="35" name="Picture"/>
            <a:graphic>
              <a:graphicData uri="http://schemas.openxmlformats.org/drawingml/2006/picture">
                <pic:pic>
                  <pic:nvPicPr>
                    <pic:cNvPr descr="assets/05_horizon.png" id="36" name="Picture"/>
                    <pic:cNvPicPr>
                      <a:picLocks noChangeArrowheads="1" noChangeAspect="1"/>
                    </pic:cNvPicPr>
                  </pic:nvPicPr>
                  <pic:blipFill>
                    <a:blip r:embed="rId34"/>
                    <a:stretch>
                      <a:fillRect/>
                    </a:stretch>
                  </pic:blipFill>
                  <pic:spPr bwMode="auto">
                    <a:xfrm>
                      <a:off x="0" y="0"/>
                      <a:ext cx="5930900" cy="1779270"/>
                    </a:xfrm>
                    <a:prstGeom prst="rect">
                      <a:avLst/>
                    </a:prstGeom>
                    <a:noFill/>
                    <a:ln w="9525">
                      <a:noFill/>
                      <a:headEnd/>
                      <a:tailEnd/>
                    </a:ln>
                  </pic:spPr>
                </pic:pic>
              </a:graphicData>
            </a:graphic>
          </wp:inline>
        </w:drawing>
      </w:r>
    </w:p>
    <w:p>
      <w:pPr>
        <w:pStyle w:val="FigureCaption"/>
      </w:pPr>
      <w:r>
        <w:t xml:space="preserve">Рисунок 6 – MAPE залежно від кроку прогнозу, трирівнева ієрархія</w:t>
      </w:r>
    </w:p>
    <w:p>
      <w:pPr>
        <w:pStyle w:val="BodyText"/>
      </w:pPr>
      <w:r>
        <w:t xml:space="preserve">Похибка всіх методів зростає з горизонтом приблизно лінійно. Порядок методів на</w:t>
      </w:r>
      <w:r>
        <w:t xml:space="preserve"> </w:t>
      </w:r>
      <w:r>
        <w:t xml:space="preserve">кожному кроці однаковий, тож висновок не залежить від горизонту в межах трьох років.</w:t>
      </w:r>
    </w:p>
    <w:bookmarkEnd w:id="37"/>
    <w:bookmarkStart w:id="50" w:name="етап-3.-прогноз-на-20222026-роки"/>
    <w:p>
      <w:pPr>
        <w:pStyle w:val="Heading3"/>
      </w:pPr>
      <w:r>
        <w:t xml:space="preserve">Етап 3. Прогноз на 2022–2026 роки</w:t>
      </w:r>
    </w:p>
    <w:p>
      <w:pPr>
        <w:pStyle w:val="FirstParagraph"/>
      </w:pPr>
      <w:r>
        <w:t xml:space="preserve">На повних даних для 65 з 75 вузлів обрано метод Хольта, для 6 – просте згладжування,</w:t>
      </w:r>
      <w:r>
        <w:t xml:space="preserve"> </w:t>
      </w:r>
      <w:r>
        <w:t xml:space="preserve">для 4 – Хольта із затуханням. Просте згладжування обрано, зокрема, для Донецької і</w:t>
      </w:r>
      <w:r>
        <w:t xml:space="preserve"> </w:t>
      </w:r>
      <w:r>
        <w:t xml:space="preserve">Луганської областей: тренд після злому не оцінюється надійно.</w:t>
      </w:r>
    </w:p>
    <w:p>
      <w:pPr>
        <w:pStyle w:val="FigureImage"/>
      </w:pPr>
      <w:r>
        <w:drawing>
          <wp:inline>
            <wp:extent cx="5930900" cy="2668905"/>
            <wp:effectExtent b="0" l="0" r="0" t="0"/>
            <wp:docPr descr="Некогерентність" title="" id="39" name="Picture"/>
            <a:graphic>
              <a:graphicData uri="http://schemas.openxmlformats.org/drawingml/2006/picture">
                <pic:pic>
                  <pic:nvPicPr>
                    <pic:cNvPr descr="assets/03_incoherence.png" id="40" name="Picture"/>
                    <pic:cNvPicPr>
                      <a:picLocks noChangeArrowheads="1" noChangeAspect="1"/>
                    </pic:cNvPicPr>
                  </pic:nvPicPr>
                  <pic:blipFill>
                    <a:blip r:embed="rId38"/>
                    <a:stretch>
                      <a:fillRect/>
                    </a:stretch>
                  </pic:blipFill>
                  <pic:spPr bwMode="auto">
                    <a:xfrm>
                      <a:off x="0" y="0"/>
                      <a:ext cx="5930900" cy="2668905"/>
                    </a:xfrm>
                    <a:prstGeom prst="rect">
                      <a:avLst/>
                    </a:prstGeom>
                    <a:noFill/>
                    <a:ln w="9525">
                      <a:noFill/>
                      <a:headEnd/>
                      <a:tailEnd/>
                    </a:ln>
                  </pic:spPr>
                </pic:pic>
              </a:graphicData>
            </a:graphic>
          </wp:inline>
        </w:drawing>
      </w:r>
    </w:p>
    <w:p>
      <w:pPr>
        <w:pStyle w:val="FigureCaption"/>
      </w:pPr>
      <w:r>
        <w:t xml:space="preserve">Рисунок 7 – Базові прогнози країни і суми прогнозів нижніх рівнів</w:t>
      </w:r>
    </w:p>
    <w:p>
      <w:pPr>
        <w:pStyle w:val="BodyText"/>
      </w:pPr>
      <w:r>
        <w:t xml:space="preserve">Базовий прогноз країни нижчий за суму прогнозів нижнього рівня на 1,1 % у 2022 році і</w:t>
      </w:r>
      <w:r>
        <w:t xml:space="preserve"> </w:t>
      </w:r>
      <w:r>
        <w:t xml:space="preserve">на 7,9 % у 2026 році. Без узгодження прогнози за рівнями суперечать одне одному.</w:t>
      </w:r>
    </w:p>
    <w:p>
      <w:pPr>
        <w:pStyle w:val="TableCaptionOwn"/>
        <w:keepNext/>
      </w:pPr>
      <w:r>
        <w:t xml:space="preserve">Таблиця 3 – Прогноз кількості живонароджених по Україні, осіб</w:t>
      </w:r>
    </w:p>
    <w:tbl>
      <w:tblPr>
        <w:tblStyle w:val="Table"/>
        <w:tblW w:type="pct" w:w="5000"/>
        <w:tblLayout w:type="fixed"/>
        <w:tblLook w:firstRow="1" w:lastRow="0" w:firstColumn="0" w:lastColumn="0" w:noHBand="0" w:noVBand="0" w:val="0020"/>
      </w:tblPr>
      <w:tblGrid>
        <w:gridCol w:w="3056"/>
        <w:gridCol w:w="972"/>
        <w:gridCol w:w="972"/>
        <w:gridCol w:w="972"/>
        <w:gridCol w:w="972"/>
        <w:gridCol w:w="972"/>
      </w:tblGrid>
      <w:tr>
        <w:trPr>
          <w:cantSplit/>
          <w:tblHeader w:val="on"/>
        </w:trPr>
        <w:tc>
          <w:tcPr/>
          <w:p>
            <w:pPr>
              <w:pStyle w:val="Compact"/>
              <w:keepNext/>
              <w:jc w:val="center"/>
            </w:pPr>
            <w:r>
              <w:t xml:space="preserve">Метод</w:t>
            </w:r>
          </w:p>
        </w:tc>
        <w:tc>
          <w:tcPr/>
          <w:p>
            <w:pPr>
              <w:pStyle w:val="Compact"/>
              <w:keepNext/>
              <w:jc w:val="center"/>
            </w:pPr>
            <w:r>
              <w:t xml:space="preserve">2022</w:t>
            </w:r>
          </w:p>
        </w:tc>
        <w:tc>
          <w:tcPr/>
          <w:p>
            <w:pPr>
              <w:pStyle w:val="Compact"/>
              <w:keepNext/>
              <w:jc w:val="center"/>
            </w:pPr>
            <w:r>
              <w:t xml:space="preserve">2023</w:t>
            </w:r>
          </w:p>
        </w:tc>
        <w:tc>
          <w:tcPr/>
          <w:p>
            <w:pPr>
              <w:pStyle w:val="Compact"/>
              <w:keepNext/>
              <w:jc w:val="center"/>
            </w:pPr>
            <w:r>
              <w:t xml:space="preserve">2024</w:t>
            </w:r>
          </w:p>
        </w:tc>
        <w:tc>
          <w:tcPr/>
          <w:p>
            <w:pPr>
              <w:pStyle w:val="Compact"/>
              <w:keepNext/>
              <w:jc w:val="center"/>
            </w:pPr>
            <w:r>
              <w:t xml:space="preserve">2025</w:t>
            </w:r>
          </w:p>
        </w:tc>
        <w:tc>
          <w:tcPr/>
          <w:p>
            <w:pPr>
              <w:pStyle w:val="Compact"/>
              <w:keepNext/>
              <w:jc w:val="center"/>
            </w:pPr>
            <w:r>
              <w:t xml:space="preserve">2026</w:t>
            </w:r>
          </w:p>
        </w:tc>
      </w:tr>
      <w:tr>
        <w:trPr>
          <w:cantSplit/>
        </w:trPr>
        <w:tc>
          <w:tcPr/>
          <w:p>
            <w:pPr>
              <w:pStyle w:val="Compact"/>
              <w:keepNext/>
              <w:jc w:val="left"/>
            </w:pPr>
            <w:r>
              <w:t xml:space="preserve">base, TD-AHP, TD-PHA, TD-FP</w:t>
            </w:r>
          </w:p>
        </w:tc>
        <w:tc>
          <w:tcPr/>
          <w:p>
            <w:pPr>
              <w:pStyle w:val="Compact"/>
              <w:keepNext/>
              <w:jc w:val="left"/>
            </w:pPr>
            <w:r>
              <w:t xml:space="preserve">254 477</w:t>
            </w:r>
          </w:p>
        </w:tc>
        <w:tc>
          <w:tcPr/>
          <w:p>
            <w:pPr>
              <w:pStyle w:val="Compact"/>
              <w:keepNext/>
              <w:jc w:val="left"/>
            </w:pPr>
            <w:r>
              <w:t xml:space="preserve">237 838</w:t>
            </w:r>
          </w:p>
        </w:tc>
        <w:tc>
          <w:tcPr/>
          <w:p>
            <w:pPr>
              <w:pStyle w:val="Compact"/>
              <w:keepNext/>
              <w:jc w:val="left"/>
            </w:pPr>
            <w:r>
              <w:t xml:space="preserve">222 287</w:t>
            </w:r>
          </w:p>
        </w:tc>
        <w:tc>
          <w:tcPr/>
          <w:p>
            <w:pPr>
              <w:pStyle w:val="Compact"/>
              <w:keepNext/>
              <w:jc w:val="left"/>
            </w:pPr>
            <w:r>
              <w:t xml:space="preserve">207 752</w:t>
            </w:r>
          </w:p>
        </w:tc>
        <w:tc>
          <w:tcPr/>
          <w:p>
            <w:pPr>
              <w:pStyle w:val="Compact"/>
              <w:keepNext/>
              <w:jc w:val="left"/>
            </w:pPr>
            <w:r>
              <w:t xml:space="preserve">194 168</w:t>
            </w:r>
          </w:p>
        </w:tc>
      </w:tr>
      <w:tr>
        <w:trPr>
          <w:cantSplit/>
        </w:trPr>
        <w:tc>
          <w:tcPr/>
          <w:p>
            <w:pPr>
              <w:pStyle w:val="Compact"/>
              <w:keepNext/>
              <w:jc w:val="left"/>
            </w:pPr>
            <w:r>
              <w:t xml:space="preserve">BU</w:t>
            </w:r>
          </w:p>
        </w:tc>
        <w:tc>
          <w:tcPr/>
          <w:p>
            <w:pPr>
              <w:pStyle w:val="Compact"/>
              <w:keepNext/>
              <w:jc w:val="left"/>
            </w:pPr>
            <w:r>
              <w:t xml:space="preserve">257 173</w:t>
            </w:r>
          </w:p>
        </w:tc>
        <w:tc>
          <w:tcPr/>
          <w:p>
            <w:pPr>
              <w:pStyle w:val="Compact"/>
              <w:keepNext/>
              <w:jc w:val="left"/>
            </w:pPr>
            <w:r>
              <w:t xml:space="preserve">243 612</w:t>
            </w:r>
          </w:p>
        </w:tc>
        <w:tc>
          <w:tcPr/>
          <w:p>
            <w:pPr>
              <w:pStyle w:val="Compact"/>
              <w:keepNext/>
              <w:jc w:val="left"/>
            </w:pPr>
            <w:r>
              <w:t xml:space="preserve">231 251</w:t>
            </w:r>
          </w:p>
        </w:tc>
        <w:tc>
          <w:tcPr/>
          <w:p>
            <w:pPr>
              <w:pStyle w:val="Compact"/>
              <w:keepNext/>
              <w:jc w:val="left"/>
            </w:pPr>
            <w:r>
              <w:t xml:space="preserve">219 937</w:t>
            </w:r>
          </w:p>
        </w:tc>
        <w:tc>
          <w:tcPr/>
          <w:p>
            <w:pPr>
              <w:pStyle w:val="Compact"/>
              <w:keepNext/>
              <w:jc w:val="left"/>
            </w:pPr>
            <w:r>
              <w:t xml:space="preserve">209 551</w:t>
            </w:r>
          </w:p>
        </w:tc>
      </w:tr>
      <w:tr>
        <w:trPr>
          <w:cantSplit/>
        </w:trPr>
        <w:tc>
          <w:tcPr/>
          <w:p>
            <w:pPr>
              <w:pStyle w:val="Compact"/>
              <w:keepNext/>
              <w:jc w:val="left"/>
            </w:pPr>
            <w:r>
              <w:t xml:space="preserve">MO</w:t>
            </w:r>
          </w:p>
        </w:tc>
        <w:tc>
          <w:tcPr/>
          <w:p>
            <w:pPr>
              <w:pStyle w:val="Compact"/>
              <w:keepNext/>
              <w:jc w:val="left"/>
            </w:pPr>
            <w:r>
              <w:t xml:space="preserve">256 943</w:t>
            </w:r>
          </w:p>
        </w:tc>
        <w:tc>
          <w:tcPr/>
          <w:p>
            <w:pPr>
              <w:pStyle w:val="Compact"/>
              <w:keepNext/>
              <w:jc w:val="left"/>
            </w:pPr>
            <w:r>
              <w:t xml:space="preserve">242 831</w:t>
            </w:r>
          </w:p>
        </w:tc>
        <w:tc>
          <w:tcPr/>
          <w:p>
            <w:pPr>
              <w:pStyle w:val="Compact"/>
              <w:keepNext/>
              <w:jc w:val="left"/>
            </w:pPr>
            <w:r>
              <w:t xml:space="preserve">229 771</w:t>
            </w:r>
          </w:p>
        </w:tc>
        <w:tc>
          <w:tcPr/>
          <w:p>
            <w:pPr>
              <w:pStyle w:val="Compact"/>
              <w:keepNext/>
              <w:jc w:val="left"/>
            </w:pPr>
            <w:r>
              <w:t xml:space="preserve">217 668</w:t>
            </w:r>
          </w:p>
        </w:tc>
        <w:tc>
          <w:tcPr/>
          <w:p>
            <w:pPr>
              <w:pStyle w:val="Compact"/>
              <w:keepNext/>
              <w:jc w:val="left"/>
            </w:pPr>
            <w:r>
              <w:t xml:space="preserve">206 437</w:t>
            </w:r>
          </w:p>
        </w:tc>
      </w:tr>
      <w:tr>
        <w:trPr>
          <w:cantSplit/>
        </w:trPr>
        <w:tc>
          <w:tcPr/>
          <w:p>
            <w:pPr>
              <w:pStyle w:val="Compact"/>
              <w:keepNext/>
              <w:jc w:val="left"/>
            </w:pPr>
            <w:r>
              <w:t xml:space="preserve">OLS</w:t>
            </w:r>
          </w:p>
        </w:tc>
        <w:tc>
          <w:tcPr/>
          <w:p>
            <w:pPr>
              <w:pStyle w:val="Compact"/>
              <w:keepNext/>
              <w:jc w:val="left"/>
            </w:pPr>
            <w:r>
              <w:t xml:space="preserve">254 622</w:t>
            </w:r>
          </w:p>
        </w:tc>
        <w:tc>
          <w:tcPr/>
          <w:p>
            <w:pPr>
              <w:pStyle w:val="Compact"/>
              <w:keepNext/>
              <w:jc w:val="left"/>
            </w:pPr>
            <w:r>
              <w:t xml:space="preserve">238 138</w:t>
            </w:r>
          </w:p>
        </w:tc>
        <w:tc>
          <w:tcPr/>
          <w:p>
            <w:pPr>
              <w:pStyle w:val="Compact"/>
              <w:keepNext/>
              <w:jc w:val="left"/>
            </w:pPr>
            <w:r>
              <w:t xml:space="preserve">222 743</w:t>
            </w:r>
          </w:p>
        </w:tc>
        <w:tc>
          <w:tcPr/>
          <w:p>
            <w:pPr>
              <w:pStyle w:val="Compact"/>
              <w:keepNext/>
              <w:jc w:val="left"/>
            </w:pPr>
            <w:r>
              <w:t xml:space="preserve">208 362</w:t>
            </w:r>
          </w:p>
        </w:tc>
        <w:tc>
          <w:tcPr/>
          <w:p>
            <w:pPr>
              <w:pStyle w:val="Compact"/>
              <w:keepNext/>
              <w:jc w:val="left"/>
            </w:pPr>
            <w:r>
              <w:t xml:space="preserve">194 929</w:t>
            </w:r>
          </w:p>
        </w:tc>
      </w:tr>
      <w:tr>
        <w:trPr>
          <w:cantSplit/>
        </w:trPr>
        <w:tc>
          <w:tcPr/>
          <w:p>
            <w:pPr>
              <w:pStyle w:val="Compact"/>
              <w:keepNext/>
              <w:jc w:val="left"/>
            </w:pPr>
            <w:r>
              <w:t xml:space="preserve">WLS</w:t>
            </w:r>
          </w:p>
        </w:tc>
        <w:tc>
          <w:tcPr/>
          <w:p>
            <w:pPr>
              <w:pStyle w:val="Compact"/>
              <w:keepNext/>
              <w:jc w:val="left"/>
            </w:pPr>
            <w:r>
              <w:t xml:space="preserve">256 198</w:t>
            </w:r>
          </w:p>
        </w:tc>
        <w:tc>
          <w:tcPr/>
          <w:p>
            <w:pPr>
              <w:pStyle w:val="Compact"/>
              <w:keepNext/>
              <w:jc w:val="left"/>
            </w:pPr>
            <w:r>
              <w:t xml:space="preserve">241 427</w:t>
            </w:r>
          </w:p>
        </w:tc>
        <w:tc>
          <w:tcPr/>
          <w:p>
            <w:pPr>
              <w:pStyle w:val="Compact"/>
              <w:keepNext/>
              <w:jc w:val="left"/>
            </w:pPr>
            <w:r>
              <w:t xml:space="preserve">227 770</w:t>
            </w:r>
          </w:p>
        </w:tc>
        <w:tc>
          <w:tcPr/>
          <w:p>
            <w:pPr>
              <w:pStyle w:val="Compact"/>
              <w:keepNext/>
              <w:jc w:val="left"/>
            </w:pPr>
            <w:r>
              <w:t xml:space="preserve">215 119</w:t>
            </w:r>
          </w:p>
        </w:tc>
        <w:tc>
          <w:tcPr/>
          <w:p>
            <w:pPr>
              <w:pStyle w:val="Compact"/>
              <w:keepNext/>
              <w:jc w:val="left"/>
            </w:pPr>
            <w:r>
              <w:t xml:space="preserve">203 385</w:t>
            </w:r>
          </w:p>
        </w:tc>
      </w:tr>
      <w:tr>
        <w:trPr>
          <w:cantSplit/>
        </w:trPr>
        <w:tc>
          <w:tcPr/>
          <w:p>
            <w:pPr>
              <w:pStyle w:val="Compact"/>
              <w:jc w:val="left"/>
            </w:pPr>
            <w:r>
              <w:t xml:space="preserve">MinT</w:t>
            </w:r>
          </w:p>
        </w:tc>
        <w:tc>
          <w:tcPr/>
          <w:p>
            <w:pPr>
              <w:pStyle w:val="Compact"/>
              <w:jc w:val="left"/>
            </w:pPr>
            <w:r>
              <w:t xml:space="preserve">256 608</w:t>
            </w:r>
          </w:p>
        </w:tc>
        <w:tc>
          <w:tcPr/>
          <w:p>
            <w:pPr>
              <w:pStyle w:val="Compact"/>
              <w:jc w:val="left"/>
            </w:pPr>
            <w:r>
              <w:t xml:space="preserve">242 373</w:t>
            </w:r>
          </w:p>
        </w:tc>
        <w:tc>
          <w:tcPr/>
          <w:p>
            <w:pPr>
              <w:pStyle w:val="Compact"/>
              <w:jc w:val="left"/>
            </w:pPr>
            <w:r>
              <w:t xml:space="preserve">229 292</w:t>
            </w:r>
          </w:p>
        </w:tc>
        <w:tc>
          <w:tcPr/>
          <w:p>
            <w:pPr>
              <w:pStyle w:val="Compact"/>
              <w:jc w:val="left"/>
            </w:pPr>
            <w:r>
              <w:t xml:space="preserve">217 233</w:t>
            </w:r>
          </w:p>
        </w:tc>
        <w:tc>
          <w:tcPr/>
          <w:p>
            <w:pPr>
              <w:pStyle w:val="Compact"/>
              <w:jc w:val="left"/>
            </w:pPr>
            <w:r>
              <w:t xml:space="preserve">206 088</w:t>
            </w:r>
          </w:p>
        </w:tc>
      </w:tr>
    </w:tbl>
    <w:p>
      <w:pPr>
        <w:pStyle w:val="FigureImage"/>
        <w:spacing w:before="420"/>
      </w:pPr>
      <w:r>
        <w:drawing>
          <wp:inline>
            <wp:extent cx="5930900" cy="2635955"/>
            <wp:effectExtent b="0" l="0" r="0" t="0"/>
            <wp:docPr descr="Прогноз по Україні" title="" id="42" name="Picture"/>
            <a:graphic>
              <a:graphicData uri="http://schemas.openxmlformats.org/drawingml/2006/picture">
                <pic:pic>
                  <pic:nvPicPr>
                    <pic:cNvPr descr="assets/06_country_forecast.png" id="43" name="Picture"/>
                    <pic:cNvPicPr>
                      <a:picLocks noChangeArrowheads="1" noChangeAspect="1"/>
                    </pic:cNvPicPr>
                  </pic:nvPicPr>
                  <pic:blipFill>
                    <a:blip r:embed="rId41"/>
                    <a:stretch>
                      <a:fillRect/>
                    </a:stretch>
                  </pic:blipFill>
                  <pic:spPr bwMode="auto">
                    <a:xfrm>
                      <a:off x="0" y="0"/>
                      <a:ext cx="5930900" cy="2635955"/>
                    </a:xfrm>
                    <a:prstGeom prst="rect">
                      <a:avLst/>
                    </a:prstGeom>
                    <a:noFill/>
                    <a:ln w="9525">
                      <a:noFill/>
                      <a:headEnd/>
                      <a:tailEnd/>
                    </a:ln>
                  </pic:spPr>
                </pic:pic>
              </a:graphicData>
            </a:graphic>
          </wp:inline>
        </w:drawing>
      </w:r>
    </w:p>
    <w:p>
      <w:pPr>
        <w:pStyle w:val="FigureCaption"/>
      </w:pPr>
      <w:r>
        <w:t xml:space="preserve">Рисунок 8 – Прогноз живонароджених по Україні різними методами</w:t>
      </w:r>
    </w:p>
    <w:p>
      <w:pPr>
        <w:pStyle w:val="BodyText"/>
      </w:pPr>
      <w:r>
        <w:t xml:space="preserve">Усі методи продовжують спадний тренд 2014–2021 років. Розкид між методами у 2026 році –</w:t>
      </w:r>
      <w:r>
        <w:t xml:space="preserve"> </w:t>
      </w:r>
      <w:r>
        <w:t xml:space="preserve">194–210 тис. За обраним методом TD-FP народжуваність у 2026 році становитиме 194 тис.,</w:t>
      </w:r>
      <w:r>
        <w:t xml:space="preserve"> </w:t>
      </w:r>
      <w:r>
        <w:t xml:space="preserve">на 28,6 % менше, ніж у 2021 році.</w:t>
      </w:r>
    </w:p>
    <w:p>
      <w:pPr>
        <w:pStyle w:val="TableCaptionOwn"/>
        <w:keepNext/>
      </w:pPr>
      <w:r>
        <w:t xml:space="preserve">Таблиця 4 – Прогноз живонароджених за регіонами методом TD-FP, осіб</w:t>
      </w:r>
    </w:p>
    <w:tbl>
      <w:tblPr>
        <w:tblStyle w:val="Table"/>
        <w:tblW w:type="pct" w:w="5000"/>
        <w:tblLayout w:type="fixed"/>
        <w:tblLook w:firstRow="1" w:lastRow="0" w:firstColumn="0" w:lastColumn="0" w:noHBand="0" w:noVBand="0" w:val="0020"/>
      </w:tblPr>
      <w:tblGrid>
        <w:gridCol w:w="2282"/>
        <w:gridCol w:w="939"/>
        <w:gridCol w:w="939"/>
        <w:gridCol w:w="939"/>
        <w:gridCol w:w="939"/>
        <w:gridCol w:w="939"/>
        <w:gridCol w:w="939"/>
      </w:tblGrid>
      <w:tr>
        <w:trPr>
          <w:cantSplit/>
          <w:tblHeader w:val="on"/>
        </w:trPr>
        <w:tc>
          <w:tcPr/>
          <w:p>
            <w:pPr>
              <w:pStyle w:val="Compact"/>
              <w:keepNext/>
              <w:jc w:val="center"/>
            </w:pPr>
            <w:r>
              <w:t xml:space="preserve">Регіон</w:t>
            </w:r>
          </w:p>
        </w:tc>
        <w:tc>
          <w:tcPr/>
          <w:p>
            <w:pPr>
              <w:pStyle w:val="Compact"/>
              <w:keepNext/>
              <w:jc w:val="center"/>
            </w:pPr>
            <w:r>
              <w:t xml:space="preserve">2021, факт</w:t>
            </w:r>
          </w:p>
        </w:tc>
        <w:tc>
          <w:tcPr/>
          <w:p>
            <w:pPr>
              <w:pStyle w:val="Compact"/>
              <w:keepNext/>
              <w:jc w:val="center"/>
            </w:pPr>
            <w:r>
              <w:t xml:space="preserve">2022</w:t>
            </w:r>
          </w:p>
        </w:tc>
        <w:tc>
          <w:tcPr/>
          <w:p>
            <w:pPr>
              <w:pStyle w:val="Compact"/>
              <w:keepNext/>
              <w:jc w:val="center"/>
            </w:pPr>
            <w:r>
              <w:t xml:space="preserve">2023</w:t>
            </w:r>
          </w:p>
        </w:tc>
        <w:tc>
          <w:tcPr/>
          <w:p>
            <w:pPr>
              <w:pStyle w:val="Compact"/>
              <w:keepNext/>
              <w:jc w:val="center"/>
            </w:pPr>
            <w:r>
              <w:t xml:space="preserve">2024</w:t>
            </w:r>
          </w:p>
        </w:tc>
        <w:tc>
          <w:tcPr/>
          <w:p>
            <w:pPr>
              <w:pStyle w:val="Compact"/>
              <w:keepNext/>
              <w:jc w:val="center"/>
            </w:pPr>
            <w:r>
              <w:t xml:space="preserve">2025</w:t>
            </w:r>
          </w:p>
        </w:tc>
        <w:tc>
          <w:tcPr/>
          <w:p>
            <w:pPr>
              <w:pStyle w:val="Compact"/>
              <w:keepNext/>
              <w:jc w:val="center"/>
            </w:pPr>
            <w:r>
              <w:t xml:space="preserve">2026</w:t>
            </w:r>
          </w:p>
        </w:tc>
      </w:tr>
      <w:tr>
        <w:trPr>
          <w:cantSplit/>
        </w:trPr>
        <w:tc>
          <w:tcPr/>
          <w:p>
            <w:pPr>
              <w:pStyle w:val="Compact"/>
              <w:keepNext/>
              <w:jc w:val="left"/>
            </w:pPr>
            <w:r>
              <w:t xml:space="preserve">Україна</w:t>
            </w:r>
          </w:p>
        </w:tc>
        <w:tc>
          <w:tcPr/>
          <w:p>
            <w:pPr>
              <w:pStyle w:val="Compact"/>
              <w:keepNext/>
              <w:jc w:val="left"/>
            </w:pPr>
            <w:r>
              <w:t xml:space="preserve">271 983</w:t>
            </w:r>
          </w:p>
        </w:tc>
        <w:tc>
          <w:tcPr/>
          <w:p>
            <w:pPr>
              <w:pStyle w:val="Compact"/>
              <w:keepNext/>
              <w:jc w:val="left"/>
            </w:pPr>
            <w:r>
              <w:t xml:space="preserve">254 477</w:t>
            </w:r>
          </w:p>
        </w:tc>
        <w:tc>
          <w:tcPr/>
          <w:p>
            <w:pPr>
              <w:pStyle w:val="Compact"/>
              <w:keepNext/>
              <w:jc w:val="left"/>
            </w:pPr>
            <w:r>
              <w:t xml:space="preserve">237 838</w:t>
            </w:r>
          </w:p>
        </w:tc>
        <w:tc>
          <w:tcPr/>
          <w:p>
            <w:pPr>
              <w:pStyle w:val="Compact"/>
              <w:keepNext/>
              <w:jc w:val="left"/>
            </w:pPr>
            <w:r>
              <w:t xml:space="preserve">222 287</w:t>
            </w:r>
          </w:p>
        </w:tc>
        <w:tc>
          <w:tcPr/>
          <w:p>
            <w:pPr>
              <w:pStyle w:val="Compact"/>
              <w:keepNext/>
              <w:jc w:val="left"/>
            </w:pPr>
            <w:r>
              <w:t xml:space="preserve">207 752</w:t>
            </w:r>
          </w:p>
        </w:tc>
        <w:tc>
          <w:tcPr/>
          <w:p>
            <w:pPr>
              <w:pStyle w:val="Compact"/>
              <w:keepNext/>
              <w:jc w:val="left"/>
            </w:pPr>
            <w:r>
              <w:t xml:space="preserve">194 168</w:t>
            </w:r>
          </w:p>
        </w:tc>
      </w:tr>
      <w:tr>
        <w:trPr>
          <w:cantSplit/>
        </w:trPr>
        <w:tc>
          <w:tcPr/>
          <w:p>
            <w:pPr>
              <w:pStyle w:val="Compact"/>
              <w:keepNext/>
              <w:jc w:val="left"/>
            </w:pPr>
            <w:r>
              <w:t xml:space="preserve">Вінницька</w:t>
            </w:r>
          </w:p>
        </w:tc>
        <w:tc>
          <w:tcPr/>
          <w:p>
            <w:pPr>
              <w:pStyle w:val="Compact"/>
              <w:keepNext/>
              <w:jc w:val="left"/>
            </w:pPr>
            <w:r>
              <w:t xml:space="preserve">10 529</w:t>
            </w:r>
          </w:p>
        </w:tc>
        <w:tc>
          <w:tcPr/>
          <w:p>
            <w:pPr>
              <w:pStyle w:val="Compact"/>
              <w:keepNext/>
              <w:jc w:val="left"/>
            </w:pPr>
            <w:r>
              <w:t xml:space="preserve">9 772</w:t>
            </w:r>
          </w:p>
        </w:tc>
        <w:tc>
          <w:tcPr/>
          <w:p>
            <w:pPr>
              <w:pStyle w:val="Compact"/>
              <w:keepNext/>
              <w:jc w:val="left"/>
            </w:pPr>
            <w:r>
              <w:t xml:space="preserve">9 024</w:t>
            </w:r>
          </w:p>
        </w:tc>
        <w:tc>
          <w:tcPr/>
          <w:p>
            <w:pPr>
              <w:pStyle w:val="Compact"/>
              <w:keepNext/>
              <w:jc w:val="left"/>
            </w:pPr>
            <w:r>
              <w:t xml:space="preserve">8 323</w:t>
            </w:r>
          </w:p>
        </w:tc>
        <w:tc>
          <w:tcPr/>
          <w:p>
            <w:pPr>
              <w:pStyle w:val="Compact"/>
              <w:keepNext/>
              <w:jc w:val="left"/>
            </w:pPr>
            <w:r>
              <w:t xml:space="preserve">7 667</w:t>
            </w:r>
          </w:p>
        </w:tc>
        <w:tc>
          <w:tcPr/>
          <w:p>
            <w:pPr>
              <w:pStyle w:val="Compact"/>
              <w:keepNext/>
              <w:jc w:val="left"/>
            </w:pPr>
            <w:r>
              <w:t xml:space="preserve">7 055</w:t>
            </w:r>
          </w:p>
        </w:tc>
      </w:tr>
      <w:tr>
        <w:trPr>
          <w:cantSplit/>
        </w:trPr>
        <w:tc>
          <w:tcPr/>
          <w:p>
            <w:pPr>
              <w:pStyle w:val="Compact"/>
              <w:keepNext/>
              <w:jc w:val="left"/>
            </w:pPr>
            <w:r>
              <w:t xml:space="preserve">Волинська</w:t>
            </w:r>
          </w:p>
        </w:tc>
        <w:tc>
          <w:tcPr/>
          <w:p>
            <w:pPr>
              <w:pStyle w:val="Compact"/>
              <w:keepNext/>
              <w:jc w:val="left"/>
            </w:pPr>
            <w:r>
              <w:t xml:space="preserve">9 852</w:t>
            </w:r>
          </w:p>
        </w:tc>
        <w:tc>
          <w:tcPr/>
          <w:p>
            <w:pPr>
              <w:pStyle w:val="Compact"/>
              <w:keepNext/>
              <w:jc w:val="left"/>
            </w:pPr>
            <w:r>
              <w:t xml:space="preserve">9 379</w:t>
            </w:r>
          </w:p>
        </w:tc>
        <w:tc>
          <w:tcPr/>
          <w:p>
            <w:pPr>
              <w:pStyle w:val="Compact"/>
              <w:keepNext/>
              <w:jc w:val="left"/>
            </w:pPr>
            <w:r>
              <w:t xml:space="preserve">8 931</w:t>
            </w:r>
          </w:p>
        </w:tc>
        <w:tc>
          <w:tcPr/>
          <w:p>
            <w:pPr>
              <w:pStyle w:val="Compact"/>
              <w:keepNext/>
              <w:jc w:val="left"/>
            </w:pPr>
            <w:r>
              <w:t xml:space="preserve">8 494</w:t>
            </w:r>
          </w:p>
        </w:tc>
        <w:tc>
          <w:tcPr/>
          <w:p>
            <w:pPr>
              <w:pStyle w:val="Compact"/>
              <w:keepNext/>
              <w:jc w:val="left"/>
            </w:pPr>
            <w:r>
              <w:t xml:space="preserve">8 069</w:t>
            </w:r>
          </w:p>
        </w:tc>
        <w:tc>
          <w:tcPr/>
          <w:p>
            <w:pPr>
              <w:pStyle w:val="Compact"/>
              <w:keepNext/>
              <w:jc w:val="left"/>
            </w:pPr>
            <w:r>
              <w:t xml:space="preserve">7 657</w:t>
            </w:r>
          </w:p>
        </w:tc>
      </w:tr>
      <w:tr>
        <w:trPr>
          <w:cantSplit/>
        </w:trPr>
        <w:tc>
          <w:tcPr/>
          <w:p>
            <w:pPr>
              <w:pStyle w:val="Compact"/>
              <w:keepNext/>
              <w:jc w:val="left"/>
            </w:pPr>
            <w:r>
              <w:t xml:space="preserve">Дніпропетровська</w:t>
            </w:r>
          </w:p>
        </w:tc>
        <w:tc>
          <w:tcPr/>
          <w:p>
            <w:pPr>
              <w:pStyle w:val="Compact"/>
              <w:keepNext/>
              <w:jc w:val="left"/>
            </w:pPr>
            <w:r>
              <w:t xml:space="preserve">19 508</w:t>
            </w:r>
          </w:p>
        </w:tc>
        <w:tc>
          <w:tcPr/>
          <w:p>
            <w:pPr>
              <w:pStyle w:val="Compact"/>
              <w:keepNext/>
              <w:jc w:val="left"/>
            </w:pPr>
            <w:r>
              <w:t xml:space="preserve">17 879</w:t>
            </w:r>
          </w:p>
        </w:tc>
        <w:tc>
          <w:tcPr/>
          <w:p>
            <w:pPr>
              <w:pStyle w:val="Compact"/>
              <w:keepNext/>
              <w:jc w:val="left"/>
            </w:pPr>
            <w:r>
              <w:t xml:space="preserve">16 346</w:t>
            </w:r>
          </w:p>
        </w:tc>
        <w:tc>
          <w:tcPr/>
          <w:p>
            <w:pPr>
              <w:pStyle w:val="Compact"/>
              <w:keepNext/>
              <w:jc w:val="left"/>
            </w:pPr>
            <w:r>
              <w:t xml:space="preserve">14 927</w:t>
            </w:r>
          </w:p>
        </w:tc>
        <w:tc>
          <w:tcPr/>
          <w:p>
            <w:pPr>
              <w:pStyle w:val="Compact"/>
              <w:keepNext/>
              <w:jc w:val="left"/>
            </w:pPr>
            <w:r>
              <w:t xml:space="preserve">13 615</w:t>
            </w:r>
          </w:p>
        </w:tc>
        <w:tc>
          <w:tcPr/>
          <w:p>
            <w:pPr>
              <w:pStyle w:val="Compact"/>
              <w:keepNext/>
              <w:jc w:val="left"/>
            </w:pPr>
            <w:r>
              <w:t xml:space="preserve">12 404</w:t>
            </w:r>
          </w:p>
        </w:tc>
      </w:tr>
      <w:tr>
        <w:trPr>
          <w:cantSplit/>
        </w:trPr>
        <w:tc>
          <w:tcPr/>
          <w:p>
            <w:pPr>
              <w:pStyle w:val="Compact"/>
              <w:keepNext/>
              <w:jc w:val="left"/>
            </w:pPr>
            <w:r>
              <w:t xml:space="preserve">Донецька</w:t>
            </w:r>
          </w:p>
        </w:tc>
        <w:tc>
          <w:tcPr/>
          <w:p>
            <w:pPr>
              <w:pStyle w:val="Compact"/>
              <w:keepNext/>
              <w:jc w:val="left"/>
            </w:pPr>
            <w:r>
              <w:t xml:space="preserve">10 134</w:t>
            </w:r>
          </w:p>
        </w:tc>
        <w:tc>
          <w:tcPr/>
          <w:p>
            <w:pPr>
              <w:pStyle w:val="Compact"/>
              <w:keepNext/>
              <w:jc w:val="left"/>
            </w:pPr>
            <w:r>
              <w:t xml:space="preserve">10 037</w:t>
            </w:r>
          </w:p>
        </w:tc>
        <w:tc>
          <w:tcPr/>
          <w:p>
            <w:pPr>
              <w:pStyle w:val="Compact"/>
              <w:keepNext/>
              <w:jc w:val="left"/>
            </w:pPr>
            <w:r>
              <w:t xml:space="preserve">9 926</w:t>
            </w:r>
          </w:p>
        </w:tc>
        <w:tc>
          <w:tcPr/>
          <w:p>
            <w:pPr>
              <w:pStyle w:val="Compact"/>
              <w:keepNext/>
              <w:jc w:val="left"/>
            </w:pPr>
            <w:r>
              <w:t xml:space="preserve">9 804</w:t>
            </w:r>
          </w:p>
        </w:tc>
        <w:tc>
          <w:tcPr/>
          <w:p>
            <w:pPr>
              <w:pStyle w:val="Compact"/>
              <w:keepNext/>
              <w:jc w:val="left"/>
            </w:pPr>
            <w:r>
              <w:t xml:space="preserve">9 672</w:t>
            </w:r>
          </w:p>
        </w:tc>
        <w:tc>
          <w:tcPr/>
          <w:p>
            <w:pPr>
              <w:pStyle w:val="Compact"/>
              <w:keepNext/>
              <w:jc w:val="left"/>
            </w:pPr>
            <w:r>
              <w:t xml:space="preserve">9 532</w:t>
            </w:r>
          </w:p>
        </w:tc>
      </w:tr>
      <w:tr>
        <w:trPr>
          <w:cantSplit/>
        </w:trPr>
        <w:tc>
          <w:tcPr/>
          <w:p>
            <w:pPr>
              <w:pStyle w:val="Compact"/>
              <w:keepNext/>
              <w:jc w:val="left"/>
            </w:pPr>
            <w:r>
              <w:t xml:space="preserve">Житомирська</w:t>
            </w:r>
          </w:p>
        </w:tc>
        <w:tc>
          <w:tcPr/>
          <w:p>
            <w:pPr>
              <w:pStyle w:val="Compact"/>
              <w:keepNext/>
              <w:jc w:val="left"/>
            </w:pPr>
            <w:r>
              <w:t xml:space="preserve">8 544</w:t>
            </w:r>
          </w:p>
        </w:tc>
        <w:tc>
          <w:tcPr/>
          <w:p>
            <w:pPr>
              <w:pStyle w:val="Compact"/>
              <w:keepNext/>
              <w:jc w:val="left"/>
            </w:pPr>
            <w:r>
              <w:t xml:space="preserve">7 923</w:t>
            </w:r>
          </w:p>
        </w:tc>
        <w:tc>
          <w:tcPr/>
          <w:p>
            <w:pPr>
              <w:pStyle w:val="Compact"/>
              <w:keepNext/>
              <w:jc w:val="left"/>
            </w:pPr>
            <w:r>
              <w:t xml:space="preserve">7 360</w:t>
            </w:r>
          </w:p>
        </w:tc>
        <w:tc>
          <w:tcPr/>
          <w:p>
            <w:pPr>
              <w:pStyle w:val="Compact"/>
              <w:keepNext/>
              <w:jc w:val="left"/>
            </w:pPr>
            <w:r>
              <w:t xml:space="preserve">6 829</w:t>
            </w:r>
          </w:p>
        </w:tc>
        <w:tc>
          <w:tcPr/>
          <w:p>
            <w:pPr>
              <w:pStyle w:val="Compact"/>
              <w:keepNext/>
              <w:jc w:val="left"/>
            </w:pPr>
            <w:r>
              <w:t xml:space="preserve">6 328</w:t>
            </w:r>
          </w:p>
        </w:tc>
        <w:tc>
          <w:tcPr/>
          <w:p>
            <w:pPr>
              <w:pStyle w:val="Compact"/>
              <w:keepNext/>
              <w:jc w:val="left"/>
            </w:pPr>
            <w:r>
              <w:t xml:space="preserve">5 858</w:t>
            </w:r>
          </w:p>
        </w:tc>
      </w:tr>
      <w:tr>
        <w:trPr>
          <w:cantSplit/>
        </w:trPr>
        <w:tc>
          <w:tcPr/>
          <w:p>
            <w:pPr>
              <w:pStyle w:val="Compact"/>
              <w:keepNext/>
              <w:jc w:val="left"/>
            </w:pPr>
            <w:r>
              <w:t xml:space="preserve">Закарпатська</w:t>
            </w:r>
          </w:p>
        </w:tc>
        <w:tc>
          <w:tcPr/>
          <w:p>
            <w:pPr>
              <w:pStyle w:val="Compact"/>
              <w:keepNext/>
              <w:jc w:val="left"/>
            </w:pPr>
            <w:r>
              <w:t xml:space="preserve">12 631</w:t>
            </w:r>
          </w:p>
        </w:tc>
        <w:tc>
          <w:tcPr/>
          <w:p>
            <w:pPr>
              <w:pStyle w:val="Compact"/>
              <w:keepNext/>
              <w:jc w:val="left"/>
            </w:pPr>
            <w:r>
              <w:t xml:space="preserve">12 308</w:t>
            </w:r>
          </w:p>
        </w:tc>
        <w:tc>
          <w:tcPr/>
          <w:p>
            <w:pPr>
              <w:pStyle w:val="Compact"/>
              <w:keepNext/>
              <w:jc w:val="left"/>
            </w:pPr>
            <w:r>
              <w:t xml:space="preserve">11 874</w:t>
            </w:r>
          </w:p>
        </w:tc>
        <w:tc>
          <w:tcPr/>
          <w:p>
            <w:pPr>
              <w:pStyle w:val="Compact"/>
              <w:keepNext/>
              <w:jc w:val="left"/>
            </w:pPr>
            <w:r>
              <w:t xml:space="preserve">11 442</w:t>
            </w:r>
          </w:p>
        </w:tc>
        <w:tc>
          <w:tcPr/>
          <w:p>
            <w:pPr>
              <w:pStyle w:val="Compact"/>
              <w:keepNext/>
              <w:jc w:val="left"/>
            </w:pPr>
            <w:r>
              <w:t xml:space="preserve">11 012</w:t>
            </w:r>
          </w:p>
        </w:tc>
        <w:tc>
          <w:tcPr/>
          <w:p>
            <w:pPr>
              <w:pStyle w:val="Compact"/>
              <w:keepNext/>
              <w:jc w:val="left"/>
            </w:pPr>
            <w:r>
              <w:t xml:space="preserve">10 586</w:t>
            </w:r>
          </w:p>
        </w:tc>
      </w:tr>
      <w:tr>
        <w:trPr>
          <w:cantSplit/>
        </w:trPr>
        <w:tc>
          <w:tcPr/>
          <w:p>
            <w:pPr>
              <w:pStyle w:val="Compact"/>
              <w:keepNext/>
              <w:jc w:val="left"/>
            </w:pPr>
            <w:r>
              <w:t xml:space="preserve">Запорізька</w:t>
            </w:r>
          </w:p>
        </w:tc>
        <w:tc>
          <w:tcPr/>
          <w:p>
            <w:pPr>
              <w:pStyle w:val="Compact"/>
              <w:keepNext/>
              <w:jc w:val="left"/>
            </w:pPr>
            <w:r>
              <w:t xml:space="preserve">9 571</w:t>
            </w:r>
          </w:p>
        </w:tc>
        <w:tc>
          <w:tcPr/>
          <w:p>
            <w:pPr>
              <w:pStyle w:val="Compact"/>
              <w:keepNext/>
              <w:jc w:val="left"/>
            </w:pPr>
            <w:r>
              <w:t xml:space="preserve">8 626</w:t>
            </w:r>
          </w:p>
        </w:tc>
        <w:tc>
          <w:tcPr/>
          <w:p>
            <w:pPr>
              <w:pStyle w:val="Compact"/>
              <w:keepNext/>
              <w:jc w:val="left"/>
            </w:pPr>
            <w:r>
              <w:t xml:space="preserve">7 767</w:t>
            </w:r>
          </w:p>
        </w:tc>
        <w:tc>
          <w:tcPr/>
          <w:p>
            <w:pPr>
              <w:pStyle w:val="Compact"/>
              <w:keepNext/>
              <w:jc w:val="left"/>
            </w:pPr>
            <w:r>
              <w:t xml:space="preserve">6 986</w:t>
            </w:r>
          </w:p>
        </w:tc>
        <w:tc>
          <w:tcPr/>
          <w:p>
            <w:pPr>
              <w:pStyle w:val="Compact"/>
              <w:keepNext/>
              <w:jc w:val="left"/>
            </w:pPr>
            <w:r>
              <w:t xml:space="preserve">6 276</w:t>
            </w:r>
          </w:p>
        </w:tc>
        <w:tc>
          <w:tcPr/>
          <w:p>
            <w:pPr>
              <w:pStyle w:val="Compact"/>
              <w:keepNext/>
              <w:jc w:val="left"/>
            </w:pPr>
            <w:r>
              <w:t xml:space="preserve">5 632</w:t>
            </w:r>
          </w:p>
        </w:tc>
      </w:tr>
      <w:tr>
        <w:trPr>
          <w:cantSplit/>
        </w:trPr>
        <w:tc>
          <w:tcPr/>
          <w:p>
            <w:pPr>
              <w:pStyle w:val="Compact"/>
              <w:keepNext/>
              <w:jc w:val="left"/>
            </w:pPr>
            <w:r>
              <w:t xml:space="preserve">Івано-Франківська</w:t>
            </w:r>
          </w:p>
        </w:tc>
        <w:tc>
          <w:tcPr/>
          <w:p>
            <w:pPr>
              <w:pStyle w:val="Compact"/>
              <w:keepNext/>
              <w:jc w:val="left"/>
            </w:pPr>
            <w:r>
              <w:t xml:space="preserve">10 545</w:t>
            </w:r>
          </w:p>
        </w:tc>
        <w:tc>
          <w:tcPr/>
          <w:p>
            <w:pPr>
              <w:pStyle w:val="Compact"/>
              <w:keepNext/>
              <w:jc w:val="left"/>
            </w:pPr>
            <w:r>
              <w:t xml:space="preserve">9 774</w:t>
            </w:r>
          </w:p>
        </w:tc>
        <w:tc>
          <w:tcPr/>
          <w:p>
            <w:pPr>
              <w:pStyle w:val="Compact"/>
              <w:keepNext/>
              <w:jc w:val="left"/>
            </w:pPr>
            <w:r>
              <w:t xml:space="preserve">8 967</w:t>
            </w:r>
          </w:p>
        </w:tc>
        <w:tc>
          <w:tcPr/>
          <w:p>
            <w:pPr>
              <w:pStyle w:val="Compact"/>
              <w:keepNext/>
              <w:jc w:val="left"/>
            </w:pPr>
            <w:r>
              <w:t xml:space="preserve">8 216</w:t>
            </w:r>
          </w:p>
        </w:tc>
        <w:tc>
          <w:tcPr/>
          <w:p>
            <w:pPr>
              <w:pStyle w:val="Compact"/>
              <w:keepNext/>
              <w:jc w:val="left"/>
            </w:pPr>
            <w:r>
              <w:t xml:space="preserve">7 520</w:t>
            </w:r>
          </w:p>
        </w:tc>
        <w:tc>
          <w:tcPr/>
          <w:p>
            <w:pPr>
              <w:pStyle w:val="Compact"/>
              <w:keepNext/>
              <w:jc w:val="left"/>
            </w:pPr>
            <w:r>
              <w:t xml:space="preserve">6 875</w:t>
            </w:r>
          </w:p>
        </w:tc>
      </w:tr>
      <w:tr>
        <w:trPr>
          <w:cantSplit/>
        </w:trPr>
        <w:tc>
          <w:tcPr/>
          <w:p>
            <w:pPr>
              <w:pStyle w:val="Compact"/>
              <w:keepNext/>
              <w:jc w:val="left"/>
            </w:pPr>
            <w:r>
              <w:t xml:space="preserve">Київська</w:t>
            </w:r>
          </w:p>
        </w:tc>
        <w:tc>
          <w:tcPr/>
          <w:p>
            <w:pPr>
              <w:pStyle w:val="Compact"/>
              <w:keepNext/>
              <w:jc w:val="left"/>
            </w:pPr>
            <w:r>
              <w:t xml:space="preserve">12 632</w:t>
            </w:r>
          </w:p>
        </w:tc>
        <w:tc>
          <w:tcPr/>
          <w:p>
            <w:pPr>
              <w:pStyle w:val="Compact"/>
              <w:keepNext/>
              <w:jc w:val="left"/>
            </w:pPr>
            <w:r>
              <w:t xml:space="preserve">11 411</w:t>
            </w:r>
          </w:p>
        </w:tc>
        <w:tc>
          <w:tcPr/>
          <w:p>
            <w:pPr>
              <w:pStyle w:val="Compact"/>
              <w:keepNext/>
              <w:jc w:val="left"/>
            </w:pPr>
            <w:r>
              <w:t xml:space="preserve">10 292</w:t>
            </w:r>
          </w:p>
        </w:tc>
        <w:tc>
          <w:tcPr/>
          <w:p>
            <w:pPr>
              <w:pStyle w:val="Compact"/>
              <w:keepNext/>
              <w:jc w:val="left"/>
            </w:pPr>
            <w:r>
              <w:t xml:space="preserve">9 272</w:t>
            </w:r>
          </w:p>
        </w:tc>
        <w:tc>
          <w:tcPr/>
          <w:p>
            <w:pPr>
              <w:pStyle w:val="Compact"/>
              <w:keepNext/>
              <w:jc w:val="left"/>
            </w:pPr>
            <w:r>
              <w:t xml:space="preserve">8 344</w:t>
            </w:r>
          </w:p>
        </w:tc>
        <w:tc>
          <w:tcPr/>
          <w:p>
            <w:pPr>
              <w:pStyle w:val="Compact"/>
              <w:keepNext/>
              <w:jc w:val="left"/>
            </w:pPr>
            <w:r>
              <w:t xml:space="preserve">7 499</w:t>
            </w:r>
          </w:p>
        </w:tc>
      </w:tr>
      <w:tr>
        <w:trPr>
          <w:cantSplit/>
        </w:trPr>
        <w:tc>
          <w:tcPr/>
          <w:p>
            <w:pPr>
              <w:pStyle w:val="Compact"/>
              <w:keepNext/>
              <w:jc w:val="left"/>
            </w:pPr>
            <w:r>
              <w:t xml:space="preserve">Кіровоградська</w:t>
            </w:r>
          </w:p>
        </w:tc>
        <w:tc>
          <w:tcPr/>
          <w:p>
            <w:pPr>
              <w:pStyle w:val="Compact"/>
              <w:keepNext/>
              <w:jc w:val="left"/>
            </w:pPr>
            <w:r>
              <w:t xml:space="preserve">5 533</w:t>
            </w:r>
          </w:p>
        </w:tc>
        <w:tc>
          <w:tcPr/>
          <w:p>
            <w:pPr>
              <w:pStyle w:val="Compact"/>
              <w:keepNext/>
              <w:jc w:val="left"/>
            </w:pPr>
            <w:r>
              <w:t xml:space="preserve">5 089</w:t>
            </w:r>
          </w:p>
        </w:tc>
        <w:tc>
          <w:tcPr/>
          <w:p>
            <w:pPr>
              <w:pStyle w:val="Compact"/>
              <w:keepNext/>
              <w:jc w:val="left"/>
            </w:pPr>
            <w:r>
              <w:t xml:space="preserve">4 671</w:t>
            </w:r>
          </w:p>
        </w:tc>
        <w:tc>
          <w:tcPr/>
          <w:p>
            <w:pPr>
              <w:pStyle w:val="Compact"/>
              <w:keepNext/>
              <w:jc w:val="left"/>
            </w:pPr>
            <w:r>
              <w:t xml:space="preserve">4 282</w:t>
            </w:r>
          </w:p>
        </w:tc>
        <w:tc>
          <w:tcPr/>
          <w:p>
            <w:pPr>
              <w:pStyle w:val="Compact"/>
              <w:keepNext/>
              <w:jc w:val="left"/>
            </w:pPr>
            <w:r>
              <w:t xml:space="preserve">3 921</w:t>
            </w:r>
          </w:p>
        </w:tc>
        <w:tc>
          <w:tcPr/>
          <w:p>
            <w:pPr>
              <w:pStyle w:val="Compact"/>
              <w:keepNext/>
              <w:jc w:val="left"/>
            </w:pPr>
            <w:r>
              <w:t xml:space="preserve">3 587</w:t>
            </w:r>
          </w:p>
        </w:tc>
      </w:tr>
      <w:tr>
        <w:trPr>
          <w:cantSplit/>
        </w:trPr>
        <w:tc>
          <w:tcPr/>
          <w:p>
            <w:pPr>
              <w:pStyle w:val="Compact"/>
              <w:keepNext/>
              <w:jc w:val="left"/>
            </w:pPr>
            <w:r>
              <w:t xml:space="preserve">Луганська</w:t>
            </w:r>
          </w:p>
        </w:tc>
        <w:tc>
          <w:tcPr/>
          <w:p>
            <w:pPr>
              <w:pStyle w:val="Compact"/>
              <w:keepNext/>
              <w:jc w:val="left"/>
            </w:pPr>
            <w:r>
              <w:t xml:space="preserve">3 356</w:t>
            </w:r>
          </w:p>
        </w:tc>
        <w:tc>
          <w:tcPr/>
          <w:p>
            <w:pPr>
              <w:pStyle w:val="Compact"/>
              <w:keepNext/>
              <w:jc w:val="left"/>
            </w:pPr>
            <w:r>
              <w:t xml:space="preserve">3 324</w:t>
            </w:r>
          </w:p>
        </w:tc>
        <w:tc>
          <w:tcPr/>
          <w:p>
            <w:pPr>
              <w:pStyle w:val="Compact"/>
              <w:keepNext/>
              <w:jc w:val="left"/>
            </w:pPr>
            <w:r>
              <w:t xml:space="preserve">3 287</w:t>
            </w:r>
          </w:p>
        </w:tc>
        <w:tc>
          <w:tcPr/>
          <w:p>
            <w:pPr>
              <w:pStyle w:val="Compact"/>
              <w:keepNext/>
              <w:jc w:val="left"/>
            </w:pPr>
            <w:r>
              <w:t xml:space="preserve">3 247</w:t>
            </w:r>
          </w:p>
        </w:tc>
        <w:tc>
          <w:tcPr/>
          <w:p>
            <w:pPr>
              <w:pStyle w:val="Compact"/>
              <w:keepNext/>
              <w:jc w:val="left"/>
            </w:pPr>
            <w:r>
              <w:t xml:space="preserve">3 203</w:t>
            </w:r>
          </w:p>
        </w:tc>
        <w:tc>
          <w:tcPr/>
          <w:p>
            <w:pPr>
              <w:pStyle w:val="Compact"/>
              <w:keepNext/>
              <w:jc w:val="left"/>
            </w:pPr>
            <w:r>
              <w:t xml:space="preserve">3 157</w:t>
            </w:r>
          </w:p>
        </w:tc>
      </w:tr>
      <w:tr>
        <w:trPr>
          <w:cantSplit/>
        </w:trPr>
        <w:tc>
          <w:tcPr/>
          <w:p>
            <w:pPr>
              <w:pStyle w:val="Compact"/>
              <w:keepNext/>
              <w:jc w:val="left"/>
            </w:pPr>
            <w:r>
              <w:t xml:space="preserve">Львівська</w:t>
            </w:r>
          </w:p>
        </w:tc>
        <w:tc>
          <w:tcPr/>
          <w:p>
            <w:pPr>
              <w:pStyle w:val="Compact"/>
              <w:keepNext/>
              <w:jc w:val="left"/>
            </w:pPr>
            <w:r>
              <w:t xml:space="preserve">19 440</w:t>
            </w:r>
          </w:p>
        </w:tc>
        <w:tc>
          <w:tcPr/>
          <w:p>
            <w:pPr>
              <w:pStyle w:val="Compact"/>
              <w:keepNext/>
              <w:jc w:val="left"/>
            </w:pPr>
            <w:r>
              <w:t xml:space="preserve">18 205</w:t>
            </w:r>
          </w:p>
        </w:tc>
        <w:tc>
          <w:tcPr/>
          <w:p>
            <w:pPr>
              <w:pStyle w:val="Compact"/>
              <w:keepNext/>
              <w:jc w:val="left"/>
            </w:pPr>
            <w:r>
              <w:t xml:space="preserve">16 923</w:t>
            </w:r>
          </w:p>
        </w:tc>
        <w:tc>
          <w:tcPr/>
          <w:p>
            <w:pPr>
              <w:pStyle w:val="Compact"/>
              <w:keepNext/>
              <w:jc w:val="left"/>
            </w:pPr>
            <w:r>
              <w:t xml:space="preserve">15 712</w:t>
            </w:r>
          </w:p>
        </w:tc>
        <w:tc>
          <w:tcPr/>
          <w:p>
            <w:pPr>
              <w:pStyle w:val="Compact"/>
              <w:keepNext/>
              <w:jc w:val="left"/>
            </w:pPr>
            <w:r>
              <w:t xml:space="preserve">14 571</w:t>
            </w:r>
          </w:p>
        </w:tc>
        <w:tc>
          <w:tcPr/>
          <w:p>
            <w:pPr>
              <w:pStyle w:val="Compact"/>
              <w:keepNext/>
              <w:jc w:val="left"/>
            </w:pPr>
            <w:r>
              <w:t xml:space="preserve">13 497</w:t>
            </w:r>
          </w:p>
        </w:tc>
      </w:tr>
      <w:tr>
        <w:trPr>
          <w:cantSplit/>
        </w:trPr>
        <w:tc>
          <w:tcPr/>
          <w:p>
            <w:pPr>
              <w:pStyle w:val="Compact"/>
              <w:keepNext/>
              <w:jc w:val="left"/>
            </w:pPr>
            <w:r>
              <w:t xml:space="preserve">Миколаївська</w:t>
            </w:r>
          </w:p>
        </w:tc>
        <w:tc>
          <w:tcPr/>
          <w:p>
            <w:pPr>
              <w:pStyle w:val="Compact"/>
              <w:keepNext/>
              <w:jc w:val="left"/>
            </w:pPr>
            <w:r>
              <w:t xml:space="preserve">7 029</w:t>
            </w:r>
          </w:p>
        </w:tc>
        <w:tc>
          <w:tcPr/>
          <w:p>
            <w:pPr>
              <w:pStyle w:val="Compact"/>
              <w:keepNext/>
              <w:jc w:val="left"/>
            </w:pPr>
            <w:r>
              <w:t xml:space="preserve">6 434</w:t>
            </w:r>
          </w:p>
        </w:tc>
        <w:tc>
          <w:tcPr/>
          <w:p>
            <w:pPr>
              <w:pStyle w:val="Compact"/>
              <w:keepNext/>
              <w:jc w:val="left"/>
            </w:pPr>
            <w:r>
              <w:t xml:space="preserve">5 880</w:t>
            </w:r>
          </w:p>
        </w:tc>
        <w:tc>
          <w:tcPr/>
          <w:p>
            <w:pPr>
              <w:pStyle w:val="Compact"/>
              <w:keepNext/>
              <w:jc w:val="left"/>
            </w:pPr>
            <w:r>
              <w:t xml:space="preserve">5 368</w:t>
            </w:r>
          </w:p>
        </w:tc>
        <w:tc>
          <w:tcPr/>
          <w:p>
            <w:pPr>
              <w:pStyle w:val="Compact"/>
              <w:keepNext/>
              <w:jc w:val="left"/>
            </w:pPr>
            <w:r>
              <w:t xml:space="preserve">4 895</w:t>
            </w:r>
          </w:p>
        </w:tc>
        <w:tc>
          <w:tcPr/>
          <w:p>
            <w:pPr>
              <w:pStyle w:val="Compact"/>
              <w:keepNext/>
              <w:jc w:val="left"/>
            </w:pPr>
            <w:r>
              <w:t xml:space="preserve">4 458</w:t>
            </w:r>
          </w:p>
        </w:tc>
      </w:tr>
      <w:tr>
        <w:trPr>
          <w:cantSplit/>
        </w:trPr>
        <w:tc>
          <w:tcPr/>
          <w:p>
            <w:pPr>
              <w:pStyle w:val="Compact"/>
              <w:keepNext/>
              <w:jc w:val="left"/>
            </w:pPr>
            <w:r>
              <w:t xml:space="preserve">Одеська</w:t>
            </w:r>
          </w:p>
        </w:tc>
        <w:tc>
          <w:tcPr/>
          <w:p>
            <w:pPr>
              <w:pStyle w:val="Compact"/>
              <w:keepNext/>
              <w:jc w:val="left"/>
            </w:pPr>
            <w:r>
              <w:t xml:space="preserve">19 280</w:t>
            </w:r>
          </w:p>
        </w:tc>
        <w:tc>
          <w:tcPr/>
          <w:p>
            <w:pPr>
              <w:pStyle w:val="Compact"/>
              <w:keepNext/>
              <w:jc w:val="left"/>
            </w:pPr>
            <w:r>
              <w:t xml:space="preserve">18 124</w:t>
            </w:r>
          </w:p>
        </w:tc>
        <w:tc>
          <w:tcPr/>
          <w:p>
            <w:pPr>
              <w:pStyle w:val="Compact"/>
              <w:keepNext/>
              <w:jc w:val="left"/>
            </w:pPr>
            <w:r>
              <w:t xml:space="preserve">16 996</w:t>
            </w:r>
          </w:p>
        </w:tc>
        <w:tc>
          <w:tcPr/>
          <w:p>
            <w:pPr>
              <w:pStyle w:val="Compact"/>
              <w:keepNext/>
              <w:jc w:val="left"/>
            </w:pPr>
            <w:r>
              <w:t xml:space="preserve">15 920</w:t>
            </w:r>
          </w:p>
        </w:tc>
        <w:tc>
          <w:tcPr/>
          <w:p>
            <w:pPr>
              <w:pStyle w:val="Compact"/>
              <w:keepNext/>
              <w:jc w:val="left"/>
            </w:pPr>
            <w:r>
              <w:t xml:space="preserve">14 894</w:t>
            </w:r>
          </w:p>
        </w:tc>
        <w:tc>
          <w:tcPr/>
          <w:p>
            <w:pPr>
              <w:pStyle w:val="Compact"/>
              <w:keepNext/>
              <w:jc w:val="left"/>
            </w:pPr>
            <w:r>
              <w:t xml:space="preserve">13 918</w:t>
            </w:r>
          </w:p>
        </w:tc>
      </w:tr>
      <w:tr>
        <w:trPr>
          <w:cantSplit/>
        </w:trPr>
        <w:tc>
          <w:tcPr/>
          <w:p>
            <w:pPr>
              <w:pStyle w:val="Compact"/>
              <w:keepNext/>
              <w:jc w:val="left"/>
            </w:pPr>
            <w:r>
              <w:t xml:space="preserve">Полтавська</w:t>
            </w:r>
          </w:p>
        </w:tc>
        <w:tc>
          <w:tcPr/>
          <w:p>
            <w:pPr>
              <w:pStyle w:val="Compact"/>
              <w:keepNext/>
              <w:jc w:val="left"/>
            </w:pPr>
            <w:r>
              <w:t xml:space="preserve">8 063</w:t>
            </w:r>
          </w:p>
        </w:tc>
        <w:tc>
          <w:tcPr/>
          <w:p>
            <w:pPr>
              <w:pStyle w:val="Compact"/>
              <w:keepNext/>
              <w:jc w:val="left"/>
            </w:pPr>
            <w:r>
              <w:t xml:space="preserve">7 475</w:t>
            </w:r>
          </w:p>
        </w:tc>
        <w:tc>
          <w:tcPr/>
          <w:p>
            <w:pPr>
              <w:pStyle w:val="Compact"/>
              <w:keepNext/>
              <w:jc w:val="left"/>
            </w:pPr>
            <w:r>
              <w:t xml:space="preserve">6 948</w:t>
            </w:r>
          </w:p>
        </w:tc>
        <w:tc>
          <w:tcPr/>
          <w:p>
            <w:pPr>
              <w:pStyle w:val="Compact"/>
              <w:keepNext/>
              <w:jc w:val="left"/>
            </w:pPr>
            <w:r>
              <w:t xml:space="preserve">6 450</w:t>
            </w:r>
          </w:p>
        </w:tc>
        <w:tc>
          <w:tcPr/>
          <w:p>
            <w:pPr>
              <w:pStyle w:val="Compact"/>
              <w:keepNext/>
              <w:jc w:val="left"/>
            </w:pPr>
            <w:r>
              <w:t xml:space="preserve">5 980</w:t>
            </w:r>
          </w:p>
        </w:tc>
        <w:tc>
          <w:tcPr/>
          <w:p>
            <w:pPr>
              <w:pStyle w:val="Compact"/>
              <w:keepNext/>
              <w:jc w:val="left"/>
            </w:pPr>
            <w:r>
              <w:t xml:space="preserve">5 539</w:t>
            </w:r>
          </w:p>
        </w:tc>
      </w:tr>
      <w:tr>
        <w:trPr>
          <w:cantSplit/>
        </w:trPr>
        <w:tc>
          <w:tcPr/>
          <w:p>
            <w:pPr>
              <w:pStyle w:val="Compact"/>
              <w:keepNext/>
              <w:jc w:val="left"/>
            </w:pPr>
            <w:r>
              <w:t xml:space="preserve">Рівненська</w:t>
            </w:r>
          </w:p>
        </w:tc>
        <w:tc>
          <w:tcPr/>
          <w:p>
            <w:pPr>
              <w:pStyle w:val="Compact"/>
              <w:keepNext/>
              <w:jc w:val="left"/>
            </w:pPr>
            <w:r>
              <w:t xml:space="preserve">11 691</w:t>
            </w:r>
          </w:p>
        </w:tc>
        <w:tc>
          <w:tcPr/>
          <w:p>
            <w:pPr>
              <w:pStyle w:val="Compact"/>
              <w:keepNext/>
              <w:jc w:val="left"/>
            </w:pPr>
            <w:r>
              <w:t xml:space="preserve">11 113</w:t>
            </w:r>
          </w:p>
        </w:tc>
        <w:tc>
          <w:tcPr/>
          <w:p>
            <w:pPr>
              <w:pStyle w:val="Compact"/>
              <w:keepNext/>
              <w:jc w:val="left"/>
            </w:pPr>
            <w:r>
              <w:t xml:space="preserve">10 605</w:t>
            </w:r>
          </w:p>
        </w:tc>
        <w:tc>
          <w:tcPr/>
          <w:p>
            <w:pPr>
              <w:pStyle w:val="Compact"/>
              <w:keepNext/>
              <w:jc w:val="left"/>
            </w:pPr>
            <w:r>
              <w:t xml:space="preserve">10 108</w:t>
            </w:r>
          </w:p>
        </w:tc>
        <w:tc>
          <w:tcPr/>
          <w:p>
            <w:pPr>
              <w:pStyle w:val="Compact"/>
              <w:keepNext/>
              <w:jc w:val="left"/>
            </w:pPr>
            <w:r>
              <w:t xml:space="preserve">9 623</w:t>
            </w:r>
          </w:p>
        </w:tc>
        <w:tc>
          <w:tcPr/>
          <w:p>
            <w:pPr>
              <w:pStyle w:val="Compact"/>
              <w:keepNext/>
              <w:jc w:val="left"/>
            </w:pPr>
            <w:r>
              <w:t xml:space="preserve">9 152</w:t>
            </w:r>
          </w:p>
        </w:tc>
      </w:tr>
      <w:tr>
        <w:trPr>
          <w:cantSplit/>
        </w:trPr>
        <w:tc>
          <w:tcPr/>
          <w:p>
            <w:pPr>
              <w:pStyle w:val="Compact"/>
              <w:keepNext/>
              <w:jc w:val="left"/>
            </w:pPr>
            <w:r>
              <w:t xml:space="preserve">Сумська</w:t>
            </w:r>
          </w:p>
        </w:tc>
        <w:tc>
          <w:tcPr/>
          <w:p>
            <w:pPr>
              <w:pStyle w:val="Compact"/>
              <w:keepNext/>
              <w:jc w:val="left"/>
            </w:pPr>
            <w:r>
              <w:t xml:space="preserve">5 484</w:t>
            </w:r>
          </w:p>
        </w:tc>
        <w:tc>
          <w:tcPr/>
          <w:p>
            <w:pPr>
              <w:pStyle w:val="Compact"/>
              <w:keepNext/>
              <w:jc w:val="left"/>
            </w:pPr>
            <w:r>
              <w:t xml:space="preserve">4 978</w:t>
            </w:r>
          </w:p>
        </w:tc>
        <w:tc>
          <w:tcPr/>
          <w:p>
            <w:pPr>
              <w:pStyle w:val="Compact"/>
              <w:keepNext/>
              <w:jc w:val="left"/>
            </w:pPr>
            <w:r>
              <w:t xml:space="preserve">4 522</w:t>
            </w:r>
          </w:p>
        </w:tc>
        <w:tc>
          <w:tcPr/>
          <w:p>
            <w:pPr>
              <w:pStyle w:val="Compact"/>
              <w:keepNext/>
              <w:jc w:val="left"/>
            </w:pPr>
            <w:r>
              <w:t xml:space="preserve">4 102</w:t>
            </w:r>
          </w:p>
        </w:tc>
        <w:tc>
          <w:tcPr/>
          <w:p>
            <w:pPr>
              <w:pStyle w:val="Compact"/>
              <w:keepNext/>
              <w:jc w:val="left"/>
            </w:pPr>
            <w:r>
              <w:t xml:space="preserve">3 718</w:t>
            </w:r>
          </w:p>
        </w:tc>
        <w:tc>
          <w:tcPr/>
          <w:p>
            <w:pPr>
              <w:pStyle w:val="Compact"/>
              <w:keepNext/>
              <w:jc w:val="left"/>
            </w:pPr>
            <w:r>
              <w:t xml:space="preserve">3 365</w:t>
            </w:r>
          </w:p>
        </w:tc>
      </w:tr>
      <w:tr>
        <w:trPr>
          <w:cantSplit/>
        </w:trPr>
        <w:tc>
          <w:tcPr/>
          <w:p>
            <w:pPr>
              <w:pStyle w:val="Compact"/>
              <w:keepNext/>
              <w:jc w:val="left"/>
            </w:pPr>
            <w:r>
              <w:t xml:space="preserve">Тернопільська</w:t>
            </w:r>
          </w:p>
        </w:tc>
        <w:tc>
          <w:tcPr/>
          <w:p>
            <w:pPr>
              <w:pStyle w:val="Compact"/>
              <w:keepNext/>
              <w:jc w:val="left"/>
            </w:pPr>
            <w:r>
              <w:t xml:space="preserve">7 275</w:t>
            </w:r>
          </w:p>
        </w:tc>
        <w:tc>
          <w:tcPr/>
          <w:p>
            <w:pPr>
              <w:pStyle w:val="Compact"/>
              <w:keepNext/>
              <w:jc w:val="left"/>
            </w:pPr>
            <w:r>
              <w:t xml:space="preserve">6 878</w:t>
            </w:r>
          </w:p>
        </w:tc>
        <w:tc>
          <w:tcPr/>
          <w:p>
            <w:pPr>
              <w:pStyle w:val="Compact"/>
              <w:keepNext/>
              <w:jc w:val="left"/>
            </w:pPr>
            <w:r>
              <w:t xml:space="preserve">6 463</w:t>
            </w:r>
          </w:p>
        </w:tc>
        <w:tc>
          <w:tcPr/>
          <w:p>
            <w:pPr>
              <w:pStyle w:val="Compact"/>
              <w:keepNext/>
              <w:jc w:val="left"/>
            </w:pPr>
            <w:r>
              <w:t xml:space="preserve">6 066</w:t>
            </w:r>
          </w:p>
        </w:tc>
        <w:tc>
          <w:tcPr/>
          <w:p>
            <w:pPr>
              <w:pStyle w:val="Compact"/>
              <w:keepNext/>
              <w:jc w:val="left"/>
            </w:pPr>
            <w:r>
              <w:t xml:space="preserve">5 687</w:t>
            </w:r>
          </w:p>
        </w:tc>
        <w:tc>
          <w:tcPr/>
          <w:p>
            <w:pPr>
              <w:pStyle w:val="Compact"/>
              <w:keepNext/>
              <w:jc w:val="left"/>
            </w:pPr>
            <w:r>
              <w:t xml:space="preserve">5 325</w:t>
            </w:r>
          </w:p>
        </w:tc>
      </w:tr>
      <w:tr>
        <w:trPr>
          <w:cantSplit/>
        </w:trPr>
        <w:tc>
          <w:tcPr/>
          <w:p>
            <w:pPr>
              <w:pStyle w:val="Compact"/>
              <w:keepNext/>
              <w:jc w:val="left"/>
            </w:pPr>
            <w:r>
              <w:t xml:space="preserve">Харківська</w:t>
            </w:r>
          </w:p>
        </w:tc>
        <w:tc>
          <w:tcPr/>
          <w:p>
            <w:pPr>
              <w:pStyle w:val="Compact"/>
              <w:keepNext/>
              <w:jc w:val="left"/>
            </w:pPr>
            <w:r>
              <w:t xml:space="preserve">15 482</w:t>
            </w:r>
          </w:p>
        </w:tc>
        <w:tc>
          <w:tcPr/>
          <w:p>
            <w:pPr>
              <w:pStyle w:val="Compact"/>
              <w:keepNext/>
              <w:jc w:val="left"/>
            </w:pPr>
            <w:r>
              <w:t xml:space="preserve">14 175</w:t>
            </w:r>
          </w:p>
        </w:tc>
        <w:tc>
          <w:tcPr/>
          <w:p>
            <w:pPr>
              <w:pStyle w:val="Compact"/>
              <w:keepNext/>
              <w:jc w:val="left"/>
            </w:pPr>
            <w:r>
              <w:t xml:space="preserve">12 971</w:t>
            </w:r>
          </w:p>
        </w:tc>
        <w:tc>
          <w:tcPr/>
          <w:p>
            <w:pPr>
              <w:pStyle w:val="Compact"/>
              <w:keepNext/>
              <w:jc w:val="left"/>
            </w:pPr>
            <w:r>
              <w:t xml:space="preserve">11 855</w:t>
            </w:r>
          </w:p>
        </w:tc>
        <w:tc>
          <w:tcPr/>
          <w:p>
            <w:pPr>
              <w:pStyle w:val="Compact"/>
              <w:keepNext/>
              <w:jc w:val="left"/>
            </w:pPr>
            <w:r>
              <w:t xml:space="preserve">10 822</w:t>
            </w:r>
          </w:p>
        </w:tc>
        <w:tc>
          <w:tcPr/>
          <w:p>
            <w:pPr>
              <w:pStyle w:val="Compact"/>
              <w:keepNext/>
              <w:jc w:val="left"/>
            </w:pPr>
            <w:r>
              <w:t xml:space="preserve">9 868</w:t>
            </w:r>
          </w:p>
        </w:tc>
      </w:tr>
      <w:tr>
        <w:trPr>
          <w:cantSplit/>
        </w:trPr>
        <w:tc>
          <w:tcPr/>
          <w:p>
            <w:pPr>
              <w:pStyle w:val="Compact"/>
              <w:keepNext/>
              <w:jc w:val="left"/>
            </w:pPr>
            <w:r>
              <w:t xml:space="preserve">Херсонська</w:t>
            </w:r>
          </w:p>
        </w:tc>
        <w:tc>
          <w:tcPr/>
          <w:p>
            <w:pPr>
              <w:pStyle w:val="Compact"/>
              <w:keepNext/>
              <w:jc w:val="left"/>
            </w:pPr>
            <w:r>
              <w:t xml:space="preserve">7 113</w:t>
            </w:r>
          </w:p>
        </w:tc>
        <w:tc>
          <w:tcPr/>
          <w:p>
            <w:pPr>
              <w:pStyle w:val="Compact"/>
              <w:keepNext/>
              <w:jc w:val="left"/>
            </w:pPr>
            <w:r>
              <w:t xml:space="preserve">6 464</w:t>
            </w:r>
          </w:p>
        </w:tc>
        <w:tc>
          <w:tcPr/>
          <w:p>
            <w:pPr>
              <w:pStyle w:val="Compact"/>
              <w:keepNext/>
              <w:jc w:val="left"/>
            </w:pPr>
            <w:r>
              <w:t xml:space="preserve">5 892</w:t>
            </w:r>
          </w:p>
        </w:tc>
        <w:tc>
          <w:tcPr/>
          <w:p>
            <w:pPr>
              <w:pStyle w:val="Compact"/>
              <w:keepNext/>
              <w:jc w:val="left"/>
            </w:pPr>
            <w:r>
              <w:t xml:space="preserve">5 364</w:t>
            </w:r>
          </w:p>
        </w:tc>
        <w:tc>
          <w:tcPr/>
          <w:p>
            <w:pPr>
              <w:pStyle w:val="Compact"/>
              <w:keepNext/>
              <w:jc w:val="left"/>
            </w:pPr>
            <w:r>
              <w:t xml:space="preserve">4 878</w:t>
            </w:r>
          </w:p>
        </w:tc>
        <w:tc>
          <w:tcPr/>
          <w:p>
            <w:pPr>
              <w:pStyle w:val="Compact"/>
              <w:keepNext/>
              <w:jc w:val="left"/>
            </w:pPr>
            <w:r>
              <w:t xml:space="preserve">4 431</w:t>
            </w:r>
          </w:p>
        </w:tc>
      </w:tr>
      <w:tr>
        <w:trPr>
          <w:cantSplit/>
        </w:trPr>
        <w:tc>
          <w:tcPr/>
          <w:p>
            <w:pPr>
              <w:pStyle w:val="Compact"/>
              <w:keepNext/>
              <w:jc w:val="left"/>
            </w:pPr>
            <w:r>
              <w:t xml:space="preserve">Хмельницька</w:t>
            </w:r>
          </w:p>
        </w:tc>
        <w:tc>
          <w:tcPr/>
          <w:p>
            <w:pPr>
              <w:pStyle w:val="Compact"/>
              <w:keepNext/>
              <w:jc w:val="left"/>
            </w:pPr>
            <w:r>
              <w:t xml:space="preserve">8 681</w:t>
            </w:r>
          </w:p>
        </w:tc>
        <w:tc>
          <w:tcPr/>
          <w:p>
            <w:pPr>
              <w:pStyle w:val="Compact"/>
              <w:keepNext/>
              <w:jc w:val="left"/>
            </w:pPr>
            <w:r>
              <w:t xml:space="preserve">8 009</w:t>
            </w:r>
          </w:p>
        </w:tc>
        <w:tc>
          <w:tcPr/>
          <w:p>
            <w:pPr>
              <w:pStyle w:val="Compact"/>
              <w:keepNext/>
              <w:jc w:val="left"/>
            </w:pPr>
            <w:r>
              <w:t xml:space="preserve">7 319</w:t>
            </w:r>
          </w:p>
        </w:tc>
        <w:tc>
          <w:tcPr/>
          <w:p>
            <w:pPr>
              <w:pStyle w:val="Compact"/>
              <w:keepNext/>
              <w:jc w:val="left"/>
            </w:pPr>
            <w:r>
              <w:t xml:space="preserve">6 680</w:t>
            </w:r>
          </w:p>
        </w:tc>
        <w:tc>
          <w:tcPr/>
          <w:p>
            <w:pPr>
              <w:pStyle w:val="Compact"/>
              <w:keepNext/>
              <w:jc w:val="left"/>
            </w:pPr>
            <w:r>
              <w:t xml:space="preserve">6 090</w:t>
            </w:r>
          </w:p>
        </w:tc>
        <w:tc>
          <w:tcPr/>
          <w:p>
            <w:pPr>
              <w:pStyle w:val="Compact"/>
              <w:keepNext/>
              <w:jc w:val="left"/>
            </w:pPr>
            <w:r>
              <w:t xml:space="preserve">5 545</w:t>
            </w:r>
          </w:p>
        </w:tc>
      </w:tr>
      <w:tr>
        <w:trPr>
          <w:cantSplit/>
        </w:trPr>
        <w:tc>
          <w:tcPr/>
          <w:p>
            <w:pPr>
              <w:pStyle w:val="Compact"/>
              <w:keepNext/>
              <w:jc w:val="left"/>
            </w:pPr>
            <w:r>
              <w:t xml:space="preserve">Черкаська</w:t>
            </w:r>
          </w:p>
        </w:tc>
        <w:tc>
          <w:tcPr/>
          <w:p>
            <w:pPr>
              <w:pStyle w:val="Compact"/>
              <w:keepNext/>
              <w:jc w:val="left"/>
            </w:pPr>
            <w:r>
              <w:t xml:space="preserve">6 825</w:t>
            </w:r>
          </w:p>
        </w:tc>
        <w:tc>
          <w:tcPr/>
          <w:p>
            <w:pPr>
              <w:pStyle w:val="Compact"/>
              <w:keepNext/>
              <w:jc w:val="left"/>
            </w:pPr>
            <w:r>
              <w:t xml:space="preserve">6 350</w:t>
            </w:r>
          </w:p>
        </w:tc>
        <w:tc>
          <w:tcPr/>
          <w:p>
            <w:pPr>
              <w:pStyle w:val="Compact"/>
              <w:keepNext/>
              <w:jc w:val="left"/>
            </w:pPr>
            <w:r>
              <w:t xml:space="preserve">5 924</w:t>
            </w:r>
          </w:p>
        </w:tc>
        <w:tc>
          <w:tcPr/>
          <w:p>
            <w:pPr>
              <w:pStyle w:val="Compact"/>
              <w:keepNext/>
              <w:jc w:val="left"/>
            </w:pPr>
            <w:r>
              <w:t xml:space="preserve">5 521</w:t>
            </w:r>
          </w:p>
        </w:tc>
        <w:tc>
          <w:tcPr/>
          <w:p>
            <w:pPr>
              <w:pStyle w:val="Compact"/>
              <w:keepNext/>
              <w:jc w:val="left"/>
            </w:pPr>
            <w:r>
              <w:t xml:space="preserve">5 138</w:t>
            </w:r>
          </w:p>
        </w:tc>
        <w:tc>
          <w:tcPr/>
          <w:p>
            <w:pPr>
              <w:pStyle w:val="Compact"/>
              <w:keepNext/>
              <w:jc w:val="left"/>
            </w:pPr>
            <w:r>
              <w:t xml:space="preserve">4 777</w:t>
            </w:r>
          </w:p>
        </w:tc>
      </w:tr>
      <w:tr>
        <w:trPr>
          <w:cantSplit/>
        </w:trPr>
        <w:tc>
          <w:tcPr/>
          <w:p>
            <w:pPr>
              <w:pStyle w:val="Compact"/>
              <w:keepNext/>
              <w:jc w:val="left"/>
            </w:pPr>
            <w:r>
              <w:t xml:space="preserve">Чернівецька</w:t>
            </w:r>
          </w:p>
        </w:tc>
        <w:tc>
          <w:tcPr/>
          <w:p>
            <w:pPr>
              <w:pStyle w:val="Compact"/>
              <w:keepNext/>
              <w:jc w:val="left"/>
            </w:pPr>
            <w:r>
              <w:t xml:space="preserve">7 836</w:t>
            </w:r>
          </w:p>
        </w:tc>
        <w:tc>
          <w:tcPr/>
          <w:p>
            <w:pPr>
              <w:pStyle w:val="Compact"/>
              <w:keepNext/>
              <w:jc w:val="left"/>
            </w:pPr>
            <w:r>
              <w:t xml:space="preserve">7 532</w:t>
            </w:r>
          </w:p>
        </w:tc>
        <w:tc>
          <w:tcPr/>
          <w:p>
            <w:pPr>
              <w:pStyle w:val="Compact"/>
              <w:keepNext/>
              <w:jc w:val="left"/>
            </w:pPr>
            <w:r>
              <w:t xml:space="preserve">7 245</w:t>
            </w:r>
          </w:p>
        </w:tc>
        <w:tc>
          <w:tcPr/>
          <w:p>
            <w:pPr>
              <w:pStyle w:val="Compact"/>
              <w:keepNext/>
              <w:jc w:val="left"/>
            </w:pPr>
            <w:r>
              <w:t xml:space="preserve">6 959</w:t>
            </w:r>
          </w:p>
        </w:tc>
        <w:tc>
          <w:tcPr/>
          <w:p>
            <w:pPr>
              <w:pStyle w:val="Compact"/>
              <w:keepNext/>
              <w:jc w:val="left"/>
            </w:pPr>
            <w:r>
              <w:t xml:space="preserve">6 678</w:t>
            </w:r>
          </w:p>
        </w:tc>
        <w:tc>
          <w:tcPr/>
          <w:p>
            <w:pPr>
              <w:pStyle w:val="Compact"/>
              <w:keepNext/>
              <w:jc w:val="left"/>
            </w:pPr>
            <w:r>
              <w:t xml:space="preserve">6 400</w:t>
            </w:r>
          </w:p>
        </w:tc>
      </w:tr>
      <w:tr>
        <w:trPr>
          <w:cantSplit/>
        </w:trPr>
        <w:tc>
          <w:tcPr/>
          <w:p>
            <w:pPr>
              <w:pStyle w:val="Compact"/>
              <w:keepNext/>
              <w:jc w:val="left"/>
            </w:pPr>
            <w:r>
              <w:t xml:space="preserve">Чернігівська</w:t>
            </w:r>
          </w:p>
        </w:tc>
        <w:tc>
          <w:tcPr/>
          <w:p>
            <w:pPr>
              <w:pStyle w:val="Compact"/>
              <w:keepNext/>
              <w:jc w:val="left"/>
            </w:pPr>
            <w:r>
              <w:t xml:space="preserve">5 338</w:t>
            </w:r>
          </w:p>
        </w:tc>
        <w:tc>
          <w:tcPr/>
          <w:p>
            <w:pPr>
              <w:pStyle w:val="Compact"/>
              <w:keepNext/>
              <w:jc w:val="left"/>
            </w:pPr>
            <w:r>
              <w:t xml:space="preserve">4 907</w:t>
            </w:r>
          </w:p>
        </w:tc>
        <w:tc>
          <w:tcPr/>
          <w:p>
            <w:pPr>
              <w:pStyle w:val="Compact"/>
              <w:keepNext/>
              <w:jc w:val="left"/>
            </w:pPr>
            <w:r>
              <w:t xml:space="preserve">4 487</w:t>
            </w:r>
          </w:p>
        </w:tc>
        <w:tc>
          <w:tcPr/>
          <w:p>
            <w:pPr>
              <w:pStyle w:val="Compact"/>
              <w:keepNext/>
              <w:jc w:val="left"/>
            </w:pPr>
            <w:r>
              <w:t xml:space="preserve">4 097</w:t>
            </w:r>
          </w:p>
        </w:tc>
        <w:tc>
          <w:tcPr/>
          <w:p>
            <w:pPr>
              <w:pStyle w:val="Compact"/>
              <w:keepNext/>
              <w:jc w:val="left"/>
            </w:pPr>
            <w:r>
              <w:t xml:space="preserve">3 738</w:t>
            </w:r>
          </w:p>
        </w:tc>
        <w:tc>
          <w:tcPr/>
          <w:p>
            <w:pPr>
              <w:pStyle w:val="Compact"/>
              <w:keepNext/>
              <w:jc w:val="left"/>
            </w:pPr>
            <w:r>
              <w:t xml:space="preserve">3 405</w:t>
            </w:r>
          </w:p>
        </w:tc>
      </w:tr>
      <w:tr>
        <w:trPr>
          <w:cantSplit/>
        </w:trPr>
        <w:tc>
          <w:tcPr/>
          <w:p>
            <w:pPr>
              <w:pStyle w:val="Compact"/>
              <w:jc w:val="left"/>
            </w:pPr>
            <w:r>
              <w:t xml:space="preserve">Київ</w:t>
            </w:r>
          </w:p>
        </w:tc>
        <w:tc>
          <w:tcPr/>
          <w:p>
            <w:pPr>
              <w:pStyle w:val="Compact"/>
              <w:jc w:val="left"/>
            </w:pPr>
            <w:r>
              <w:t xml:space="preserve">29 611</w:t>
            </w:r>
          </w:p>
        </w:tc>
        <w:tc>
          <w:tcPr/>
          <w:p>
            <w:pPr>
              <w:pStyle w:val="Compact"/>
              <w:jc w:val="left"/>
            </w:pPr>
            <w:r>
              <w:t xml:space="preserve">28 313</w:t>
            </w:r>
          </w:p>
        </w:tc>
        <w:tc>
          <w:tcPr/>
          <w:p>
            <w:pPr>
              <w:pStyle w:val="Compact"/>
              <w:jc w:val="left"/>
            </w:pPr>
            <w:r>
              <w:t xml:space="preserve">27 218</w:t>
            </w:r>
          </w:p>
        </w:tc>
        <w:tc>
          <w:tcPr/>
          <w:p>
            <w:pPr>
              <w:pStyle w:val="Compact"/>
              <w:jc w:val="left"/>
            </w:pPr>
            <w:r>
              <w:t xml:space="preserve">26 262</w:t>
            </w:r>
          </w:p>
        </w:tc>
        <w:tc>
          <w:tcPr/>
          <w:p>
            <w:pPr>
              <w:pStyle w:val="Compact"/>
              <w:jc w:val="left"/>
            </w:pPr>
            <w:r>
              <w:t xml:space="preserve">25 412</w:t>
            </w:r>
          </w:p>
        </w:tc>
        <w:tc>
          <w:tcPr/>
          <w:p>
            <w:pPr>
              <w:pStyle w:val="Compact"/>
              <w:jc w:val="left"/>
            </w:pPr>
            <w:r>
              <w:t xml:space="preserve">24 645</w:t>
            </w:r>
          </w:p>
        </w:tc>
      </w:tr>
    </w:tbl>
    <w:p>
      <w:pPr>
        <w:pStyle w:val="FigureImage"/>
        <w:spacing w:before="420"/>
      </w:pPr>
      <w:r>
        <w:drawing>
          <wp:inline>
            <wp:extent cx="5930900" cy="4942416"/>
            <wp:effectExtent b="0" l="0" r="0" t="0"/>
            <wp:docPr descr="Прогноз за областями" title="" id="45" name="Picture"/>
            <a:graphic>
              <a:graphicData uri="http://schemas.openxmlformats.org/drawingml/2006/picture">
                <pic:pic>
                  <pic:nvPicPr>
                    <pic:cNvPr descr="assets/07_regions_forecast.png" id="46" name="Picture"/>
                    <pic:cNvPicPr>
                      <a:picLocks noChangeArrowheads="1" noChangeAspect="1"/>
                    </pic:cNvPicPr>
                  </pic:nvPicPr>
                  <pic:blipFill>
                    <a:blip r:embed="rId44"/>
                    <a:stretch>
                      <a:fillRect/>
                    </a:stretch>
                  </pic:blipFill>
                  <pic:spPr bwMode="auto">
                    <a:xfrm>
                      <a:off x="0" y="0"/>
                      <a:ext cx="5930900" cy="4942416"/>
                    </a:xfrm>
                    <a:prstGeom prst="rect">
                      <a:avLst/>
                    </a:prstGeom>
                    <a:noFill/>
                    <a:ln w="9525">
                      <a:noFill/>
                      <a:headEnd/>
                      <a:tailEnd/>
                    </a:ln>
                  </pic:spPr>
                </pic:pic>
              </a:graphicData>
            </a:graphic>
          </wp:inline>
        </w:drawing>
      </w:r>
    </w:p>
    <w:p>
      <w:pPr>
        <w:pStyle w:val="FigureCaption"/>
      </w:pPr>
      <w:r>
        <w:t xml:space="preserve">Рисунок 9 – Прогноз за областями: TD-FP і TD-AHP</w:t>
      </w:r>
    </w:p>
    <w:p>
      <w:pPr>
        <w:pStyle w:val="BodyText"/>
      </w:pPr>
      <w:r>
        <w:t xml:space="preserve">Найшвидше, на 39–41 % за п’ять років, знижується народжуваність у Запорізькій, Київській</w:t>
      </w:r>
      <w:r>
        <w:t xml:space="preserve"> </w:t>
      </w:r>
      <w:r>
        <w:t xml:space="preserve">і Сумській областях. Найповільніше – у Донецькій і Луганській (6 %), де прогноз дає</w:t>
      </w:r>
      <w:r>
        <w:t xml:space="preserve"> </w:t>
      </w:r>
      <w:r>
        <w:t xml:space="preserve">просте згладжування, а також у Закарпатській області і Києві (16–17 %). TD-AHP на першому кроці</w:t>
      </w:r>
      <w:r>
        <w:t xml:space="preserve"> </w:t>
      </w:r>
      <w:r>
        <w:t xml:space="preserve">стрибком повертає області до історичних часток: Донецька і Луганська зростають удвічі,</w:t>
      </w:r>
      <w:r>
        <w:t xml:space="preserve"> </w:t>
      </w:r>
      <w:r>
        <w:t xml:space="preserve">а Київ падає з 29,6 до 16,8 тис. Ці стрибки й дають його великі похибки в таблиці 1.</w:t>
      </w:r>
      <w:r>
        <w:t xml:space="preserve"> </w:t>
      </w:r>
      <w:r>
        <w:t xml:space="preserve">Повний прогноз усіх 75 вузлів збережено у файл births_forecast.xlsx.</w:t>
      </w:r>
    </w:p>
    <w:p>
      <w:pPr>
        <w:pStyle w:val="FigureImage"/>
      </w:pPr>
      <w:r>
        <w:drawing>
          <wp:inline>
            <wp:extent cx="5930900" cy="1680421"/>
            <wp:effectExtent b="0" l="0" r="0" t="0"/>
            <wp:docPr descr="Middle-out" title="" id="48" name="Picture"/>
            <a:graphic>
              <a:graphicData uri="http://schemas.openxmlformats.org/drawingml/2006/picture">
                <pic:pic>
                  <pic:nvPicPr>
                    <pic:cNvPr descr="assets/08_middle_out.png" id="49" name="Picture"/>
                    <pic:cNvPicPr>
                      <a:picLocks noChangeArrowheads="1" noChangeAspect="1"/>
                    </pic:cNvPicPr>
                  </pic:nvPicPr>
                  <pic:blipFill>
                    <a:blip r:embed="rId47"/>
                    <a:stretch>
                      <a:fillRect/>
                    </a:stretch>
                  </pic:blipFill>
                  <pic:spPr bwMode="auto">
                    <a:xfrm>
                      <a:off x="0" y="0"/>
                      <a:ext cx="5930900" cy="1680421"/>
                    </a:xfrm>
                    <a:prstGeom prst="rect">
                      <a:avLst/>
                    </a:prstGeom>
                    <a:noFill/>
                    <a:ln w="9525">
                      <a:noFill/>
                      <a:headEnd/>
                      <a:tailEnd/>
                    </a:ln>
                  </pic:spPr>
                </pic:pic>
              </a:graphicData>
            </a:graphic>
          </wp:inline>
        </w:drawing>
      </w:r>
    </w:p>
    <w:p>
      <w:pPr>
        <w:pStyle w:val="FigureCaption"/>
      </w:pPr>
      <w:r>
        <w:t xml:space="preserve">Рисунок 10 – Прогноз міської і сільської місцевості: MO, TD-FP і TD-AHP</w:t>
      </w:r>
    </w:p>
    <w:p>
      <w:pPr>
        <w:pStyle w:val="BodyText"/>
      </w:pPr>
      <w:r>
        <w:t xml:space="preserve">На нижньому рівні MO і TD-FP дають близькі траєкторії, бо обидва ділять прогноз</w:t>
      </w:r>
      <w:r>
        <w:t xml:space="preserve"> </w:t>
      </w:r>
      <w:r>
        <w:t xml:space="preserve">області за частками прогнозу. Відмінність лише в тому, з якого рівня береться</w:t>
      </w:r>
      <w:r>
        <w:t xml:space="preserve"> </w:t>
      </w:r>
      <w:r>
        <w:t xml:space="preserve">загальний обсяг. TD-AHP зсуває співвідношення міських і сільських народжень до</w:t>
      </w:r>
      <w:r>
        <w:t xml:space="preserve"> </w:t>
      </w:r>
      <w:r>
        <w:t xml:space="preserve">середнього за 30 років. У Закарпатській і Львівській областях це помітно занижує</w:t>
      </w:r>
      <w:r>
        <w:t xml:space="preserve"> </w:t>
      </w:r>
      <w:r>
        <w:t xml:space="preserve">прогноз сільських народжень.</w:t>
      </w:r>
    </w:p>
    <w:bookmarkEnd w:id="50"/>
    <w:bookmarkEnd w:id="51"/>
    <w:bookmarkStart w:id="52" w:name="програмний-код"/>
    <w:p>
      <w:pPr>
        <w:pStyle w:val="Heading2"/>
      </w:pPr>
      <w:r>
        <w:t xml:space="preserve">3.5. Програмний код</w:t>
      </w:r>
    </w:p>
    <w:p>
      <w:pPr>
        <w:pStyle w:val="FirstParagraph"/>
      </w:pPr>
      <w:r>
        <w:t xml:space="preserve">Повний код наведено в архіві проекту. Нижче – ключові фрагменти.</w:t>
      </w:r>
    </w:p>
    <w:p>
      <w:pPr>
        <w:pStyle w:val="BodyText"/>
      </w:pPr>
      <w:r>
        <w:t xml:space="preserve">Сумувальна матриця ієрархії:</w:t>
      </w:r>
    </w:p>
    <w:p>
      <w:pPr>
        <w:pStyle w:val="SourceCode"/>
      </w:pPr>
      <w:r>
        <w:rPr>
          <w:rStyle w:val="NormalTok"/>
        </w:rPr>
        <w:t xml:space="preserve">parent </w:t>
      </w:r>
      <w:r>
        <w:rPr>
          <w:rStyle w:val="OperatorTok"/>
        </w:rPr>
        <w:t xml:space="preserve">=</w:t>
      </w:r>
      <w:r>
        <w:rPr>
          <w:rStyle w:val="NormalTok"/>
        </w:rPr>
        <w:t xml:space="preserve"> np.array(parent)</w:t>
      </w:r>
      <w:r>
        <w:br/>
      </w:r>
      <w:r>
        <w:rPr>
          <w:rStyle w:val="NormalTok"/>
        </w:rPr>
        <w:t xml:space="preserve">bottom </w:t>
      </w:r>
      <w:r>
        <w:rPr>
          <w:rStyle w:val="OperatorTok"/>
        </w:rPr>
        <w:t xml:space="preserve">=</w:t>
      </w:r>
      <w:r>
        <w:rPr>
          <w:rStyle w:val="NormalTok"/>
        </w:rPr>
        <w:t xml:space="preserve"> np.array([i </w:t>
      </w:r>
      <w:r>
        <w:rPr>
          <w:rStyle w:val="ControlFlowTok"/>
        </w:rPr>
        <w:t xml:space="preserve">for</w:t>
      </w:r>
      <w:r>
        <w:rPr>
          <w:rStyle w:val="NormalTok"/>
        </w:rPr>
        <w:t xml:space="preserve"> i, _ </w:t>
      </w:r>
      <w:r>
        <w:rPr>
          <w:rStyle w:val="KeywordTok"/>
        </w:rPr>
        <w:t xml:space="preserve">in</w:t>
      </w:r>
      <w:r>
        <w:rPr>
          <w:rStyle w:val="NormalTok"/>
        </w:rPr>
        <w:t xml:space="preserve"> leaves])</w:t>
      </w:r>
      <w:r>
        <w:br/>
      </w:r>
      <w:r>
        <w:rPr>
          <w:rStyle w:val="NormalTok"/>
        </w:rPr>
        <w:t xml:space="preserve">S </w:t>
      </w:r>
      <w:r>
        <w:rPr>
          <w:rStyle w:val="OperatorTok"/>
        </w:rPr>
        <w:t xml:space="preserve">=</w:t>
      </w:r>
      <w:r>
        <w:rPr>
          <w:rStyle w:val="NormalTok"/>
        </w:rPr>
        <w:t xml:space="preserve"> np.zeros((</w:t>
      </w:r>
      <w:r>
        <w:rPr>
          <w:rStyle w:val="BuiltInTok"/>
        </w:rPr>
        <w:t xml:space="preserve">len</w:t>
      </w:r>
      <w:r>
        <w:rPr>
          <w:rStyle w:val="NormalTok"/>
        </w:rPr>
        <w:t xml:space="preserve">(names), </w:t>
      </w:r>
      <w:r>
        <w:rPr>
          <w:rStyle w:val="BuiltInTok"/>
        </w:rPr>
        <w:t xml:space="preserve">len</w:t>
      </w:r>
      <w:r>
        <w:rPr>
          <w:rStyle w:val="NormalTok"/>
        </w:rPr>
        <w:t xml:space="preserve">(bottom)))</w:t>
      </w:r>
      <w:r>
        <w:br/>
      </w:r>
      <w:r>
        <w:rPr>
          <w:rStyle w:val="ControlFlowTok"/>
        </w:rPr>
        <w:t xml:space="preserve">for</w:t>
      </w:r>
      <w:r>
        <w:rPr>
          <w:rStyle w:val="NormalTok"/>
        </w:rPr>
        <w:t xml:space="preserve"> j, i </w:t>
      </w:r>
      <w:r>
        <w:rPr>
          <w:rStyle w:val="KeywordTok"/>
        </w:rPr>
        <w:t xml:space="preserve">in</w:t>
      </w:r>
      <w:r>
        <w:rPr>
          <w:rStyle w:val="NormalTok"/>
        </w:rPr>
        <w:t xml:space="preserve"> </w:t>
      </w:r>
      <w:r>
        <w:rPr>
          <w:rStyle w:val="BuiltInTok"/>
        </w:rPr>
        <w:t xml:space="preserve">enumerate</w:t>
      </w:r>
      <w:r>
        <w:rPr>
          <w:rStyle w:val="NormalTok"/>
        </w:rPr>
        <w:t xml:space="preserve">(bottom):</w:t>
      </w:r>
      <w:r>
        <w:br/>
      </w:r>
      <w:r>
        <w:rPr>
          <w:rStyle w:val="NormalTok"/>
        </w:rPr>
        <w:t xml:space="preserve">    node </w:t>
      </w:r>
      <w:r>
        <w:rPr>
          <w:rStyle w:val="OperatorTok"/>
        </w:rPr>
        <w:t xml:space="preserve">=</w:t>
      </w:r>
      <w:r>
        <w:rPr>
          <w:rStyle w:val="NormalTok"/>
        </w:rPr>
        <w:t xml:space="preserve"> i</w:t>
      </w:r>
      <w:r>
        <w:br/>
      </w:r>
      <w:r>
        <w:rPr>
          <w:rStyle w:val="NormalTok"/>
        </w:rPr>
        <w:t xml:space="preserve">    </w:t>
      </w:r>
      <w:r>
        <w:rPr>
          <w:rStyle w:val="ControlFlowTok"/>
        </w:rPr>
        <w:t xml:space="preserve">while</w:t>
      </w:r>
      <w:r>
        <w:rPr>
          <w:rStyle w:val="NormalTok"/>
        </w:rPr>
        <w:t xml:space="preserve"> node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S[node, j] </w:t>
      </w:r>
      <w:r>
        <w:rPr>
          <w:rStyle w:val="OperatorTok"/>
        </w:rPr>
        <w:t xml:space="preserve">=</w:t>
      </w:r>
      <w:r>
        <w:rPr>
          <w:rStyle w:val="NormalTok"/>
        </w:rPr>
        <w:t xml:space="preserve"> </w:t>
      </w:r>
      <w:r>
        <w:rPr>
          <w:rStyle w:val="FloatTok"/>
        </w:rPr>
        <w:t xml:space="preserve">1.0</w:t>
      </w:r>
      <w:r>
        <w:br/>
      </w:r>
      <w:r>
        <w:rPr>
          <w:rStyle w:val="NormalTok"/>
        </w:rPr>
        <w:t xml:space="preserve">        node </w:t>
      </w:r>
      <w:r>
        <w:rPr>
          <w:rStyle w:val="OperatorTok"/>
        </w:rPr>
        <w:t xml:space="preserve">=</w:t>
      </w:r>
      <w:r>
        <w:rPr>
          <w:rStyle w:val="NormalTok"/>
        </w:rPr>
        <w:t xml:space="preserve"> parent[node]</w:t>
      </w:r>
      <w:r>
        <w:br/>
      </w:r>
      <w:r>
        <w:rPr>
          <w:rStyle w:val="NormalTok"/>
        </w:rPr>
        <w:t xml:space="preserve">B </w:t>
      </w:r>
      <w:r>
        <w:rPr>
          <w:rStyle w:val="OperatorTok"/>
        </w:rPr>
        <w:t xml:space="preserve">=</w:t>
      </w:r>
      <w:r>
        <w:rPr>
          <w:rStyle w:val="NormalTok"/>
        </w:rPr>
        <w:t xml:space="preserve"> table[[key </w:t>
      </w:r>
      <w:r>
        <w:rPr>
          <w:rStyle w:val="ControlFlowTok"/>
        </w:rPr>
        <w:t xml:space="preserve">for</w:t>
      </w:r>
      <w:r>
        <w:rPr>
          <w:rStyle w:val="NormalTok"/>
        </w:rPr>
        <w:t xml:space="preserve"> _, key </w:t>
      </w:r>
      <w:r>
        <w:rPr>
          <w:rStyle w:val="KeywordTok"/>
        </w:rPr>
        <w:t xml:space="preserve">in</w:t>
      </w:r>
      <w:r>
        <w:rPr>
          <w:rStyle w:val="NormalTok"/>
        </w:rPr>
        <w:t xml:space="preserve"> leaves]].to_numpy(dtype</w:t>
      </w:r>
      <w:r>
        <w:rPr>
          <w:rStyle w:val="OperatorTok"/>
        </w:rPr>
        <w:t xml:space="preserve">=</w:t>
      </w:r>
      <w:r>
        <w:rPr>
          <w:rStyle w:val="BuiltInTok"/>
        </w:rPr>
        <w:t xml:space="preserve">float</w:t>
      </w:r>
      <w:r>
        <w:rPr>
          <w:rStyle w:val="NormalTok"/>
        </w:rPr>
        <w:t xml:space="preserve">)</w:t>
      </w:r>
    </w:p>
    <w:p>
      <w:pPr>
        <w:pStyle w:val="FirstParagraph"/>
      </w:pPr>
      <w:r>
        <w:t xml:space="preserve">Узгодження за узагальненим МНК і стискання коваріації для MinT:</w:t>
      </w:r>
    </w:p>
    <w:p>
      <w:pPr>
        <w:pStyle w:val="SourceCode"/>
      </w:pPr>
      <w:r>
        <w:rPr>
          <w:rStyle w:val="KeywordTok"/>
        </w:rPr>
        <w:t xml:space="preserve">def</w:t>
      </w:r>
      <w:r>
        <w:rPr>
          <w:rStyle w:val="NormalTok"/>
        </w:rPr>
        <w:t xml:space="preserve"> projection(S, W):</w:t>
      </w:r>
      <w:r>
        <w:br/>
      </w:r>
      <w:r>
        <w:rPr>
          <w:rStyle w:val="NormalTok"/>
        </w:rPr>
        <w:t xml:space="preserve">    Wi </w:t>
      </w:r>
      <w:r>
        <w:rPr>
          <w:rStyle w:val="OperatorTok"/>
        </w:rPr>
        <w:t xml:space="preserve">=</w:t>
      </w:r>
      <w:r>
        <w:rPr>
          <w:rStyle w:val="NormalTok"/>
        </w:rPr>
        <w:t xml:space="preserve"> np.linalg.inv(W)</w:t>
      </w:r>
      <w:r>
        <w:br/>
      </w:r>
      <w:r>
        <w:rPr>
          <w:rStyle w:val="NormalTok"/>
        </w:rPr>
        <w:t xml:space="preserve">    </w:t>
      </w:r>
      <w:r>
        <w:rPr>
          <w:rStyle w:val="ControlFlowTok"/>
        </w:rPr>
        <w:t xml:space="preserve">return</w:t>
      </w:r>
      <w:r>
        <w:rPr>
          <w:rStyle w:val="NormalTok"/>
        </w:rPr>
        <w:t xml:space="preserve"> np.linalg.solve(S.T </w:t>
      </w:r>
      <w:r>
        <w:rPr>
          <w:rStyle w:val="OperatorTok"/>
        </w:rPr>
        <w:t xml:space="preserve">@</w:t>
      </w:r>
      <w:r>
        <w:rPr>
          <w:rStyle w:val="NormalTok"/>
        </w:rPr>
        <w:t xml:space="preserve"> Wi </w:t>
      </w:r>
      <w:r>
        <w:rPr>
          <w:rStyle w:val="OperatorTok"/>
        </w:rPr>
        <w:t xml:space="preserve">@</w:t>
      </w:r>
      <w:r>
        <w:rPr>
          <w:rStyle w:val="NormalTok"/>
        </w:rPr>
        <w:t xml:space="preserve"> S, S.T </w:t>
      </w:r>
      <w:r>
        <w:rPr>
          <w:rStyle w:val="OperatorTok"/>
        </w:rPr>
        <w:t xml:space="preserve">@</w:t>
      </w:r>
      <w:r>
        <w:rPr>
          <w:rStyle w:val="NormalTok"/>
        </w:rPr>
        <w:t xml:space="preserve"> Wi)</w:t>
      </w:r>
      <w:r>
        <w:br/>
      </w:r>
      <w:r>
        <w:br/>
      </w:r>
      <w:r>
        <w:br/>
      </w:r>
      <w:r>
        <w:rPr>
          <w:rStyle w:val="KeywordTok"/>
        </w:rPr>
        <w:t xml:space="preserve">def</w:t>
      </w:r>
      <w:r>
        <w:rPr>
          <w:rStyle w:val="NormalTok"/>
        </w:rPr>
        <w:t xml:space="preserve"> shrink_cov(E):</w:t>
      </w:r>
      <w:r>
        <w:br/>
      </w:r>
      <w:r>
        <w:rPr>
          <w:rStyle w:val="NormalTok"/>
        </w:rPr>
        <w:t xml:space="preserve">    T </w:t>
      </w:r>
      <w:r>
        <w:rPr>
          <w:rStyle w:val="OperatorTok"/>
        </w:rPr>
        <w:t xml:space="preserve">=</w:t>
      </w:r>
      <w:r>
        <w:rPr>
          <w:rStyle w:val="NormalTok"/>
        </w:rPr>
        <w:t xml:space="preserve"> </w:t>
      </w:r>
      <w:r>
        <w:rPr>
          <w:rStyle w:val="BuiltInTok"/>
        </w:rPr>
        <w:t xml:space="preserve">len</w:t>
      </w:r>
      <w:r>
        <w:rPr>
          <w:rStyle w:val="NormalTok"/>
        </w:rPr>
        <w:t xml:space="preserve">(E)</w:t>
      </w:r>
      <w:r>
        <w:br/>
      </w:r>
      <w:r>
        <w:rPr>
          <w:rStyle w:val="NormalTok"/>
        </w:rPr>
        <w:t xml:space="preserve">    cov </w:t>
      </w:r>
      <w:r>
        <w:rPr>
          <w:rStyle w:val="OperatorTok"/>
        </w:rPr>
        <w:t xml:space="preserve">=</w:t>
      </w:r>
      <w:r>
        <w:rPr>
          <w:rStyle w:val="NormalTok"/>
        </w:rPr>
        <w:t xml:space="preserve"> E.T </w:t>
      </w:r>
      <w:r>
        <w:rPr>
          <w:rStyle w:val="OperatorTok"/>
        </w:rPr>
        <w:t xml:space="preserve">@</w:t>
      </w:r>
      <w:r>
        <w:rPr>
          <w:rStyle w:val="NormalTok"/>
        </w:rPr>
        <w:t xml:space="preserve"> E </w:t>
      </w:r>
      <w:r>
        <w:rPr>
          <w:rStyle w:val="OperatorTok"/>
        </w:rPr>
        <w:t xml:space="preserve">/</w:t>
      </w:r>
      <w:r>
        <w:rPr>
          <w:rStyle w:val="NormalTok"/>
        </w:rPr>
        <w:t xml:space="preserve"> T</w:t>
      </w:r>
      <w:r>
        <w:br/>
      </w:r>
      <w:r>
        <w:rPr>
          <w:rStyle w:val="NormalTok"/>
        </w:rPr>
        <w:t xml:space="preserve">    sd </w:t>
      </w:r>
      <w:r>
        <w:rPr>
          <w:rStyle w:val="OperatorTok"/>
        </w:rPr>
        <w:t xml:space="preserve">=</w:t>
      </w:r>
      <w:r>
        <w:rPr>
          <w:rStyle w:val="NormalTok"/>
        </w:rPr>
        <w:t xml:space="preserve"> np.sqrt(np.diag(cov))</w:t>
      </w:r>
      <w:r>
        <w:br/>
      </w:r>
      <w:r>
        <w:rPr>
          <w:rStyle w:val="NormalTok"/>
        </w:rPr>
        <w:t xml:space="preserve">    X </w:t>
      </w:r>
      <w:r>
        <w:rPr>
          <w:rStyle w:val="OperatorTok"/>
        </w:rPr>
        <w:t xml:space="preserve">=</w:t>
      </w:r>
      <w:r>
        <w:rPr>
          <w:rStyle w:val="NormalTok"/>
        </w:rPr>
        <w:t xml:space="preserve"> E </w:t>
      </w:r>
      <w:r>
        <w:rPr>
          <w:rStyle w:val="OperatorTok"/>
        </w:rPr>
        <w:t xml:space="preserve">/</w:t>
      </w:r>
      <w:r>
        <w:rPr>
          <w:rStyle w:val="NormalTok"/>
        </w:rPr>
        <w:t xml:space="preserve"> sd</w:t>
      </w:r>
      <w:r>
        <w:br/>
      </w:r>
      <w:r>
        <w:rPr>
          <w:rStyle w:val="NormalTok"/>
        </w:rPr>
        <w:t xml:space="preserve">    R </w:t>
      </w:r>
      <w:r>
        <w:rPr>
          <w:rStyle w:val="OperatorTok"/>
        </w:rPr>
        <w:t xml:space="preserve">=</w:t>
      </w:r>
      <w:r>
        <w:rPr>
          <w:rStyle w:val="NormalTok"/>
        </w:rPr>
        <w:t xml:space="preserve"> cov </w:t>
      </w:r>
      <w:r>
        <w:rPr>
          <w:rStyle w:val="OperatorTok"/>
        </w:rPr>
        <w:t xml:space="preserve">/</w:t>
      </w:r>
      <w:r>
        <w:rPr>
          <w:rStyle w:val="NormalTok"/>
        </w:rPr>
        <w:t xml:space="preserve"> np.outer(sd, sd)</w:t>
      </w:r>
      <w:r>
        <w:br/>
      </w:r>
      <w:r>
        <w:rPr>
          <w:rStyle w:val="NormalTok"/>
        </w:rPr>
        <w:t xml:space="preserve">    v </w:t>
      </w:r>
      <w:r>
        <w:rPr>
          <w:rStyle w:val="OperatorTok"/>
        </w:rPr>
        <w:t xml:space="preserve">=</w:t>
      </w:r>
      <w:r>
        <w:rPr>
          <w:rStyle w:val="NormalTok"/>
        </w:rPr>
        <w:t xml:space="preserve"> (X</w:t>
      </w:r>
      <w:r>
        <w:rPr>
          <w:rStyle w:val="OperatorTok"/>
        </w:rPr>
        <w:t xml:space="preserve">**</w:t>
      </w:r>
      <w:r>
        <w:rPr>
          <w:rStyle w:val="DecValTok"/>
        </w:rPr>
        <w:t xml:space="preserve">2</w:t>
      </w:r>
      <w:r>
        <w:rPr>
          <w:rStyle w:val="NormalTok"/>
        </w:rPr>
        <w:t xml:space="preserve">).T </w:t>
      </w:r>
      <w:r>
        <w:rPr>
          <w:rStyle w:val="OperatorTok"/>
        </w:rPr>
        <w:t xml:space="preserve">@</w:t>
      </w:r>
      <w:r>
        <w:rPr>
          <w:rStyle w:val="NormalTok"/>
        </w:rPr>
        <w:t xml:space="preserve"> (X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(X.T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w:t>
      </w:r>
      <w:r>
        <w:br/>
      </w:r>
      <w:r>
        <w:rPr>
          <w:rStyle w:val="NormalTok"/>
        </w:rPr>
        <w:t xml:space="preserve">    v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np.fill_diagonal(v, </w:t>
      </w:r>
      <w:r>
        <w:rPr>
          <w:rStyle w:val="FloatTok"/>
        </w:rPr>
        <w:t xml:space="preserve">0.0</w:t>
      </w:r>
      <w:r>
        <w:rPr>
          <w:rStyle w:val="NormalTok"/>
        </w:rPr>
        <w:t xml:space="preserve">)</w:t>
      </w:r>
      <w:r>
        <w:br/>
      </w:r>
      <w:r>
        <w:rPr>
          <w:rStyle w:val="NormalTok"/>
        </w:rPr>
        <w:t xml:space="preserve">    d </w:t>
      </w:r>
      <w:r>
        <w:rPr>
          <w:rStyle w:val="OperatorTok"/>
        </w:rPr>
        <w:t xml:space="preserve">=</w:t>
      </w:r>
      <w:r>
        <w:rPr>
          <w:rStyle w:val="NormalTok"/>
        </w:rPr>
        <w:t xml:space="preserve"> R</w:t>
      </w:r>
      <w:r>
        <w:rPr>
          <w:rStyle w:val="OperatorTok"/>
        </w:rPr>
        <w:t xml:space="preserve">**</w:t>
      </w:r>
      <w:r>
        <w:rPr>
          <w:rStyle w:val="DecValTok"/>
        </w:rPr>
        <w:t xml:space="preserve">2</w:t>
      </w:r>
      <w:r>
        <w:br/>
      </w:r>
      <w:r>
        <w:rPr>
          <w:rStyle w:val="NormalTok"/>
        </w:rPr>
        <w:t xml:space="preserve">    np.fill_diagonal(d, </w:t>
      </w:r>
      <w:r>
        <w:rPr>
          <w:rStyle w:val="FloatTok"/>
        </w:rPr>
        <w:t xml:space="preserve">0.0</w:t>
      </w:r>
      <w:r>
        <w:rPr>
          <w:rStyle w:val="NormalTok"/>
        </w:rPr>
        <w:t xml:space="preserve">)</w:t>
      </w:r>
      <w:r>
        <w:br/>
      </w:r>
      <w:r>
        <w:rPr>
          <w:rStyle w:val="NormalTok"/>
        </w:rPr>
        <w:t xml:space="preserve">    lam </w:t>
      </w:r>
      <w:r>
        <w:rPr>
          <w:rStyle w:val="OperatorTok"/>
        </w:rPr>
        <w:t xml:space="preserve">=</w:t>
      </w:r>
      <w:r>
        <w:rPr>
          <w:rStyle w:val="NormalTok"/>
        </w:rPr>
        <w:t xml:space="preserve"> </w:t>
      </w:r>
      <w:r>
        <w:rPr>
          <w:rStyle w:val="BuiltInTok"/>
        </w:rPr>
        <w:t xml:space="preserve">float</w:t>
      </w:r>
      <w:r>
        <w:rPr>
          <w:rStyle w:val="NormalTok"/>
        </w:rPr>
        <w:t xml:space="preserve">(np.clip(v.</w:t>
      </w:r>
      <w:r>
        <w:rPr>
          <w:rStyle w:val="BuiltInTok"/>
        </w:rPr>
        <w:t xml:space="preserve">sum</w:t>
      </w:r>
      <w:r>
        <w:rPr>
          <w:rStyle w:val="NormalTok"/>
        </w:rPr>
        <w:t xml:space="preserve">() </w:t>
      </w:r>
      <w:r>
        <w:rPr>
          <w:rStyle w:val="OperatorTok"/>
        </w:rPr>
        <w:t xml:space="preserve">/</w:t>
      </w:r>
      <w:r>
        <w:rPr>
          <w:rStyle w:val="NormalTok"/>
        </w:rPr>
        <w:t xml:space="preserve"> d.</w:t>
      </w:r>
      <w:r>
        <w:rPr>
          <w:rStyle w:val="BuiltInTok"/>
        </w:rPr>
        <w:t xml:space="preserve">sum</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lam </w:t>
      </w:r>
      <w:r>
        <w:rPr>
          <w:rStyle w:val="OperatorTok"/>
        </w:rPr>
        <w:t xml:space="preserve">*</w:t>
      </w:r>
      <w:r>
        <w:rPr>
          <w:rStyle w:val="NormalTok"/>
        </w:rPr>
        <w:t xml:space="preserve"> np.diag(np.diag(cov))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lam) </w:t>
      </w:r>
      <w:r>
        <w:rPr>
          <w:rStyle w:val="OperatorTok"/>
        </w:rPr>
        <w:t xml:space="preserve">*</w:t>
      </w:r>
      <w:r>
        <w:rPr>
          <w:rStyle w:val="NormalTok"/>
        </w:rPr>
        <w:t xml:space="preserve"> cov, lam</w:t>
      </w:r>
    </w:p>
    <w:p>
      <w:pPr>
        <w:pStyle w:val="FirstParagraph"/>
      </w:pPr>
      <w:r>
        <w:t xml:space="preserve">Частки прогнозу для TD-FP (від рівня країни) і middle-out (від рівня області):</w:t>
      </w:r>
    </w:p>
    <w:p>
      <w:pPr>
        <w:pStyle w:val="SourceCode"/>
      </w:pPr>
      <w:r>
        <w:rPr>
          <w:rStyle w:val="KeywordTok"/>
        </w:rPr>
        <w:t xml:space="preserve">def</w:t>
      </w:r>
      <w:r>
        <w:rPr>
          <w:rStyle w:val="NormalTok"/>
        </w:rPr>
        <w:t xml:space="preserve"> proportions(h, F, anchor_level):</w:t>
      </w:r>
      <w:r>
        <w:br/>
      </w:r>
      <w:r>
        <w:rPr>
          <w:rStyle w:val="NormalTok"/>
        </w:rPr>
        <w:t xml:space="preserve">    parent, level </w:t>
      </w:r>
      <w:r>
        <w:rPr>
          <w:rStyle w:val="OperatorTok"/>
        </w:rPr>
        <w:t xml:space="preserve">=</w:t>
      </w:r>
      <w:r>
        <w:rPr>
          <w:rStyle w:val="NormalTok"/>
        </w:rPr>
        <w:t xml:space="preserve"> h[</w:t>
      </w:r>
      <w:r>
        <w:rPr>
          <w:rStyle w:val="StringTok"/>
        </w:rPr>
        <w:t xml:space="preserve">"parent"</w:t>
      </w:r>
      <w:r>
        <w:rPr>
          <w:rStyle w:val="NormalTok"/>
        </w:rPr>
        <w:t xml:space="preserve">], h[</w:t>
      </w:r>
      <w:r>
        <w:rPr>
          <w:rStyle w:val="StringTok"/>
        </w:rPr>
        <w:t xml:space="preserve">"level"</w:t>
      </w:r>
      <w:r>
        <w:rPr>
          <w:rStyle w:val="NormalTok"/>
        </w:rPr>
        <w:t xml:space="preserve">]</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h[</w:t>
      </w:r>
      <w:r>
        <w:rPr>
          <w:rStyle w:val="StringTok"/>
        </w:rPr>
        <w:t xml:space="preserve">"bottom"</w:t>
      </w:r>
      <w:r>
        <w:rPr>
          <w:rStyle w:val="NormalTok"/>
        </w:rPr>
        <w:t xml:space="preserve">]:</w:t>
      </w:r>
      <w:r>
        <w:br/>
      </w:r>
      <w:r>
        <w:rPr>
          <w:rStyle w:val="NormalTok"/>
        </w:rPr>
        <w:t xml:space="preserve">        share, node </w:t>
      </w:r>
      <w:r>
        <w:rPr>
          <w:rStyle w:val="OperatorTok"/>
        </w:rPr>
        <w:t xml:space="preserve">=</w:t>
      </w:r>
      <w:r>
        <w:rPr>
          <w:rStyle w:val="NormalTok"/>
        </w:rPr>
        <w:t xml:space="preserve"> np.ones(F.shape[</w:t>
      </w:r>
      <w:r>
        <w:rPr>
          <w:rStyle w:val="DecValTok"/>
        </w:rPr>
        <w:t xml:space="preserve">1</w:t>
      </w:r>
      <w:r>
        <w:rPr>
          <w:rStyle w:val="NormalTok"/>
        </w:rPr>
        <w:t xml:space="preserve">]), j</w:t>
      </w:r>
      <w:r>
        <w:br/>
      </w:r>
      <w:r>
        <w:rPr>
          <w:rStyle w:val="NormalTok"/>
        </w:rPr>
        <w:t xml:space="preserve">        </w:t>
      </w:r>
      <w:r>
        <w:rPr>
          <w:rStyle w:val="ControlFlowTok"/>
        </w:rPr>
        <w:t xml:space="preserve">while</w:t>
      </w:r>
      <w:r>
        <w:rPr>
          <w:rStyle w:val="NormalTok"/>
        </w:rPr>
        <w:t xml:space="preserve"> level[node] </w:t>
      </w:r>
      <w:r>
        <w:rPr>
          <w:rStyle w:val="OperatorTok"/>
        </w:rPr>
        <w:t xml:space="preserve">&gt;</w:t>
      </w:r>
      <w:r>
        <w:rPr>
          <w:rStyle w:val="NormalTok"/>
        </w:rPr>
        <w:t xml:space="preserve"> anchor_level:</w:t>
      </w:r>
      <w:r>
        <w:br/>
      </w:r>
      <w:r>
        <w:rPr>
          <w:rStyle w:val="NormalTok"/>
        </w:rPr>
        <w:t xml:space="preserve">            siblings </w:t>
      </w:r>
      <w:r>
        <w:rPr>
          <w:rStyle w:val="OperatorTok"/>
        </w:rPr>
        <w:t xml:space="preserve">=</w:t>
      </w:r>
      <w:r>
        <w:rPr>
          <w:rStyle w:val="NormalTok"/>
        </w:rPr>
        <w:t xml:space="preserve"> np.flatnonzero(parent </w:t>
      </w:r>
      <w:r>
        <w:rPr>
          <w:rStyle w:val="OperatorTok"/>
        </w:rPr>
        <w:t xml:space="preserve">==</w:t>
      </w:r>
      <w:r>
        <w:rPr>
          <w:rStyle w:val="NormalTok"/>
        </w:rPr>
        <w:t xml:space="preserve"> parent[node])</w:t>
      </w:r>
      <w:r>
        <w:br/>
      </w:r>
      <w:r>
        <w:rPr>
          <w:rStyle w:val="NormalTok"/>
        </w:rPr>
        <w:t xml:space="preserve">            share </w:t>
      </w:r>
      <w:r>
        <w:rPr>
          <w:rStyle w:val="OperatorTok"/>
        </w:rPr>
        <w:t xml:space="preserve">=</w:t>
      </w:r>
      <w:r>
        <w:rPr>
          <w:rStyle w:val="NormalTok"/>
        </w:rPr>
        <w:t xml:space="preserve"> share </w:t>
      </w:r>
      <w:r>
        <w:rPr>
          <w:rStyle w:val="OperatorTok"/>
        </w:rPr>
        <w:t xml:space="preserve">*</w:t>
      </w:r>
      <w:r>
        <w:rPr>
          <w:rStyle w:val="NormalTok"/>
        </w:rPr>
        <w:t xml:space="preserve"> F[node] </w:t>
      </w:r>
      <w:r>
        <w:rPr>
          <w:rStyle w:val="OperatorTok"/>
        </w:rPr>
        <w:t xml:space="preserve">/</w:t>
      </w:r>
      <w:r>
        <w:rPr>
          <w:rStyle w:val="NormalTok"/>
        </w:rPr>
        <w:t xml:space="preserve"> F[siblings].</w:t>
      </w:r>
      <w:r>
        <w:rPr>
          <w:rStyle w:val="BuiltInTok"/>
        </w:rPr>
        <w:t xml:space="preserve">sum</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NormalTok"/>
        </w:rPr>
        <w:t xml:space="preserve">            node </w:t>
      </w:r>
      <w:r>
        <w:rPr>
          <w:rStyle w:val="OperatorTok"/>
        </w:rPr>
        <w:t xml:space="preserve">=</w:t>
      </w:r>
      <w:r>
        <w:rPr>
          <w:rStyle w:val="NormalTok"/>
        </w:rPr>
        <w:t xml:space="preserve"> parent[node]</w:t>
      </w:r>
      <w:r>
        <w:br/>
      </w:r>
      <w:r>
        <w:rPr>
          <w:rStyle w:val="NormalTok"/>
        </w:rPr>
        <w:t xml:space="preserve">        out.append(F[node] </w:t>
      </w:r>
      <w:r>
        <w:rPr>
          <w:rStyle w:val="OperatorTok"/>
        </w:rPr>
        <w:t xml:space="preserve">*</w:t>
      </w:r>
      <w:r>
        <w:rPr>
          <w:rStyle w:val="NormalTok"/>
        </w:rPr>
        <w:t xml:space="preserve"> share)</w:t>
      </w:r>
      <w:r>
        <w:br/>
      </w:r>
      <w:r>
        <w:rPr>
          <w:rStyle w:val="NormalTok"/>
        </w:rPr>
        <w:t xml:space="preserve">    </w:t>
      </w:r>
      <w:r>
        <w:rPr>
          <w:rStyle w:val="ControlFlowTok"/>
        </w:rPr>
        <w:t xml:space="preserve">return</w:t>
      </w:r>
      <w:r>
        <w:rPr>
          <w:rStyle w:val="NormalTok"/>
        </w:rPr>
        <w:t xml:space="preserve"> np.array(out)</w:t>
      </w:r>
      <w:r>
        <w:br/>
      </w:r>
      <w:r>
        <w:br/>
      </w:r>
      <w:r>
        <w:br/>
      </w:r>
      <w:r>
        <w:rPr>
          <w:rStyle w:val="KeywordTok"/>
        </w:rPr>
        <w:t xml:space="preserve">def</w:t>
      </w:r>
      <w:r>
        <w:rPr>
          <w:rStyle w:val="NormalTok"/>
        </w:rPr>
        <w:t xml:space="preserve"> top_down_fp(h, F, E, Y):</w:t>
      </w:r>
      <w:r>
        <w:br/>
      </w:r>
      <w:r>
        <w:rPr>
          <w:rStyle w:val="NormalTok"/>
        </w:rPr>
        <w:t xml:space="preserve">    </w:t>
      </w:r>
      <w:r>
        <w:rPr>
          <w:rStyle w:val="ControlFlowTok"/>
        </w:rPr>
        <w:t xml:space="preserve">return</w:t>
      </w:r>
      <w:r>
        <w:rPr>
          <w:rStyle w:val="NormalTok"/>
        </w:rPr>
        <w:t xml:space="preserve"> proportions(h, F, </w:t>
      </w:r>
      <w:r>
        <w:rPr>
          <w:rStyle w:val="DecValTok"/>
        </w:rPr>
        <w:t xml:space="preserve">0</w:t>
      </w:r>
      <w:r>
        <w:rPr>
          <w:rStyle w:val="NormalTok"/>
        </w:rPr>
        <w:t xml:space="preserve">)</w:t>
      </w:r>
      <w:r>
        <w:br/>
      </w:r>
      <w:r>
        <w:br/>
      </w:r>
      <w:r>
        <w:br/>
      </w:r>
      <w:r>
        <w:rPr>
          <w:rStyle w:val="KeywordTok"/>
        </w:rPr>
        <w:t xml:space="preserve">def</w:t>
      </w:r>
      <w:r>
        <w:rPr>
          <w:rStyle w:val="NormalTok"/>
        </w:rPr>
        <w:t xml:space="preserve"> middle_out(h, F, E, Y):</w:t>
      </w:r>
      <w:r>
        <w:br/>
      </w:r>
      <w:r>
        <w:rPr>
          <w:rStyle w:val="NormalTok"/>
        </w:rPr>
        <w:t xml:space="preserve">    </w:t>
      </w:r>
      <w:r>
        <w:rPr>
          <w:rStyle w:val="ControlFlowTok"/>
        </w:rPr>
        <w:t xml:space="preserve">return</w:t>
      </w:r>
      <w:r>
        <w:rPr>
          <w:rStyle w:val="NormalTok"/>
        </w:rPr>
        <w:t xml:space="preserve"> proportions(h, F, </w:t>
      </w:r>
      <w:r>
        <w:rPr>
          <w:rStyle w:val="DecValTok"/>
        </w:rPr>
        <w:t xml:space="preserve">1</w:t>
      </w:r>
      <w:r>
        <w:rPr>
          <w:rStyle w:val="NormalTok"/>
        </w:rPr>
        <w:t xml:space="preserve">)</w:t>
      </w:r>
    </w:p>
    <w:p>
      <w:pPr>
        <w:pStyle w:val="FirstParagraph"/>
      </w:pPr>
      <w:r>
        <w:t xml:space="preserve">Ретроспективна перевірка для одного старту:</w:t>
      </w:r>
    </w:p>
    <w:p>
      <w:pPr>
        <w:pStyle w:val="SourceCode"/>
      </w:pPr>
      <w:r>
        <w:rPr>
          <w:rStyle w:val="NormalTok"/>
        </w:rPr>
        <w:t xml:space="preserve">h </w:t>
      </w:r>
      <w:r>
        <w:rPr>
          <w:rStyle w:val="OperatorTok"/>
        </w:rPr>
        <w:t xml:space="preserve">=</w:t>
      </w:r>
      <w:r>
        <w:rPr>
          <w:rStyle w:val="NormalTok"/>
        </w:rPr>
        <w:t xml:space="preserve"> hierarchy.build(births, depth, last</w:t>
      </w:r>
      <w:r>
        <w:rPr>
          <w:rStyle w:val="OperatorTok"/>
        </w:rPr>
        <w:t xml:space="preserve">=</w:t>
      </w:r>
      <w:r>
        <w:rPr>
          <w:rStyle w:val="NormalTok"/>
        </w:rPr>
        <w:t xml:space="preserve">origin)</w:t>
      </w:r>
      <w:r>
        <w:br/>
      </w:r>
      <w:r>
        <w:rPr>
          <w:rStyle w:val="NormalTok"/>
        </w:rPr>
        <w:t xml:space="preserve">F, E, _ </w:t>
      </w:r>
      <w:r>
        <w:rPr>
          <w:rStyle w:val="OperatorTok"/>
        </w:rPr>
        <w:t xml:space="preserve">=</w:t>
      </w:r>
      <w:r>
        <w:rPr>
          <w:rStyle w:val="NormalTok"/>
        </w:rPr>
        <w:t xml:space="preserve"> base.forecast(h[</w:t>
      </w:r>
      <w:r>
        <w:rPr>
          <w:rStyle w:val="StringTok"/>
        </w:rPr>
        <w:t xml:space="preserve">"Y"</w:t>
      </w:r>
      <w:r>
        <w:rPr>
          <w:rStyle w:val="NormalTok"/>
        </w:rPr>
        <w:t xml:space="preserve">], HORIZON)</w:t>
      </w:r>
      <w:r>
        <w:br/>
      </w:r>
      <w:r>
        <w:rPr>
          <w:rStyle w:val="NormalTok"/>
        </w:rPr>
        <w:t xml:space="preserve">future </w:t>
      </w:r>
      <w:r>
        <w:rPr>
          <w:rStyle w:val="OperatorTok"/>
        </w:rPr>
        <w:t xml:space="preserve">=</w:t>
      </w:r>
      <w:r>
        <w:rPr>
          <w:rStyle w:val="NormalTok"/>
        </w:rPr>
        <w:t xml:space="preserve"> (full[</w:t>
      </w:r>
      <w:r>
        <w:rPr>
          <w:rStyle w:val="StringTok"/>
        </w:rPr>
        <w:t xml:space="preserve">"years"</w:t>
      </w:r>
      <w:r>
        <w:rPr>
          <w:rStyle w:val="NormalTok"/>
        </w:rPr>
        <w:t xml:space="preserve">] </w:t>
      </w:r>
      <w:r>
        <w:rPr>
          <w:rStyle w:val="OperatorTok"/>
        </w:rPr>
        <w:t xml:space="preserve">&gt;</w:t>
      </w:r>
      <w:r>
        <w:rPr>
          <w:rStyle w:val="NormalTok"/>
        </w:rPr>
        <w:t xml:space="preserve"> origin) </w:t>
      </w:r>
      <w:r>
        <w:rPr>
          <w:rStyle w:val="OperatorTok"/>
        </w:rPr>
        <w:t xml:space="preserve">&amp;</w:t>
      </w:r>
      <w:r>
        <w:rPr>
          <w:rStyle w:val="NormalTok"/>
        </w:rPr>
        <w:t xml:space="preserve"> (full[</w:t>
      </w:r>
      <w:r>
        <w:rPr>
          <w:rStyle w:val="StringTok"/>
        </w:rPr>
        <w:t xml:space="preserve">"years"</w:t>
      </w:r>
      <w:r>
        <w:rPr>
          <w:rStyle w:val="NormalTok"/>
        </w:rPr>
        <w:t xml:space="preserve">] </w:t>
      </w:r>
      <w:r>
        <w:rPr>
          <w:rStyle w:val="OperatorTok"/>
        </w:rPr>
        <w:t xml:space="preserve">&lt;=</w:t>
      </w:r>
      <w:r>
        <w:rPr>
          <w:rStyle w:val="NormalTok"/>
        </w:rPr>
        <w:t xml:space="preserve"> origin </w:t>
      </w:r>
      <w:r>
        <w:rPr>
          <w:rStyle w:val="OperatorTok"/>
        </w:rPr>
        <w:t xml:space="preserve">+</w:t>
      </w:r>
      <w:r>
        <w:rPr>
          <w:rStyle w:val="NormalTok"/>
        </w:rPr>
        <w:t xml:space="preserve"> HORIZON)</w:t>
      </w:r>
      <w:r>
        <w:br/>
      </w:r>
      <w:r>
        <w:rPr>
          <w:rStyle w:val="NormalTok"/>
        </w:rPr>
        <w:t xml:space="preserve">actual </w:t>
      </w:r>
      <w:r>
        <w:rPr>
          <w:rStyle w:val="OperatorTok"/>
        </w:rPr>
        <w:t xml:space="preserve">=</w:t>
      </w:r>
      <w:r>
        <w:rPr>
          <w:rStyle w:val="NormalTok"/>
        </w:rPr>
        <w:t xml:space="preserve"> full[</w:t>
      </w:r>
      <w:r>
        <w:rPr>
          <w:rStyle w:val="StringTok"/>
        </w:rPr>
        <w:t xml:space="preserve">"Y"</w:t>
      </w:r>
      <w:r>
        <w:rPr>
          <w:rStyle w:val="NormalTok"/>
        </w:rPr>
        <w:t xml:space="preserve">][future].T</w:t>
      </w:r>
      <w:r>
        <w:br/>
      </w:r>
      <w:r>
        <w:rPr>
          <w:rStyle w:val="NormalTok"/>
        </w:rPr>
        <w:t xml:space="preserve">scale </w:t>
      </w:r>
      <w:r>
        <w:rPr>
          <w:rStyle w:val="OperatorTok"/>
        </w:rPr>
        <w:t xml:space="preserve">=</w:t>
      </w:r>
      <w:r>
        <w:rPr>
          <w:rStyle w:val="NormalTok"/>
        </w:rPr>
        <w:t xml:space="preserve"> np.</w:t>
      </w:r>
      <w:r>
        <w:rPr>
          <w:rStyle w:val="BuiltInTok"/>
        </w:rPr>
        <w:t xml:space="preserve">abs</w:t>
      </w:r>
      <w:r>
        <w:rPr>
          <w:rStyle w:val="NormalTok"/>
        </w:rPr>
        <w:t xml:space="preserve">(np.diff(h[</w:t>
      </w:r>
      <w:r>
        <w:rPr>
          <w:rStyle w:val="StringTok"/>
        </w:rPr>
        <w:t xml:space="preserve">"Y"</w:t>
      </w:r>
      <w:r>
        <w:rPr>
          <w:rStyle w:val="NormalTok"/>
        </w:rPr>
        <w:t xml:space="preserve">], axis</w:t>
      </w:r>
      <w:r>
        <w:rPr>
          <w:rStyle w:val="OperatorTok"/>
        </w:rPr>
        <w:t xml:space="preserve">=</w:t>
      </w:r>
      <w:r>
        <w:rPr>
          <w:rStyle w:val="DecValTok"/>
        </w:rPr>
        <w:t xml:space="preserve">0</w:t>
      </w:r>
      <w:r>
        <w:rPr>
          <w:rStyle w:val="NormalTok"/>
        </w:rPr>
        <w:t xml:space="preserve">)).mean(axis</w:t>
      </w:r>
      <w:r>
        <w:rPr>
          <w:rStyle w:val="OperatorTok"/>
        </w:rPr>
        <w:t xml:space="preserve">=</w:t>
      </w:r>
      <w:r>
        <w:rPr>
          <w:rStyle w:val="DecValTok"/>
        </w:rPr>
        <w:t xml:space="preserve">0</w:t>
      </w:r>
      <w:r>
        <w:rPr>
          <w:rStyle w:val="NormalTok"/>
        </w:rPr>
        <w:t xml:space="preserve">)[:, </w:t>
      </w:r>
      <w:r>
        <w:rPr>
          <w:rStyle w:val="VariableTok"/>
        </w:rPr>
        <w:t xml:space="preserve">None</w:t>
      </w:r>
      <w:r>
        <w:rPr>
          <w:rStyle w:val="NormalTok"/>
        </w:rPr>
        <w:t xml:space="preserve">]</w:t>
      </w:r>
      <w:r>
        <w:br/>
      </w:r>
      <w:r>
        <w:rPr>
          <w:rStyle w:val="ControlFlowTok"/>
        </w:rPr>
        <w:t xml:space="preserve">for</w:t>
      </w:r>
      <w:r>
        <w:rPr>
          <w:rStyle w:val="NormalTok"/>
        </w:rPr>
        <w:t xml:space="preserve"> method, forecast </w:t>
      </w:r>
      <w:r>
        <w:rPr>
          <w:rStyle w:val="KeywordTok"/>
        </w:rPr>
        <w:t xml:space="preserve">in</w:t>
      </w:r>
      <w:r>
        <w:rPr>
          <w:rStyle w:val="NormalTok"/>
        </w:rPr>
        <w:t xml:space="preserve"> reconcile.run(h, F, E, h[</w:t>
      </w:r>
      <w:r>
        <w:rPr>
          <w:rStyle w:val="StringTok"/>
        </w:rPr>
        <w:t xml:space="preserve">"Y"</w:t>
      </w:r>
      <w:r>
        <w:rPr>
          <w:rStyle w:val="NormalTok"/>
        </w:rPr>
        <w:t xml:space="preserve">]).items():</w:t>
      </w:r>
      <w:r>
        <w:br/>
      </w:r>
      <w:r>
        <w:rPr>
          <w:rStyle w:val="NormalTok"/>
        </w:rPr>
        <w:t xml:space="preserve">    error </w:t>
      </w:r>
      <w:r>
        <w:rPr>
          <w:rStyle w:val="OperatorTok"/>
        </w:rPr>
        <w:t xml:space="preserve">=</w:t>
      </w:r>
      <w:r>
        <w:rPr>
          <w:rStyle w:val="NormalTok"/>
        </w:rPr>
        <w:t xml:space="preserve"> np.</w:t>
      </w:r>
      <w:r>
        <w:rPr>
          <w:rStyle w:val="BuiltInTok"/>
        </w:rPr>
        <w:t xml:space="preserve">abs</w:t>
      </w:r>
      <w:r>
        <w:rPr>
          <w:rStyle w:val="NormalTok"/>
        </w:rPr>
        <w:t xml:space="preserve">(forecast </w:t>
      </w:r>
      <w:r>
        <w:rPr>
          <w:rStyle w:val="OperatorTok"/>
        </w:rPr>
        <w:t xml:space="preserve">-</w:t>
      </w:r>
      <w:r>
        <w:rPr>
          <w:rStyle w:val="NormalTok"/>
        </w:rPr>
        <w:t xml:space="preserve"> actual)</w:t>
      </w:r>
      <w:r>
        <w:br/>
      </w:r>
      <w:r>
        <w:rPr>
          <w:rStyle w:val="NormalTok"/>
        </w:rPr>
        <w:t xml:space="preserve">    ape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error </w:t>
      </w:r>
      <w:r>
        <w:rPr>
          <w:rStyle w:val="OperatorTok"/>
        </w:rPr>
        <w:t xml:space="preserve">/</w:t>
      </w:r>
      <w:r>
        <w:rPr>
          <w:rStyle w:val="NormalTok"/>
        </w:rPr>
        <w:t xml:space="preserve"> actual</w:t>
      </w:r>
      <w:r>
        <w:br/>
      </w:r>
      <w:r>
        <w:rPr>
          <w:rStyle w:val="NormalTok"/>
        </w:rPr>
        <w:t xml:space="preserve">    ase </w:t>
      </w:r>
      <w:r>
        <w:rPr>
          <w:rStyle w:val="OperatorTok"/>
        </w:rPr>
        <w:t xml:space="preserve">=</w:t>
      </w:r>
      <w:r>
        <w:rPr>
          <w:rStyle w:val="NormalTok"/>
        </w:rPr>
        <w:t xml:space="preserve"> error </w:t>
      </w:r>
      <w:r>
        <w:rPr>
          <w:rStyle w:val="OperatorTok"/>
        </w:rPr>
        <w:t xml:space="preserve">/</w:t>
      </w:r>
      <w:r>
        <w:rPr>
          <w:rStyle w:val="NormalTok"/>
        </w:rPr>
        <w:t xml:space="preserve"> scale</w:t>
      </w:r>
    </w:p>
    <w:bookmarkEnd w:id="52"/>
    <w:bookmarkStart w:id="53" w:name="верифікація"/>
    <w:p>
      <w:pPr>
        <w:pStyle w:val="Heading2"/>
      </w:pPr>
      <w:r>
        <w:t xml:space="preserve">3.6. Верифікація</w:t>
      </w:r>
    </w:p>
    <w:p>
      <w:pPr>
        <w:pStyle w:val="FirstParagraph"/>
      </w:pPr>
      <w:r>
        <w:t xml:space="preserve">Методи перевірено на прогнозі з повних даних для обох ієрархій. Результати для</w:t>
      </w:r>
      <w:r>
        <w:t xml:space="preserve"> </w:t>
      </w:r>
      <w:r>
        <w:t xml:space="preserve">трирівневої ієрархії наведено в таблиці 5.</w:t>
      </w:r>
    </w:p>
    <w:p>
      <w:pPr>
        <w:pStyle w:val="TableCaptionOwn"/>
        <w:keepNext/>
      </w:pPr>
      <w:r>
        <w:t xml:space="preserve">Таблиця 5 – Результати верифікації, трирівнева ієрархія</w:t>
      </w:r>
    </w:p>
    <w:tbl>
      <w:tblPr>
        <w:tblStyle w:val="Table"/>
        <w:tblW w:type="pct" w:w="5000"/>
        <w:tblLayout w:type="fixed"/>
        <w:tblLook w:firstRow="1" w:lastRow="0" w:firstColumn="0" w:lastColumn="0" w:noHBand="0" w:noVBand="0" w:val="0020"/>
      </w:tblPr>
      <w:tblGrid>
        <w:gridCol w:w="3046"/>
        <w:gridCol w:w="2698"/>
        <w:gridCol w:w="2175"/>
      </w:tblGrid>
      <w:tr>
        <w:trPr>
          <w:cantSplit/>
          <w:tblHeader w:val="on"/>
        </w:trPr>
        <w:tc>
          <w:tcPr/>
          <w:p>
            <w:pPr>
              <w:pStyle w:val="Compact"/>
              <w:keepNext/>
              <w:jc w:val="center"/>
            </w:pPr>
            <w:r>
              <w:t xml:space="preserve">Перевірка</w:t>
            </w:r>
          </w:p>
        </w:tc>
        <w:tc>
          <w:tcPr/>
          <w:p>
            <w:pPr>
              <w:pStyle w:val="Compact"/>
              <w:keepNext/>
              <w:jc w:val="center"/>
            </w:pPr>
            <w:r>
              <w:t xml:space="preserve">Методи</w:t>
            </w:r>
          </w:p>
        </w:tc>
        <w:tc>
          <w:tcPr/>
          <w:p>
            <w:pPr>
              <w:pStyle w:val="Compact"/>
              <w:keepNext/>
              <w:jc w:val="center"/>
            </w:pPr>
            <w:r>
              <w:t xml:space="preserve">Результат</w:t>
            </w:r>
          </w:p>
        </w:tc>
      </w:tr>
      <w:tr>
        <w:trPr>
          <w:cantSplit/>
        </w:trPr>
        <w:tc>
          <w:tcPr/>
          <w:p>
            <w:pPr>
              <w:pStyle w:val="Compact"/>
              <w:keepNext/>
              <w:jc w:val="left"/>
            </w:pPr>
            <m:oMathPara>
              <m:oMathParaPr>
                <m:jc m:val="left"/>
              </m:oMathParaPr>
              <m:oMath>
                <m:r>
                  <m:rPr>
                    <m:sty m:val="p"/>
                  </m:rPr>
                  <m:t>max</m:t>
                </m:r>
                <m:r>
                  <m:rPr>
                    <m:sty m:val="p"/>
                  </m:rPr>
                  <m:t>|</m:t>
                </m:r>
                <m:r>
                  <m:t>G</m:t>
                </m:r>
                <m:r>
                  <m:t>S</m:t>
                </m:r>
                <m:r>
                  <m:rPr>
                    <m:sty m:val="p"/>
                  </m:rPr>
                  <m:t>−</m:t>
                </m:r>
                <m:r>
                  <m:t>I</m:t>
                </m:r>
                <m:r>
                  <m:rPr>
                    <m:sty m:val="p"/>
                  </m:rPr>
                  <m:t>|</m:t>
                </m:r>
              </m:oMath>
            </m:oMathPara>
          </w:p>
        </w:tc>
        <w:tc>
          <w:tcPr/>
          <w:p>
            <w:pPr>
              <w:pStyle w:val="Compact"/>
              <w:keepNext/>
              <w:jc w:val="left"/>
            </w:pPr>
            <w:r>
              <w:t xml:space="preserve">BU, OLS, WLS, MinT</w:t>
            </w:r>
          </w:p>
        </w:tc>
        <w:tc>
          <w:tcPr/>
          <w:p>
            <w:pPr>
              <w:pStyle w:val="Compact"/>
              <w:keepNext/>
              <w:jc w:val="left"/>
            </w:pPr>
            <m:oMathPara>
              <m:oMathParaPr>
                <m:jc m:val="left"/>
              </m:oMathParaPr>
              <m:oMath>
                <m:r>
                  <m:rPr>
                    <m:sty m:val="p"/>
                  </m:rPr>
                  <m:t>&lt;</m:t>
                </m:r>
                <m:sSup>
                  <m:e>
                    <m:r>
                      <m:t>10</m:t>
                    </m:r>
                  </m:e>
                  <m:sup>
                    <m:r>
                      <m:rPr>
                        <m:sty m:val="p"/>
                      </m:rPr>
                      <m:t>−</m:t>
                    </m:r>
                    <m:r>
                      <m:t>13</m:t>
                    </m:r>
                  </m:sup>
                </m:sSup>
              </m:oMath>
            </m:oMathPara>
          </w:p>
        </w:tc>
      </w:tr>
      <w:tr>
        <w:trPr>
          <w:cantSplit/>
        </w:trPr>
        <w:tc>
          <w:tcPr/>
          <w:p>
            <w:pPr>
              <w:pStyle w:val="Compact"/>
              <w:keepNext/>
              <w:jc w:val="left"/>
            </w:pPr>
            <m:oMathPara>
              <m:oMathParaPr>
                <m:jc m:val="left"/>
              </m:oMathParaPr>
              <m:oMath>
                <m:r>
                  <m:rPr>
                    <m:sty m:val="p"/>
                  </m:rPr>
                  <m:t>max</m:t>
                </m:r>
                <m:r>
                  <m:rPr>
                    <m:sty m:val="p"/>
                  </m:rPr>
                  <m:t>|</m:t>
                </m:r>
                <m:r>
                  <m:t>G</m:t>
                </m:r>
                <m:r>
                  <m:t>S</m:t>
                </m:r>
                <m:r>
                  <m:rPr>
                    <m:sty m:val="p"/>
                  </m:rPr>
                  <m:t>−</m:t>
                </m:r>
                <m:r>
                  <m:t>I</m:t>
                </m:r>
                <m:r>
                  <m:rPr>
                    <m:sty m:val="p"/>
                  </m:rPr>
                  <m:t>|</m:t>
                </m:r>
              </m:oMath>
            </m:oMathPara>
          </w:p>
        </w:tc>
        <w:tc>
          <w:tcPr/>
          <w:p>
            <w:pPr>
              <w:pStyle w:val="Compact"/>
              <w:keepNext/>
              <w:jc w:val="left"/>
            </w:pPr>
            <w:r>
              <w:t xml:space="preserve">TD-AHP, TD-PHA</w:t>
            </w:r>
          </w:p>
        </w:tc>
        <w:tc>
          <w:tcPr/>
          <w:p>
            <w:pPr>
              <w:pStyle w:val="Compact"/>
              <w:keepNext/>
              <w:jc w:val="left"/>
            </w:pPr>
            <w:r>
              <w:t xml:space="preserve">0,99</w:t>
            </w:r>
          </w:p>
        </w:tc>
      </w:tr>
      <w:tr>
        <w:trPr>
          <w:cantSplit/>
        </w:trPr>
        <w:tc>
          <w:tcPr/>
          <w:p>
            <w:pPr>
              <w:pStyle w:val="Compact"/>
              <w:keepNext/>
              <w:jc w:val="left"/>
            </w:pPr>
            <m:oMathPara>
              <m:oMathParaPr>
                <m:jc m:val="left"/>
              </m:oMathParaPr>
              <m:oMath>
                <m:r>
                  <m:rPr>
                    <m:sty m:val="p"/>
                  </m:rPr>
                  <m:t>max</m:t>
                </m:r>
                <m:r>
                  <m:rPr>
                    <m:sty m:val="p"/>
                  </m:rPr>
                  <m:t>|</m:t>
                </m:r>
                <m:acc>
                  <m:accPr>
                    <m:chr m:val="̃"/>
                  </m:accPr>
                  <m:e>
                    <m:r>
                      <m:t>y</m:t>
                    </m:r>
                  </m:e>
                </m:acc>
                <m:r>
                  <m:rPr>
                    <m:sty m:val="p"/>
                  </m:rPr>
                  <m:t>−</m:t>
                </m:r>
                <m:r>
                  <m:t>S</m:t>
                </m:r>
                <m:acc>
                  <m:accPr>
                    <m:chr m:val="̃"/>
                  </m:accPr>
                  <m:e>
                    <m:r>
                      <m:t>b</m:t>
                    </m:r>
                  </m:e>
                </m:acc>
                <m:r>
                  <m:rPr>
                    <m:sty m:val="p"/>
                  </m:rPr>
                  <m:t>|</m:t>
                </m:r>
              </m:oMath>
            </m:oMathPara>
          </w:p>
        </w:tc>
        <w:tc>
          <w:tcPr/>
          <w:p>
            <w:pPr>
              <w:pStyle w:val="Compact"/>
              <w:keepNext/>
              <w:jc w:val="left"/>
            </w:pPr>
            <w:r>
              <w:t xml:space="preserve">усі, крім base</w:t>
            </w:r>
          </w:p>
        </w:tc>
        <w:tc>
          <w:tcPr/>
          <w:p>
            <w:pPr>
              <w:pStyle w:val="Compact"/>
              <w:keepNext/>
              <w:jc w:val="left"/>
            </w:pPr>
            <w:r>
              <w:t xml:space="preserve">0</w:t>
            </w:r>
          </w:p>
        </w:tc>
      </w:tr>
      <w:tr>
        <w:trPr>
          <w:cantSplit/>
        </w:trPr>
        <w:tc>
          <w:tcPr/>
          <w:p>
            <w:pPr>
              <w:pStyle w:val="Compact"/>
              <w:keepNext/>
              <w:jc w:val="left"/>
            </w:pPr>
            <m:oMathPara>
              <m:oMathParaPr>
                <m:jc m:val="left"/>
              </m:oMathParaPr>
              <m:oMath>
                <m:r>
                  <m:rPr>
                    <m:sty m:val="p"/>
                  </m:rPr>
                  <m:t>max</m:t>
                </m:r>
                <m:r>
                  <m:rPr>
                    <m:sty m:val="p"/>
                  </m:rPr>
                  <m:t>|</m:t>
                </m:r>
                <m:acc>
                  <m:accPr>
                    <m:chr m:val="̃"/>
                  </m:accPr>
                  <m:e>
                    <m:r>
                      <m:t>y</m:t>
                    </m:r>
                  </m:e>
                </m:acc>
                <m:r>
                  <m:rPr>
                    <m:sty m:val="p"/>
                  </m:rPr>
                  <m:t>−</m:t>
                </m:r>
                <m:r>
                  <m:t>S</m:t>
                </m:r>
                <m:acc>
                  <m:accPr>
                    <m:chr m:val="̃"/>
                  </m:accPr>
                  <m:e>
                    <m:r>
                      <m:t>b</m:t>
                    </m:r>
                  </m:e>
                </m:acc>
                <m:r>
                  <m:rPr>
                    <m:sty m:val="p"/>
                  </m:rPr>
                  <m:t>|</m:t>
                </m:r>
              </m:oMath>
            </m:oMathPara>
          </w:p>
        </w:tc>
        <w:tc>
          <w:tcPr/>
          <w:p>
            <w:pPr>
              <w:pStyle w:val="Compact"/>
              <w:keepNext/>
              <w:jc w:val="left"/>
            </w:pPr>
            <w:r>
              <w:t xml:space="preserve">base</w:t>
            </w:r>
          </w:p>
        </w:tc>
        <w:tc>
          <w:tcPr/>
          <w:p>
            <w:pPr>
              <w:pStyle w:val="Compact"/>
              <w:keepNext/>
              <w:jc w:val="left"/>
            </w:pPr>
            <w:r>
              <w:t xml:space="preserve">15 383 осіб</w:t>
            </w:r>
          </w:p>
        </w:tc>
      </w:tr>
      <w:tr>
        <w:trPr>
          <w:cantSplit/>
        </w:trPr>
        <w:tc>
          <w:tcPr/>
          <w:p>
            <w:pPr>
              <w:pStyle w:val="Compact"/>
              <w:keepNext/>
              <w:jc w:val="left"/>
            </w:pPr>
            <w:r>
              <w:t xml:space="preserve">зміна когерентного входу</w:t>
            </w:r>
          </w:p>
        </w:tc>
        <w:tc>
          <w:tcPr/>
          <w:p>
            <w:pPr>
              <w:pStyle w:val="Compact"/>
              <w:keepNext/>
              <w:jc w:val="left"/>
            </w:pPr>
            <w:r>
              <w:t xml:space="preserve">BU, TD-FP, MO, OLS, WLS, MinT</w:t>
            </w:r>
          </w:p>
        </w:tc>
        <w:tc>
          <w:tcPr/>
          <w:p>
            <w:pPr>
              <w:pStyle w:val="Compact"/>
              <w:keepNext/>
              <w:jc w:val="left"/>
            </w:pPr>
            <m:oMathPara>
              <m:oMathParaPr>
                <m:jc m:val="left"/>
              </m:oMathParaPr>
              <m:oMath>
                <m:r>
                  <m:rPr>
                    <m:sty m:val="p"/>
                  </m:rPr>
                  <m:t>&lt;</m:t>
                </m:r>
                <m:sSup>
                  <m:e>
                    <m:r>
                      <m:t>10</m:t>
                    </m:r>
                  </m:e>
                  <m:sup>
                    <m:r>
                      <m:rPr>
                        <m:sty m:val="p"/>
                      </m:rPr>
                      <m:t>−</m:t>
                    </m:r>
                    <m:r>
                      <m:t>14</m:t>
                    </m:r>
                  </m:sup>
                </m:sSup>
              </m:oMath>
            </m:oMathPara>
          </w:p>
        </w:tc>
      </w:tr>
      <w:tr>
        <w:trPr>
          <w:cantSplit/>
        </w:trPr>
        <w:tc>
          <w:tcPr/>
          <w:p>
            <w:pPr>
              <w:pStyle w:val="Compact"/>
              <w:keepNext/>
              <w:jc w:val="left"/>
            </w:pPr>
            <w:r>
              <w:t xml:space="preserve">зміна когерентного входу</w:t>
            </w:r>
          </w:p>
        </w:tc>
        <w:tc>
          <w:tcPr/>
          <w:p>
            <w:pPr>
              <w:pStyle w:val="Compact"/>
              <w:keepNext/>
              <w:jc w:val="left"/>
            </w:pPr>
            <w:r>
              <w:t xml:space="preserve">TD-AHP, TD-PHA</w:t>
            </w:r>
          </w:p>
        </w:tc>
        <w:tc>
          <w:tcPr/>
          <w:p>
            <w:pPr>
              <w:pStyle w:val="Compact"/>
              <w:keepNext/>
              <w:jc w:val="left"/>
            </w:pPr>
            <w:r>
              <w:t xml:space="preserve">5,2–5,4 %</w:t>
            </w:r>
          </w:p>
        </w:tc>
      </w:tr>
      <w:tr>
        <w:trPr>
          <w:cantSplit/>
        </w:trPr>
        <w:tc>
          <w:tcPr/>
          <w:p>
            <w:pPr>
              <w:pStyle w:val="Compact"/>
              <w:jc w:val="left"/>
            </w:pPr>
            <w:r>
              <w:t xml:space="preserve">різниця зі scikit-hts</w:t>
            </w:r>
          </w:p>
        </w:tc>
        <w:tc>
          <w:tcPr/>
          <w:p>
            <w:pPr>
              <w:pStyle w:val="Compact"/>
              <w:jc w:val="left"/>
            </w:pPr>
            <w:r>
              <w:t xml:space="preserve">BU, OLS, WLS</w:t>
            </w:r>
          </w:p>
        </w:tc>
        <w:tc>
          <w:tcPr/>
          <w:p>
            <w:pPr>
              <w:pStyle w:val="Compact"/>
              <w:jc w:val="left"/>
            </w:pPr>
            <m:oMathPara>
              <m:oMathParaPr>
                <m:jc m:val="left"/>
              </m:oMathParaPr>
              <m:oMath>
                <m:r>
                  <m:rPr>
                    <m:sty m:val="p"/>
                  </m:rPr>
                  <m:t>&lt;</m:t>
                </m:r>
                <m:r>
                  <m:t>3</m:t>
                </m:r>
                <m:r>
                  <m:rPr>
                    <m:sty m:val="p"/>
                  </m:rPr>
                  <m:t>⋅</m:t>
                </m:r>
                <m:sSup>
                  <m:e>
                    <m:r>
                      <m:t>10</m:t>
                    </m:r>
                  </m:e>
                  <m:sup>
                    <m:r>
                      <m:rPr>
                        <m:sty m:val="p"/>
                      </m:rPr>
                      <m:t>−</m:t>
                    </m:r>
                    <m:r>
                      <m:t>15</m:t>
                    </m:r>
                  </m:sup>
                </m:sSup>
              </m:oMath>
            </m:oMathPara>
          </w:p>
        </w:tc>
      </w:tr>
    </w:tbl>
    <w:p>
      <w:pPr>
        <w:pStyle w:val="BodyText"/>
        <w:spacing w:before="420"/>
      </w:pPr>
      <w:r>
        <w:t xml:space="preserve">Матриця</w:t>
      </w:r>
      <w:r>
        <w:t xml:space="preserve"> </w:t>
      </w:r>
      <m:oMath>
        <m:r>
          <m:t>G</m:t>
        </m:r>
      </m:oMath>
      <w:r>
        <w:t xml:space="preserve"> </w:t>
      </w:r>
      <w:r>
        <w:t xml:space="preserve">лінійних методів знаходиться підстановкою одиничної матриці замість базових</w:t>
      </w:r>
      <w:r>
        <w:t xml:space="preserve"> </w:t>
      </w:r>
      <w:r>
        <w:t xml:space="preserve">прогнозів. Для BU, OLS, WLS і MinT</w:t>
      </w:r>
      <w:r>
        <w:t xml:space="preserve"> </w:t>
      </w:r>
      <m:oMath>
        <m:r>
          <m:t>G</m:t>
        </m:r>
        <m:r>
          <m:t>S</m:t>
        </m:r>
        <m:r>
          <m:rPr>
            <m:sty m:val="p"/>
          </m:rPr>
          <m:t>=</m:t>
        </m:r>
        <m:r>
          <m:t>I</m:t>
        </m:r>
      </m:oMath>
      <w:r>
        <w:t xml:space="preserve"> </w:t>
      </w:r>
      <w:r>
        <w:t xml:space="preserve">з точністю обчислень, для top-down з</w:t>
      </w:r>
      <w:r>
        <w:t xml:space="preserve"> </w:t>
      </w:r>
      <w:r>
        <w:t xml:space="preserve">історичними частками – ні. Прогнози всіх методів когерентні, базові – ні. Якщо</w:t>
      </w:r>
      <w:r>
        <w:t xml:space="preserve"> </w:t>
      </w:r>
      <w:r>
        <w:t xml:space="preserve">подати на вхід уже когерентні прогнози</w:t>
      </w:r>
      <w:r>
        <w:t xml:space="preserve"> </w:t>
      </w:r>
      <m:oMath>
        <m:r>
          <m:t>S</m:t>
        </m:r>
        <m:r>
          <m:t>b</m:t>
        </m:r>
      </m:oMath>
      <w:r>
        <w:t xml:space="preserve">, методи з</w:t>
      </w:r>
      <w:r>
        <w:t xml:space="preserve"> </w:t>
      </w:r>
      <m:oMath>
        <m:r>
          <m:t>G</m:t>
        </m:r>
        <m:r>
          <m:t>S</m:t>
        </m:r>
        <m:r>
          <m:rPr>
            <m:sty m:val="p"/>
          </m:rPr>
          <m:t>=</m:t>
        </m:r>
        <m:r>
          <m:t>I</m:t>
        </m:r>
      </m:oMath>
      <w:r>
        <w:t xml:space="preserve">, а також TD-FP і MO,</w:t>
      </w:r>
      <w:r>
        <w:t xml:space="preserve"> </w:t>
      </w:r>
      <w:r>
        <w:t xml:space="preserve">повертають їх без змін. TD-AHP і TD-PHA змінюють їх на 5 %, бо замінюють структуру</w:t>
      </w:r>
      <w:r>
        <w:t xml:space="preserve"> </w:t>
      </w:r>
      <w:r>
        <w:t xml:space="preserve">прогнозу історичною. Ті самі базові прогнози, узгоджені класом</w:t>
      </w:r>
      <w:r>
        <w:t xml:space="preserve"> </w:t>
      </w:r>
      <w:r>
        <w:rPr>
          <w:rStyle w:val="VerbatimChar"/>
        </w:rPr>
        <w:t xml:space="preserve">RevisionMethod</w:t>
      </w:r>
      <w:r>
        <w:t xml:space="preserve"> </w:t>
      </w:r>
      <w:r>
        <w:t xml:space="preserve">з</w:t>
      </w:r>
      <w:r>
        <w:t xml:space="preserve"> </w:t>
      </w:r>
      <w:r>
        <w:t xml:space="preserve">scikit-hts, збігаються з власною реалізацією BU, OLS і WLS з точністю до похибки</w:t>
      </w:r>
      <w:r>
        <w:t xml:space="preserve"> </w:t>
      </w:r>
      <w:r>
        <w:t xml:space="preserve">округлення. Для дворівневої ієрархії всі перевірки дають той самий результат.</w:t>
      </w:r>
    </w:p>
    <w:bookmarkEnd w:id="53"/>
    <w:bookmarkEnd w:id="54"/>
    <w:bookmarkStart w:id="55" w:name="iv.-висновки"/>
    <w:p>
      <w:pPr>
        <w:pStyle w:val="Heading1"/>
      </w:pPr>
      <w:r>
        <w:t xml:space="preserve">IV. Висновки</w:t>
      </w:r>
    </w:p>
    <w:p>
      <w:pPr>
        <w:pStyle w:val="FirstParagraph"/>
      </w:pPr>
      <w:r>
        <w:t xml:space="preserve">Розроблено програму ієрархічного прогнозування кількості живонароджених в Україні за</w:t>
      </w:r>
      <w:r>
        <w:t xml:space="preserve"> </w:t>
      </w:r>
      <w:r>
        <w:t xml:space="preserve">даними Держстату. Програма розбирає файл з 18 показниками в довгому форматі, відбирає</w:t>
      </w:r>
      <w:r>
        <w:t xml:space="preserve"> </w:t>
      </w:r>
      <w:r>
        <w:t xml:space="preserve">річні ряди за регіонами і типом місцевості та перевіряє їхню узгодженість. Ієрархія</w:t>
      </w:r>
      <w:r>
        <w:t xml:space="preserve"> </w:t>
      </w:r>
      <w:r>
        <w:t xml:space="preserve">області → країна побудована з 25 регіонів, без Криму й Севастополя, по яких немає даних</w:t>
      </w:r>
      <w:r>
        <w:t xml:space="preserve"> </w:t>
      </w:r>
      <w:r>
        <w:t xml:space="preserve">з 2014 року. Для middle-out використано третій рівень того самого датасету – міську і</w:t>
      </w:r>
      <w:r>
        <w:t xml:space="preserve"> </w:t>
      </w:r>
      <w:r>
        <w:t xml:space="preserve">сільську місцевість, разом 75 рядів.</w:t>
      </w:r>
    </w:p>
    <w:p>
      <w:pPr>
        <w:pStyle w:val="BodyText"/>
      </w:pPr>
      <w:r>
        <w:t xml:space="preserve">Реалізовано вісім методів у єдиній матричній формі</w:t>
      </w:r>
      <w:r>
        <w:t xml:space="preserve"> </w:t>
      </w:r>
      <m:oMath>
        <m:acc>
          <m:accPr>
            <m:chr m:val="̃"/>
          </m:accPr>
          <m:e>
            <m:r>
              <m:t>y</m:t>
            </m:r>
          </m:e>
        </m:acc>
        <m:r>
          <m:rPr>
            <m:sty m:val="p"/>
          </m:rPr>
          <m:t>=</m:t>
        </m:r>
        <m:r>
          <m:t>S</m:t>
        </m:r>
        <m:r>
          <m:t>G</m:t>
        </m:r>
        <m:acc>
          <m:accPr>
            <m:chr m:val="̂"/>
          </m:accPr>
          <m:e>
            <m:r>
              <m:t>y</m:t>
            </m:r>
          </m:e>
        </m:acc>
      </m:oMath>
      <w:r>
        <w:t xml:space="preserve">: bottom-up,</w:t>
      </w:r>
      <w:r>
        <w:t xml:space="preserve"> </w:t>
      </w:r>
      <w:r>
        <w:t xml:space="preserve">top-down з трьома способами часток, middle-out і оптимальне узгодження OLS, WLS, MinT.</w:t>
      </w:r>
      <w:r>
        <w:t xml:space="preserve"> </w:t>
      </w:r>
      <w:r>
        <w:t xml:space="preserve">Верифікація підтвердила когерентність прогнозів, незміщеність проєкційних методів і</w:t>
      </w:r>
      <w:r>
        <w:t xml:space="preserve"> </w:t>
      </w:r>
      <w:r>
        <w:t xml:space="preserve">збіг BU, OLS, WLS з бібліотекою scikit-hts.</w:t>
      </w:r>
    </w:p>
    <w:p>
      <w:pPr>
        <w:pStyle w:val="BodyText"/>
      </w:pPr>
      <w:r>
        <w:t xml:space="preserve">Ретроспективна перевірка на стартах 2015–2018 років показала, що для цього датасету</w:t>
      </w:r>
      <w:r>
        <w:t xml:space="preserve"> </w:t>
      </w:r>
      <w:r>
        <w:t xml:space="preserve">оптимальний метод – top-down з частками прогнозу (TD-FP): середня MAPE за трьома</w:t>
      </w:r>
      <w:r>
        <w:t xml:space="preserve"> </w:t>
      </w:r>
      <w:r>
        <w:t xml:space="preserve">рівнями 5,69 %, MASE 0,70. Він поєднує найточніший прогноз агрегату країни з</w:t>
      </w:r>
      <w:r>
        <w:t xml:space="preserve"> </w:t>
      </w:r>
      <w:r>
        <w:t xml:space="preserve">частками з поточних прогнозів областей. Друге місце посідає OLS (6,03 %), який</w:t>
      </w:r>
      <w:r>
        <w:t xml:space="preserve"> </w:t>
      </w:r>
      <w:r>
        <w:t xml:space="preserve">незміщений і майже не поступається. Top-down з історичними частками непридатний: злам</w:t>
      </w:r>
      <w:r>
        <w:t xml:space="preserve"> </w:t>
      </w:r>
      <w:r>
        <w:t xml:space="preserve">2014 року змінив регіональну структуру, і похибка на рівні областей сягає 19–20 %.</w:t>
      </w:r>
      <w:r>
        <w:t xml:space="preserve"> </w:t>
      </w:r>
      <w:r>
        <w:t xml:space="preserve">Bottom-up і MinT найгірші на рівні країни. Middle-out точніший за bottom-up, але</w:t>
      </w:r>
      <w:r>
        <w:t xml:space="preserve"> </w:t>
      </w:r>
      <w:r>
        <w:t xml:space="preserve">поступається TD-FP.</w:t>
      </w:r>
    </w:p>
    <w:p>
      <w:pPr>
        <w:pStyle w:val="BodyText"/>
      </w:pPr>
      <w:r>
        <w:t xml:space="preserve">За методом TD-FP у 2026 році народжуваність становитиме 194 тис., на 28,6 % менше, ніж</w:t>
      </w:r>
      <w:r>
        <w:t xml:space="preserve"> </w:t>
      </w:r>
      <w:r>
        <w:t xml:space="preserve">у 2021 році. Інші методи дають 194–210 тис. Прогноз екстраполює тенденції 2014–2021</w:t>
      </w:r>
      <w:r>
        <w:t xml:space="preserve"> </w:t>
      </w:r>
      <w:r>
        <w:t xml:space="preserve">років. Наслідків повномасштабної війни у даних немає, тож фактичні значення після</w:t>
      </w:r>
      <w:r>
        <w:t xml:space="preserve"> </w:t>
      </w:r>
      <w:r>
        <w:t xml:space="preserve">2022 року, ймовірно, будуть нижчими.</w:t>
      </w:r>
    </w:p>
    <w:bookmarkEnd w:id="55"/>
    <w:bookmarkStart w:id="56" w:name="перелік-джерел"/>
    <w:p>
      <w:pPr>
        <w:pStyle w:val="Heading1"/>
      </w:pPr>
      <w:r>
        <w:t xml:space="preserve">Перелік джерел</w:t>
      </w:r>
    </w:p>
    <w:p>
      <w:pPr>
        <w:pStyle w:val="Compact"/>
        <w:numPr>
          <w:ilvl w:val="0"/>
          <w:numId w:val="1005"/>
        </w:numPr>
        <w:jc w:val="left"/>
      </w:pPr>
      <w:r>
        <w:t xml:space="preserve">Державна служба статистики України. Демографічна та соціальна статистика: народжуваність. URL: https://stat.gov.ua/uk/explorer</w:t>
      </w:r>
    </w:p>
    <w:p>
      <w:pPr>
        <w:pStyle w:val="Compact"/>
        <w:numPr>
          <w:ilvl w:val="0"/>
          <w:numId w:val="1005"/>
        </w:numPr>
      </w:pPr>
      <w:r>
        <w:t xml:space="preserve">Athanasopoulos G., Ahmed R. A., Hyndman R. J. Hierarchical forecasts for Australian domestic tourism. International Journal of Forecasting. 2009. Vol. 25. P. 146–166.</w:t>
      </w:r>
    </w:p>
    <w:p>
      <w:pPr>
        <w:pStyle w:val="Compact"/>
        <w:numPr>
          <w:ilvl w:val="0"/>
          <w:numId w:val="1005"/>
        </w:numPr>
      </w:pPr>
      <w:r>
        <w:t xml:space="preserve">Wickramasuriya S. L., Athanasopoulos G., Hyndman R. J. Optimal forecast reconciliation for hierarchical and grouped time series through trace minimization. Journal of the American Statistical Association. 2019. Vol. 114, No. 526. P. 804–819.</w:t>
      </w:r>
    </w:p>
    <w:p>
      <w:pPr>
        <w:pStyle w:val="Compact"/>
        <w:numPr>
          <w:ilvl w:val="0"/>
          <w:numId w:val="1005"/>
        </w:numPr>
      </w:pPr>
      <w:r>
        <w:t xml:space="preserve">Schäfer J., Strimmer K. A shrinkage approach to large-scale covariance matrix estimation and implications for functional genomics. Statistical Applications in Genetics and Molecular Biology. 2005. Vol. 4, No. 1.</w:t>
      </w:r>
    </w:p>
    <w:p>
      <w:pPr>
        <w:pStyle w:val="Compact"/>
        <w:numPr>
          <w:ilvl w:val="0"/>
          <w:numId w:val="1005"/>
        </w:numPr>
        <w:jc w:val="left"/>
      </w:pPr>
      <w:r>
        <w:t xml:space="preserve">scikit-hts documentation. URL: https://scikit-hts.readthedocs.io</w:t>
      </w:r>
    </w:p>
    <w:bookmarkEnd w:id="56"/>
    <w:sectPr>
      <w:pgSz w:h="16838" w:w="11906"/>
      <w:pgMar w:bottom="1134" w:footer="708" w:gutter="0" w:header="708" w:left="1418"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suff w:val="space"/>
      <w:lvlText w:val=" "/>
      <w:lvlJc w:val="left"/>
      <w:pPr>
        <w:ind w:left="0" w:firstLine="709"/>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suff w:val="space"/>
      <w:lvlText w:val="%1."/>
      <w:lvlJc w:val="left"/>
      <w:pPr>
        <w:ind w:left="0" w:firstLine="709"/>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suff w:val="space"/>
      <w:lvlText w:val=""/>
      <w:lvlJc w:val="left"/>
      <w:pPr>
        <w:ind w:left="0" w:firstLine="709"/>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ind w:firstLine="709"/>
      <w:jc w:val="both"/>
    </w:pPr>
    <w:rPr>
      <w:rFonts w:ascii="Times New Roman" w:cs="Times New Roman" w:eastAsia="Times New Roman" w:hAnsi="Times New Roman"/>
    </w:rPr>
  </w:style>
  <w:style w:styleId="BodyText" w:type="paragraph">
    <w:name w:val="Body Text"/>
    <w:basedOn w:val="Normal"/>
    <w:link w:val="BodyTextChar"/>
    <w:qFormat/>
    <w:pPr>
      <w:ind w:firstLine="709"/>
      <w:jc w:val="both"/>
    </w:pPr>
  </w:style>
  <w:style w:customStyle="1" w:styleId="FirstParagraph" w:type="paragraph">
    <w:name w:val="First Paragraph"/>
    <w:basedOn w:val="BodyText"/>
    <w:next w:val="BodyText"/>
    <w:qFormat/>
    <w:pPr>
      <w:ind w:firstLine="709"/>
      <w:jc w:val="both"/>
    </w:pPr>
  </w:style>
  <w:style w:customStyle="1" w:styleId="Compact" w:type="paragraph">
    <w:name w:val="Compact"/>
    <w:basedOn w:val="BodyText"/>
    <w:qFormat/>
    <w:pPr>
      <w:ind w:firstLine="0" w:left="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360" w:lineRule="auto"/>
      <w:ind w:firstLine="0" w:left="0"/>
      <w:jc w:val="center"/>
    </w:pPr>
    <w:rPr>
      <w:b/>
      <w:caps/>
      <w:sz w:val="28"/>
      <w:szCs w:val="28"/>
    </w:rPr>
  </w:style>
  <w:style w:styleId="Heading2" w:type="paragraph">
    <w:name w:val="heading 2"/>
    <w:basedOn w:val="Normal"/>
    <w:next w:val="BodyText"/>
    <w:link w:val="Heading2Char"/>
    <w:uiPriority w:val="9"/>
    <w:semiHidden/>
    <w:unhideWhenUsed/>
    <w:qFormat/>
    <w:rsid w:val="00A10FD9"/>
    <w:pPr>
      <w:keepNext/>
      <w:keepLines/>
      <w:spacing w:after="120" w:before="240" w:line="360" w:lineRule="auto"/>
      <w:ind w:firstLine="0" w:left="0"/>
    </w:pPr>
    <w:rPr>
      <w:b/>
      <w:sz w:val="28"/>
      <w:szCs w:val="28"/>
    </w:rPr>
  </w:style>
  <w:style w:styleId="Heading3" w:type="paragraph">
    <w:name w:val="heading 3"/>
    <w:basedOn w:val="Normal"/>
    <w:next w:val="BodyText"/>
    <w:link w:val="Heading3Char"/>
    <w:uiPriority w:val="9"/>
    <w:semiHidden/>
    <w:unhideWhenUsed/>
    <w:qFormat/>
    <w:rsid w:val="00A10FD9"/>
    <w:pPr>
      <w:keepNext/>
      <w:keepLines/>
      <w:spacing w:after="60" w:before="120" w:line="360" w:lineRule="auto"/>
      <w:ind w:firstLine="0" w:left="0"/>
    </w:pPr>
    <w:rPr>
      <w:b/>
      <w:sz w:val="28"/>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360" w:lineRule="auto"/>
      <w:ind w:firstLine="0" w:left="0"/>
    </w:pPr>
    <w:rPr>
      <w:i/>
      <w:sz w:val="28"/>
      <w:szCs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240" w:lineRule="auto"/>
      <w:ind w:firstLine="0" w:left="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left="0"/>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28"/>
        <w:left w:type="dxa" w:w="85"/>
        <w:bottom w:type="dxa" w:w="28"/>
        <w:right w:type="dxa" w:w="85"/>
      </w:tblCellMar>
    </w:tblPr>
    <w:tblStylePr w:type="firstRow">
      <w:pPr>
        <w:jc w:val="center"/>
      </w:pPr>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line="240" w:lineRule="auto"/>
      <w:ind w:firstLine="0" w:left="0"/>
      <w:jc w:val="center"/>
    </w:pPr>
  </w:style>
  <w:style w:customStyle="1" w:styleId="TableCaption" w:type="paragraph">
    <w:name w:val="Table Caption"/>
    <w:basedOn w:val="Caption"/>
    <w:pPr>
      <w:spacing w:after="240" w:before="0" w:line="240" w:lineRule="auto"/>
      <w:ind w:firstLine="0" w:left="0"/>
      <w:jc w:val="center"/>
    </w:pPr>
  </w:style>
  <w:style w:customStyle="1" w:styleId="ImageCaption" w:type="paragraph">
    <w:name w:val="Image Caption"/>
    <w:basedOn w:val="Caption"/>
    <w:pPr>
      <w:spacing w:after="240" w:before="0" w:line="240" w:lineRule="auto"/>
      <w:ind w:firstLine="0" w:left="0"/>
      <w:jc w:val="center"/>
    </w:pPr>
  </w:style>
  <w:style w:customStyle="1" w:styleId="Figure" w:type="paragraph">
    <w:name w:val="Figure"/>
    <w:basedOn w:val="Normal"/>
    <w:pPr>
      <w:keepNext/>
      <w:keepLines/>
      <w:spacing w:after="60" w:before="240" w:line="240" w:lineRule="auto"/>
      <w:ind w:firstLine="0" w:left="0"/>
      <w:jc w:val="center"/>
    </w:pPr>
  </w:style>
  <w:style w:customStyle="1" w:styleId="CaptionedFigure" w:type="paragraph">
    <w:name w:val="Captioned Figure"/>
    <w:basedOn w:val="Figure"/>
    <w:pPr>
      <w:keepNext/>
      <w:keepLines/>
      <w:spacing w:after="60" w:before="240" w:line="240" w:lineRule="auto"/>
      <w:ind w:firstLine="0" w:left="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20"/>
      <w:szCs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SourceCode" w:type="paragraph">
    <w:name w:val="Source Code"/>
    <w:basedOn w:val="Normal"/>
    <w:qFormat/>
    <w:pPr>
      <w:spacing w:after="0" w:before="0" w:line="240" w:lineRule="auto"/>
      <w:ind w:firstLine="0" w:left="0"/>
      <w:jc w:val="left"/>
    </w:pPr>
    <w:rPr>
      <w:rFonts w:ascii="Courier New" w:cs="Courier New" w:eastAsia="Courier New" w:hAnsi="Courier New"/>
      <w:sz w:val="20"/>
      <w:szCs w:val="20"/>
    </w:rPr>
  </w:style>
  <w:style w:styleId="TitlePage" w:type="paragraph">
    <w:name w:val="Титульний"/>
    <w:basedOn w:val="Normal"/>
    <w:qFormat/>
    <w:pPr>
      <w:spacing w:after="0" w:before="0" w:line="240" w:lineRule="auto"/>
      <w:ind w:firstLine="0" w:left="0"/>
      <w:jc w:val="center"/>
    </w:pPr>
  </w:style>
  <w:style w:styleId="TitlePageLeft" w:type="paragraph">
    <w:name w:val="Титульний лівий"/>
    <w:basedOn w:val="Normal"/>
    <w:qFormat/>
    <w:pPr>
      <w:spacing w:after="0" w:before="0" w:line="240" w:lineRule="auto"/>
      <w:ind w:firstLine="0" w:left="709"/>
      <w:jc w:val="left"/>
    </w:pPr>
  </w:style>
  <w:style w:styleId="FigureImage" w:type="paragraph">
    <w:name w:val="Рисунок"/>
    <w:basedOn w:val="Normal"/>
    <w:qFormat/>
    <w:pPr>
      <w:keepNext/>
      <w:keepLines/>
      <w:spacing w:after="60" w:before="240" w:line="240" w:lineRule="auto"/>
      <w:ind w:firstLine="0" w:left="0"/>
      <w:jc w:val="center"/>
    </w:pPr>
  </w:style>
  <w:style w:styleId="FigureCaption" w:type="paragraph">
    <w:name w:val="Підпис"/>
    <w:basedOn w:val="Normal"/>
    <w:qFormat/>
    <w:pPr>
      <w:spacing w:after="240" w:before="0" w:line="240" w:lineRule="auto"/>
      <w:ind w:firstLine="0" w:left="0"/>
      <w:jc w:val="center"/>
    </w:pPr>
  </w:style>
  <w:style w:styleId="TOC1" w:type="paragraph">
    <w:name w:val="toc 1"/>
    <w:basedOn w:val="Normal"/>
    <w:next w:val="Normal"/>
    <w:uiPriority w:val="39"/>
    <w:unhideWhenUsed/>
    <w:pPr>
      <w:spacing w:after="0" w:before="0" w:line="360" w:lineRule="auto"/>
      <w:tabs>
        <w:tab w:leader="dot" w:pos="9354" w:val="right"/>
      </w:tabs>
      <w:ind w:firstLine="0" w:left="0"/>
      <w:jc w:val="left"/>
    </w:pPr>
  </w:style>
  <w:style w:styleId="TOC2" w:type="paragraph">
    <w:name w:val="toc 2"/>
    <w:basedOn w:val="Normal"/>
    <w:next w:val="Normal"/>
    <w:uiPriority w:val="39"/>
    <w:unhideWhenUsed/>
    <w:pPr>
      <w:spacing w:after="0" w:before="0" w:line="360" w:lineRule="auto"/>
      <w:tabs>
        <w:tab w:leader="dot" w:pos="9354" w:val="right"/>
      </w:tabs>
      <w:ind w:firstLine="0" w:left="284"/>
      <w:jc w:val="left"/>
    </w:pPr>
  </w:style>
  <w:style w:styleId="TableCaptionOwn" w:type="paragraph">
    <w:name w:val="Підпис таблиці"/>
    <w:basedOn w:val="Normal"/>
    <w:qFormat/>
    <w:pPr>
      <w:keepNext/>
      <w:keepLines/>
      <w:spacing w:after="60" w:before="240" w:line="240" w:lineRule="auto"/>
      <w:ind w:firstLine="0" w:left="0"/>
      <w:jc w:val="left"/>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8" Target="media/rId3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2026-10-18T21:42:07Z</dcterms:created>
  <dcterms:modified xsi:type="dcterms:W3CDTF">2026-10-18T21:42:07Z</dcterms:modified>
</cp:coreProperties>
</file>

<file path=docProps/custom.xml><?xml version="1.0" encoding="utf-8"?>
<Properties xmlns="http://schemas.openxmlformats.org/officeDocument/2006/custom-properties" xmlns:vt="http://schemas.openxmlformats.org/officeDocument/2006/docPropsVTypes"/>
</file>