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8</w:t>
      </w:r>
    </w:p>
    <w:p>
      <w:pPr>
        <w:pStyle w:val="TitlePage"/>
      </w:pPr>
      <w:r>
        <w:t xml:space="preserve">«Проектний практикум з прогнозування економічних показників»</w:t>
      </w:r>
    </w:p>
    <w:p>
      <w:pPr>
        <w:pStyle w:val="TitlePage"/>
      </w:pPr>
      <w:r>
        <w:t xml:space="preserve">Рівні складності I–III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з обробки часових</w:t>
      </w:r>
      <w:r>
        <w:t xml:space="preserve"> </w:t>
      </w:r>
      <w:r>
        <w:t xml:space="preserve">рядів для конкретних проектних задач обробки Big Data масивів з використанням</w:t>
      </w:r>
      <w:r>
        <w:t xml:space="preserve"> </w:t>
      </w:r>
      <w:r>
        <w:t xml:space="preserve">можливостей 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реалізує функціонал за обраним рівнем</w:t>
      </w:r>
      <w:r>
        <w:t xml:space="preserve"> </w:t>
      </w:r>
      <w:r>
        <w:t xml:space="preserve">складності.</w:t>
      </w:r>
    </w:p>
    <w:p>
      <w:pPr>
        <w:pStyle w:val="BodyText"/>
      </w:pPr>
      <w:r>
        <w:t xml:space="preserve">Рівень I, варіант 8. Розробити програмний скрипт, що реалізує:</w:t>
      </w:r>
    </w:p>
    <w:p>
      <w:pPr>
        <w:pStyle w:val="Compact"/>
        <w:numPr>
          <w:ilvl w:val="0"/>
          <w:numId w:val="1001"/>
        </w:numPr>
      </w:pPr>
      <w:r>
        <w:t xml:space="preserve">Парсинг файлу параметрів Pr_1.xls.</w:t>
      </w:r>
    </w:p>
    <w:p>
      <w:pPr>
        <w:pStyle w:val="Compact"/>
        <w:numPr>
          <w:ilvl w:val="0"/>
          <w:numId w:val="1001"/>
        </w:numPr>
      </w:pPr>
      <w:r>
        <w:t xml:space="preserve">Попередній аналіз даних.</w:t>
      </w:r>
    </w:p>
    <w:p>
      <w:pPr>
        <w:pStyle w:val="Compact"/>
        <w:numPr>
          <w:ilvl w:val="0"/>
          <w:numId w:val="1001"/>
        </w:numPr>
      </w:pPr>
      <w:r>
        <w:t xml:space="preserve">Визначення показників ефективності – продажів та прибутку.</w:t>
      </w:r>
    </w:p>
    <w:p>
      <w:pPr>
        <w:pStyle w:val="Compact"/>
        <w:numPr>
          <w:ilvl w:val="0"/>
          <w:numId w:val="1001"/>
        </w:numPr>
      </w:pPr>
      <w:r>
        <w:t xml:space="preserve">Визначення математичної моделі даних відповідно до МНК.</w:t>
      </w:r>
    </w:p>
    <w:p>
      <w:pPr>
        <w:pStyle w:val="Compact"/>
        <w:numPr>
          <w:ilvl w:val="0"/>
          <w:numId w:val="1001"/>
        </w:numPr>
      </w:pPr>
      <w:r>
        <w:t xml:space="preserve">Визначення динаміки зміни прибутку за регіонами (таблиця, графік, файл).</w:t>
      </w:r>
    </w:p>
    <w:p>
      <w:pPr>
        <w:pStyle w:val="FirstParagraph"/>
      </w:pPr>
      <w:r>
        <w:t xml:space="preserve">Рівень II. Розробити програмний скрипт, що реалізує аналіз даних, поданих у файлі</w:t>
      </w:r>
      <w:r>
        <w:t xml:space="preserve"> </w:t>
      </w:r>
      <w:r>
        <w:t xml:space="preserve">Data_Set_8.xlsx, або самостійно обраних процесів. Обов’язковою вимогою є аналіз множини</w:t>
      </w:r>
      <w:r>
        <w:t xml:space="preserve"> </w:t>
      </w:r>
      <w:r>
        <w:t xml:space="preserve">процесів, поданих часовими рядами з різними властивостями.</w:t>
      </w:r>
    </w:p>
    <w:p>
      <w:pPr>
        <w:pStyle w:val="BodyText"/>
      </w:pPr>
      <w:r>
        <w:t xml:space="preserve">Рівень III. Провести R&amp;D дослідження та розробити технологію обробки часових рядів з</w:t>
      </w:r>
      <w:r>
        <w:t xml:space="preserve"> </w:t>
      </w:r>
      <w:r>
        <w:t xml:space="preserve">багатофакторним аналізом результатів, отриманих за трьома класами алгоритмів обробки:</w:t>
      </w:r>
      <w:r>
        <w:t xml:space="preserve"> </w:t>
      </w:r>
      <w:r>
        <w:t xml:space="preserve">статистичне навчання, апроксимація, глибинне навчання. Обробці різними методами</w:t>
      </w:r>
      <w:r>
        <w:t xml:space="preserve"> </w:t>
      </w:r>
      <w:r>
        <w:t xml:space="preserve">підлягає один і той самий часовий ряд. Оцінка має бути інтегрованою з результатів</w:t>
      </w:r>
      <w:r>
        <w:t xml:space="preserve"> </w:t>
      </w:r>
      <w:r>
        <w:t xml:space="preserve">застосування методів трьох класів. Технологію реалізувати в скриптовій формі і показати</w:t>
      </w:r>
      <w:r>
        <w:t xml:space="preserve"> </w:t>
      </w:r>
      <w:r>
        <w:t xml:space="preserve">на реальних часових рядах.</w:t>
      </w:r>
    </w:p>
    <w:p>
      <w:pPr>
        <w:pStyle w:val="BodyText"/>
      </w:pPr>
      <w:r>
        <w:t xml:space="preserve">Виконано всі три рівні. Файл Data_Set_8.xlsx містить 15 замовлень за один місяць і</w:t>
      </w:r>
      <w:r>
        <w:t xml:space="preserve"> </w:t>
      </w:r>
      <w:r>
        <w:t xml:space="preserve">часового ряду не утворює, тому рівні II і III виконано на чотирьох самостійно обраних</w:t>
      </w:r>
      <w:r>
        <w:t xml:space="preserve"> </w:t>
      </w:r>
      <w:r>
        <w:t xml:space="preserve">економічних показниках з різними властивостями (таблиця 1). Ті самі ряди обробляються</w:t>
      </w:r>
      <w:r>
        <w:t xml:space="preserve"> </w:t>
      </w:r>
      <w:r>
        <w:t xml:space="preserve">трьома класами методів на рівні III.</w:t>
      </w:r>
    </w:p>
    <w:p>
      <w:pPr>
        <w:pStyle w:val="TableCaptionOwn"/>
        <w:keepNext/>
      </w:pPr>
      <w:r>
        <w:t xml:space="preserve">Таблиця 1 – Вхідні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960"/>
        <w:gridCol w:w="1284"/>
        <w:gridCol w:w="96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Джерело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Період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Обсяг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Продажі мережі магазинів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Pr_1.xls: 27 797 продажів, 199 магазинів, 5 регіонів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2021 рік, щодня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 UAH/USD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офіційний курс НБУ [1], середній за місяць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09.1996–09.2026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ІСЦ України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місячна інфляція НБУ [1], ланцюговий індекс, грудень 2006 = 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01.2007–09.2026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Роздрібна торгівля США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FRED, RSXFSN, без сезонного коригування [2]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01.1992–09.2026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Нафта 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FRED, DCOILBRENTEU, середня за місяць 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05.1987–09.2026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</w:t>
            </w:r>
          </w:p>
        </w:tc>
      </w:tr>
    </w:tbl>
    <w:bookmarkEnd w:id="13"/>
    <w:bookmarkStart w:id="67" w:name="Xc1386a3283912c4f3374a84873b52512cc02c89"/>
    <w:p>
      <w:pPr>
        <w:pStyle w:val="Heading1"/>
        <w:spacing w:before="420"/>
      </w:pPr>
      <w:r>
        <w:t xml:space="preserve">ІІІ. Результати виконання лабораторної роботи</w:t>
      </w:r>
    </w:p>
    <w:bookmarkStart w:id="20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показники-ефективності-продажів"/>
    <w:p>
      <w:pPr>
        <w:pStyle w:val="Heading3"/>
      </w:pPr>
      <w:r>
        <w:t xml:space="preserve">3.1.1. Показники ефективності продажів</w:t>
      </w:r>
    </w:p>
    <w:p>
      <w:pPr>
        <w:pStyle w:val="FirstParagraph"/>
      </w:pPr>
      <w:r>
        <w:t xml:space="preserve">Для кожного продажу з кількістю</w:t>
      </w:r>
      <w:r>
        <w:t xml:space="preserve"> </w:t>
      </w:r>
      <m:oMath>
        <m:r>
          <m:t>q</m:t>
        </m:r>
      </m:oMath>
      <w:r>
        <w:t xml:space="preserve">, ціною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і собівартістю одиниці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q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q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– виручка,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витрати,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прибуток,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рентабельність. Повернення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&lt;</m:t>
        </m:r>
        <m:r>
          <m:t>0</m:t>
        </m:r>
      </m:oMath>
      <w:r>
        <w:t xml:space="preserve">) входять у суми зі знаком мінус. Показники агрегуються за місяцями і регіонами.</w:t>
      </w:r>
      <w:r>
        <w:t xml:space="preserve"> </w:t>
      </w:r>
      <w:r>
        <w:t xml:space="preserve">Регіон магазину береться з довідника, що лежить у тому ж аркуші праворуч від продажів.</w:t>
      </w:r>
      <w:r>
        <w:t xml:space="preserve"> </w:t>
      </w:r>
      <w:r>
        <w:t xml:space="preserve">Назву «Днепро-Слобідський» у файлі виправлено на «Дніпро-Слобідський».</w:t>
      </w:r>
    </w:p>
    <w:p>
      <w:pPr>
        <w:pStyle w:val="BodyText"/>
      </w:pPr>
      <w:r>
        <w:t xml:space="preserve">Динаміка прибутку регіону – місячна зміна і частка регіону в прибутку місяця: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t> 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m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m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⋅</m:t>
          </m:r>
          <m:r>
            <m:t>100</m:t>
          </m:r>
          <m:r>
            <m:t> 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Модуль у знаменнику зберігає знак зміни, коли попередній місяць збитковий.</w:t>
      </w:r>
    </w:p>
    <w:bookmarkEnd w:id="14"/>
    <w:bookmarkStart w:id="15" w:name="мнк-модель-і-очищення-аномалій"/>
    <w:p>
      <w:pPr>
        <w:pStyle w:val="Heading3"/>
      </w:pPr>
      <w:r>
        <w:t xml:space="preserve">3.1.2. МНК-модель і очищення аномалій</w:t>
      </w:r>
    </w:p>
    <w:p>
      <w:pPr>
        <w:pStyle w:val="FirstParagraph"/>
      </w:pPr>
      <w:r>
        <w:t xml:space="preserve">Добовий прибуток описується поліномом нормованого часу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r>
                <m:t>τ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Степінь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обирається за найменшою RMSE на відкладених останніх 20 %</w:t>
      </w:r>
      <w:r>
        <w:t xml:space="preserve"> </w:t>
      </w:r>
      <w:r>
        <w:t xml:space="preserve">вибірки. Перед підгонкою аномальні виміри замінюються лінійною інтерполяцією.</w:t>
      </w:r>
      <w:r>
        <w:t xml:space="preserve"> </w:t>
      </w:r>
      <w:r>
        <w:t xml:space="preserve">Детектор порівнює залишок після ковзної медіани з порогом</w:t>
      </w:r>
      <w:r>
        <w:t xml:space="preserve"> </w:t>
      </w:r>
      <m:oMath>
        <m:r>
          <m:t>k</m:t>
        </m:r>
        <m:acc>
          <m:accPr>
            <m:chr m:val="̂"/>
          </m:accPr>
          <m:e>
            <m:r>
              <m:t>σ</m:t>
            </m:r>
          </m:e>
        </m:acc>
      </m:oMath>
      <w:r>
        <w:t xml:space="preserve">, де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4826</m:t>
        </m:r>
        <m:r>
          <m:rPr>
            <m:sty m:val="p"/>
          </m:rPr>
          <m:t>⋅</m:t>
        </m:r>
        <m:r>
          <m:rPr>
            <m:nor/>
            <m:sty m:val="p"/>
          </m:rPr>
          <m:t>MAD</m:t>
        </m:r>
      </m:oMath>
      <w:r>
        <w:t xml:space="preserve">, 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– поправка Бонферроні на обсяг вибірки.</w:t>
      </w:r>
    </w:p>
    <w:bookmarkEnd w:id="15"/>
    <w:bookmarkStart w:id="16" w:name="властивості-процесів"/>
    <w:p>
      <w:pPr>
        <w:pStyle w:val="Heading3"/>
      </w:pPr>
      <w:r>
        <w:t xml:space="preserve">3.1.3. Властивості процесів</w:t>
      </w:r>
    </w:p>
    <w:p>
      <w:pPr>
        <w:pStyle w:val="FirstParagraph"/>
      </w:pPr>
      <w:r>
        <w:t xml:space="preserve">Економічні показники зростають мультиплікативно, тому їхні властивості оцінюються за</w:t>
      </w:r>
      <w:r>
        <w:t xml:space="preserve"> </w:t>
      </w:r>
      <w:r>
        <w:t xml:space="preserve">логарифмічними приростами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тренд –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квадратичного полінома за часом;</w:t>
      </w:r>
    </w:p>
    <w:p>
      <w:pPr>
        <w:pStyle w:val="Compact"/>
        <w:numPr>
          <w:ilvl w:val="0"/>
          <w:numId w:val="1002"/>
        </w:numPr>
      </w:pPr>
      <w:r>
        <w:t xml:space="preserve">стаціонарність – тест Дікі–Фуллера (ADF) для рівнів і приростів;</w:t>
      </w:r>
    </w:p>
    <w:p>
      <w:pPr>
        <w:pStyle w:val="Compact"/>
        <w:numPr>
          <w:ilvl w:val="0"/>
          <w:numId w:val="1002"/>
        </w:numPr>
      </w:pPr>
      <w:r>
        <w:t xml:space="preserve">річна сезонність –</w:t>
      </w:r>
      <w:r>
        <w:t xml:space="preserve"> </w:t>
      </w:r>
      <m:oMath>
        <m:sSub>
          <m:e>
            <m:r>
              <m:t>ρ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тобто автокореляція приростів на</w:t>
      </w:r>
      <w:r>
        <w:t xml:space="preserve"> </w:t>
      </w:r>
      <w:r>
        <w:t xml:space="preserve">лагу 12 значуща із запасом. Рівні для цього не годяться: тренд дає високу ACF на будь-якому</w:t>
      </w:r>
      <w:r>
        <w:t xml:space="preserve"> </w:t>
      </w:r>
      <w:r>
        <w:t xml:space="preserve">лагу;</w:t>
      </w:r>
    </w:p>
    <w:p>
      <w:pPr>
        <w:pStyle w:val="Compact"/>
        <w:numPr>
          <w:ilvl w:val="0"/>
          <w:numId w:val="1002"/>
        </w:numPr>
      </w:pPr>
      <w:r>
        <w:t xml:space="preserve">волатильність –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, ексцес і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шоки – прирости з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rPr>
            <m:nor/>
            <m:sty m:val="p"/>
          </m:rPr>
          <m:t>med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k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За цими ознаками ряд відноситься до одного з типів: тренд із сильною сезонністю</w:t>
      </w:r>
      <w:r>
        <w:t xml:space="preserve"> </w:t>
      </w:r>
      <w:r>
        <w:t xml:space="preserve">(</w:t>
      </w:r>
      <m:oMath>
        <m:sSub>
          <m:e>
            <m:r>
              <m:t>ρ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), гладкий тренд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3</m:t>
        </m:r>
        <m:r>
          <m:t> </m:t>
        </m:r>
        <m:r>
          <m:rPr>
            <m:sty m:val="p"/>
          </m:rPr>
          <m:t>%</m:t>
        </m:r>
      </m:oMath>
      <w:r>
        <w:t xml:space="preserve">), волатильний</w:t>
      </w:r>
      <w:r>
        <w:t xml:space="preserve"> </w:t>
      </w:r>
      <w:r>
        <w:t xml:space="preserve">процес без стійкого тренду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) або випадкове блукання зі стрибками.</w:t>
      </w:r>
    </w:p>
    <w:bookmarkEnd w:id="16"/>
    <w:bookmarkStart w:id="17" w:name="три-класи-методів-обробки"/>
    <w:p>
      <w:pPr>
        <w:pStyle w:val="Heading3"/>
      </w:pPr>
      <w:r>
        <w:t xml:space="preserve">3.1.4. Три класи методів обробки</w:t>
      </w:r>
    </w:p>
    <w:p>
      <w:pPr>
        <w:pStyle w:val="FirstParagraph"/>
      </w:pPr>
      <w:r>
        <w:t xml:space="preserve">Кожен метод отримує ділянку спостереження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місяців і прогнозує 24 місяці.</w:t>
      </w:r>
      <w:r>
        <w:t xml:space="preserve"> </w:t>
      </w:r>
      <w:r>
        <w:t xml:space="preserve">Наявність річної сезонності визначається на цій ділянці за 3.1.3.</w:t>
      </w:r>
    </w:p>
    <w:p>
      <w:pPr>
        <w:pStyle w:val="BodyText"/>
      </w:pPr>
      <w:r>
        <w:t xml:space="preserve">Статистичне навчання:</w:t>
      </w:r>
    </w:p>
    <w:p>
      <w:pPr>
        <w:pStyle w:val="Compact"/>
        <w:numPr>
          <w:ilvl w:val="0"/>
          <w:numId w:val="1003"/>
        </w:numPr>
      </w:pPr>
      <w:r>
        <w:t xml:space="preserve">МНК-поліном степеня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з вибором за відкладеним хвостом,</w:t>
      </w:r>
      <w:r>
        <w:t xml:space="preserve"> </w:t>
      </w:r>
      <w:r>
        <w:t xml:space="preserve">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адаптивний α-β фільтр. Коефіцієнти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відповідають рекурентному МНК, CUSUM нормованих нев’язок</w:t>
      </w:r>
      <w:r>
        <w:t xml:space="preserve"> </w:t>
      </w:r>
      <w:r>
        <w:t xml:space="preserve">перезапускає пам’ять при розладці. Прогноз з кінцевого стану: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h</m:t>
        </m:r>
      </m:oMath>
      <w:r>
        <w:t xml:space="preserve">.</w:t>
      </w:r>
    </w:p>
    <w:p>
      <w:pPr>
        <w:pStyle w:val="FirstParagraph"/>
      </w:pPr>
      <w:r>
        <w:t xml:space="preserve">Апроксимація:</w:t>
      </w:r>
    </w:p>
    <w:p>
      <w:pPr>
        <w:pStyle w:val="Compact"/>
        <w:numPr>
          <w:ilvl w:val="0"/>
          <w:numId w:val="1004"/>
        </w:numPr>
      </w:pPr>
      <w:r>
        <w:t xml:space="preserve">експоненційне згладжування: просте, Хольта, із затуханням тренду, Хольта–Вінтерса</w:t>
      </w:r>
      <w:r>
        <w:t xml:space="preserve"> </w:t>
      </w:r>
      <w:r>
        <w:t xml:space="preserve">для сезонного ряду. Структура і 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обираються за CV-похибкою на</w:t>
      </w:r>
      <w:r>
        <w:t xml:space="preserve"> </w:t>
      </w:r>
      <w:r>
        <w:t xml:space="preserve">горизонті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регресійне згладжування: поліном за часом, тренд з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гармоніками річного періоду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≤</m:t>
        </m:r>
        <m:r>
          <m:t>6</m:t>
        </m:r>
      </m:oMath>
      <w:r>
        <w:t xml:space="preserve">, повний ряд Фур’є), регресія на лаги</w:t>
      </w:r>
      <w:r>
        <w:t xml:space="preserve"> </w:t>
      </w:r>
      <m:oMath>
        <m:r>
          <m:t>1</m:t>
        </m:r>
        <m:r>
          <m:rPr>
            <m:sty m:val="p"/>
          </m:rPr>
          <m:t>…</m:t>
        </m:r>
        <m:r>
          <m:t>p</m:t>
        </m:r>
      </m:oMath>
      <w:r>
        <w:t xml:space="preserve"> </w:t>
      </w:r>
      <w:r>
        <w:t xml:space="preserve">з рекурсивним прогнозом.</w:t>
      </w:r>
      <w:r>
        <w:t xml:space="preserve"> </w:t>
      </w:r>
      <w:r>
        <w:t xml:space="preserve">Модель обирається за CV з правилом однієї стандартної похибки.</w:t>
      </w:r>
    </w:p>
    <w:p>
      <w:pPr>
        <w:pStyle w:val="FirstParagraph"/>
      </w:pPr>
      <w:r>
        <w:t xml:space="preserve">Глибинне навчання – три мережі в стратегії «гібрид»: детермінована складова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(поліном степеня 0–2 за CV плюс дві гармоніки за наявності сезонності) і мережа на</w:t>
      </w:r>
      <w:r>
        <w:t xml:space="preserve"> </w:t>
      </w:r>
      <w:r>
        <w:t xml:space="preserve">залишку з рекурсивним прогнозом: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w:r>
        <w:t xml:space="preserve">Використано MLP 12–64–32–1, LSTM з 16 комірками та CNN з двома згортками по 16 фільтрів</w:t>
      </w:r>
      <w:r>
        <w:t xml:space="preserve"> </w:t>
      </w:r>
      <w:r>
        <w:t xml:space="preserve">(ядро 3), функція втрат MSE, рання зупинка за 20 % навчальних пар.</w:t>
      </w:r>
    </w:p>
    <w:p>
      <w:pPr>
        <w:pStyle w:val="BodyText"/>
      </w:pPr>
      <w:r>
        <w:t xml:space="preserve">Як еталон обчислюється наївний прогноз: останнє значення або, для сезонного ряду,</w:t>
      </w:r>
      <w:r>
        <w:t xml:space="preserve"> </w:t>
      </w:r>
      <w:r>
        <w:t xml:space="preserve">значення того самого місяця попереднього року.</w:t>
      </w:r>
    </w:p>
    <w:bookmarkEnd w:id="17"/>
    <w:bookmarkStart w:id="18" w:name="часткові-критерії-і-схема-компромісів"/>
    <w:p>
      <w:pPr>
        <w:pStyle w:val="Heading3"/>
      </w:pPr>
      <w:r>
        <w:t xml:space="preserve">3.1.5. Часткові критерії і схема компромісів</w:t>
      </w:r>
    </w:p>
    <w:p>
      <w:pPr>
        <w:pStyle w:val="FirstParagraph"/>
      </w:pPr>
      <w:r>
        <w:t xml:space="preserve">Методи перевіряються walk-forward: шість стартів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рівномірно по ряду, на кожному</w:t>
      </w:r>
      <w:r>
        <w:t xml:space="preserve"> </w:t>
      </w:r>
      <w:r>
        <w:t xml:space="preserve">метод бачить</w:t>
      </w:r>
      <w:r>
        <w:t xml:space="preserve"> </w:t>
      </w:r>
      <m:oMath>
        <m:r>
          <m:t>y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і прогнозує 24 місяці. Часткові критерії методу,</w:t>
      </w:r>
      <w:r>
        <w:t xml:space="preserve"> </w:t>
      </w:r>
      <w:r>
        <w:t xml:space="preserve">усі мінімізуються: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4461"/>
        <w:gridCol w:w="100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Вага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RMSE 6, RMSE 12, RMSE 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точність на горизонтах 6, 12 і 24 місяці, середнє за стартами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зміщення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середній модуль систематичної похибки на 24 місяцях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розкид RMSE 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СКВ RMSE між стартами – стабільність методу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lg мс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мс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– обчислювальна вартість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</w:tr>
    </w:tbl>
    <w:p>
      <w:pPr>
        <w:pStyle w:val="BodyText"/>
        <w:spacing w:before="420"/>
      </w:pPr>
      <w:r>
        <w:t xml:space="preserve">Вартість береться в порядках величини. В абсолютних секундах мережі (0,3–1,3 с) на тлі</w:t>
      </w:r>
      <w:r>
        <w:t xml:space="preserve"> </w:t>
      </w:r>
      <w:r>
        <w:t xml:space="preserve">МНК (2 мс) мали б частку, близьку до одиниці, і цей один критерій визначив би рейтинг.</w:t>
      </w:r>
    </w:p>
    <w:p>
      <w:pPr>
        <w:pStyle w:val="BodyText"/>
      </w:pPr>
      <w:r>
        <w:t xml:space="preserve">Інтегральна оцінка – нелінійна схема компромісів, застосована в [3] для багатофакторної</w:t>
      </w:r>
      <w:r>
        <w:t xml:space="preserve"> </w:t>
      </w:r>
      <w:r>
        <w:t xml:space="preserve">оцінки: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  <m:sup>
                      <m:r>
                        <m:t>0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min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Нормування на суму робить критерії безрозмірними. Штраф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зростає</w:t>
      </w:r>
      <w:r>
        <w:t xml:space="preserve"> </w:t>
      </w:r>
      <w:r>
        <w:t xml:space="preserve">нелінійно, коли частковий критерій наближається до межі, тому метод з одним дуже поганим</w:t>
      </w:r>
      <w:r>
        <w:t xml:space="preserve"> </w:t>
      </w:r>
      <w:r>
        <w:t xml:space="preserve">критерієм програє рівномірно непоганому.</w:t>
      </w:r>
    </w:p>
    <w:p>
      <w:pPr>
        <w:pStyle w:val="BodyText"/>
      </w:pPr>
      <w:r>
        <w:t xml:space="preserve">Стійкість висновку до суб’єктивних ваг перевіряється перерахунком рангів з рівними і</w:t>
      </w:r>
      <w:r>
        <w:t xml:space="preserve"> </w:t>
      </w:r>
      <w:r>
        <w:t xml:space="preserve">з ентропійними вагами: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r>
                    <m:t>0</m:t>
                  </m:r>
                </m:sup>
              </m:sSubSup>
            </m:e>
          </m:nary>
          <m:r>
            <m:rPr>
              <m:sty m:val="p"/>
            </m:rPr>
            <m:t>ln</m:t>
          </m:r>
          <m:sSubSup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bookmarkEnd w:id="18"/>
    <w:bookmarkStart w:id="19" w:name="інтегрований-прогноз-трьох-класів"/>
    <w:p>
      <w:pPr>
        <w:pStyle w:val="Heading3"/>
      </w:pPr>
      <w:r>
        <w:t xml:space="preserve">3.1.6. Інтегрований прогноз трьох класів</w:t>
      </w:r>
    </w:p>
    <w:p>
      <w:pPr>
        <w:pStyle w:val="FirstParagraph"/>
      </w:pPr>
      <w:r>
        <w:t xml:space="preserve">Оригінальна частина технології – прогноз, що об’єднує результати трьох класів на</w:t>
      </w:r>
      <w:r>
        <w:t xml:space="preserve"> </w:t>
      </w:r>
      <w:r>
        <w:t xml:space="preserve">кожному старті без знання майбутнього.</w:t>
      </w:r>
    </w:p>
    <w:p>
      <w:pPr>
        <w:pStyle w:val="Compact"/>
        <w:numPr>
          <w:ilvl w:val="0"/>
          <w:numId w:val="1005"/>
        </w:numPr>
      </w:pPr>
      <w:r>
        <w:t xml:space="preserve">Внутрішня валідація: кожен із семи методів навчається на ділянці без останніх</w:t>
      </w:r>
      <w:r>
        <w:t xml:space="preserve"> </w:t>
      </w:r>
      <w:r>
        <w:t xml:space="preserve">12 місяців і прогнозує їх. За RMSE, MAE і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зміщенням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на цих 12 місяцях</w:t>
      </w:r>
      <w:r>
        <w:t xml:space="preserve"> </w:t>
      </w:r>
      <w:r>
        <w:t xml:space="preserve">обчислюється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 схемою компромісів з рівними вагами.</w:t>
      </w:r>
    </w:p>
    <w:p>
      <w:pPr>
        <w:pStyle w:val="Compact"/>
        <w:numPr>
          <w:ilvl w:val="0"/>
          <w:numId w:val="1005"/>
        </w:numPr>
      </w:pPr>
      <w:r>
        <w:t xml:space="preserve">Лідер класу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метод класу з найменшим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Прогноз лідерів, навчених на повній ділянці</w:t>
      </w:r>
      <w:r>
        <w:t xml:space="preserve"> </w:t>
      </w:r>
      <m:oMath>
        <m:r>
          <m:t>W</m:t>
        </m:r>
      </m:oMath>
      <w:r>
        <w:t xml:space="preserve">, зважується: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nary>
        <m:sSubSup>
          <m:e>
            <m:r>
              <m:t>y</m:t>
            </m:r>
          </m:e>
          <m:sub>
            <m:r>
              <m:t>k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k</m:t>
            </m:r>
          </m:sub>
          <m:sup>
            <m:r>
              <m:t>0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дорівнює нулю для методу без</w:t>
      </w:r>
      <w:r>
        <w:t xml:space="preserve"> </w:t>
      </w:r>
      <w:r>
        <w:t xml:space="preserve">похибки, тому вага обернена до частки похибки методу. Клас, моделі якого не описують</w:t>
      </w:r>
      <w:r>
        <w:t xml:space="preserve"> </w:t>
      </w:r>
      <w:r>
        <w:t xml:space="preserve">ряд, отримує малу вагу автоматично. Для порівняння обчислюється адаптивний вибір –</w:t>
      </w:r>
      <w:r>
        <w:t xml:space="preserve"> </w:t>
      </w:r>
      <w:r>
        <w:t xml:space="preserve">прогноз одного методу з найменшим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серед усіх семи.</w:t>
      </w:r>
    </w:p>
    <w:bookmarkEnd w:id="19"/>
    <w:bookmarkEnd w:id="20"/>
    <w:bookmarkStart w:id="24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5919237" cy="7919999"/>
            <wp:effectExtent b="0" l="0" r="0" t="0"/>
            <wp:docPr descr="Блок-схема алгоритму" title="" id="22" name="Picture"/>
            <a:graphic>
              <a:graphicData uri="http://schemas.openxmlformats.org/drawingml/2006/picture">
                <pic:pic>
                  <pic:nvPicPr>
                    <pic:cNvPr descr="assets/00_blocksche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37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Рівень I виконується над таблицею продажів: після парсингу і приєднання регіонів</w:t>
      </w:r>
      <w:r>
        <w:t xml:space="preserve"> </w:t>
      </w:r>
      <w:r>
        <w:t xml:space="preserve">обчислюються показники, динаміка і МНК-моделі, результат зберігається у файл. Рівень II</w:t>
      </w:r>
      <w:r>
        <w:t xml:space="preserve"> </w:t>
      </w:r>
      <w:r>
        <w:t xml:space="preserve">аналізує властивості чотирьох рядів. На рівні III для кожного ряду і кожного старту</w:t>
      </w:r>
      <w:r>
        <w:t xml:space="preserve"> </w:t>
      </w:r>
      <w:r>
        <w:t xml:space="preserve">навчається сім методів двічі – на ділянці без останніх 12 місяців для внутрішньої</w:t>
      </w:r>
      <w:r>
        <w:t xml:space="preserve"> </w:t>
      </w:r>
      <w:r>
        <w:t xml:space="preserve">валідації і на повній ділянці для прогнозу. Мережі навчаються паралельно в пулі</w:t>
      </w:r>
      <w:r>
        <w:t xml:space="preserve"> </w:t>
      </w:r>
      <w:r>
        <w:t xml:space="preserve">процесів, результати кешуються на диску. Після всіх стартів часткові критерії</w:t>
      </w:r>
      <w:r>
        <w:t xml:space="preserve"> </w:t>
      </w:r>
      <w:r>
        <w:t xml:space="preserve">зводяться в інтегральну оцінку.</w:t>
      </w:r>
    </w:p>
    <w:bookmarkEnd w:id="24"/>
    <w:bookmarkStart w:id="25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  <w:ind w:left="297" w:firstLine="0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залежності лабораторної роботи</w:t>
      </w:r>
      <w:r>
        <w:br/>
      </w:r>
      <w:r>
        <w:rPr>
          <w:rStyle w:val="VerbatimChar"/>
        </w:rPr>
        <w:t xml:space="preserve">├── data/              кеш рядів НБУ і FRED (CSV)</w:t>
      </w:r>
      <w:r>
        <w:br/>
      </w:r>
      <w:r>
        <w:rPr>
          <w:rStyle w:val="VerbatimChar"/>
        </w:rPr>
        <w:t xml:space="preserve">├── out/               графіки, profit_by_region.xlsx, кеш навчених мереж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точка входу, рівні I–III і верифікація</w:t>
      </w:r>
      <w:r>
        <w:br/>
      </w:r>
      <w:r>
        <w:rPr>
          <w:rStyle w:val="VerbatimChar"/>
        </w:rPr>
        <w:t xml:space="preserve">    ├── loaders.py       Pr_1.xls, API НБУ, FRED</w:t>
      </w:r>
      <w:r>
        <w:br/>
      </w:r>
      <w:r>
        <w:rPr>
          <w:rStyle w:val="VerbatimChar"/>
        </w:rPr>
        <w:t xml:space="preserve">    ├── level1.py        показники ефективності, динаміка за регіонами</w:t>
      </w:r>
      <w:r>
        <w:br/>
      </w:r>
      <w:r>
        <w:rPr>
          <w:rStyle w:val="VerbatimChar"/>
        </w:rPr>
        <w:t xml:space="preserve">    ├── level2.py        властивості процесів, тип ряду</w:t>
      </w:r>
      <w:r>
        <w:br/>
      </w:r>
      <w:r>
        <w:rPr>
          <w:rStyle w:val="VerbatimChar"/>
        </w:rPr>
        <w:t xml:space="preserve">    ├── level3.py        три класи методів, інтегрований прогноз</w:t>
      </w:r>
      <w:r>
        <w:br/>
      </w:r>
      <w:r>
        <w:rPr>
          <w:rStyle w:val="VerbatimChar"/>
        </w:rPr>
        <w:t xml:space="preserve">    ├── integral.py      схема компромісів, ентропійні ваги</w:t>
      </w:r>
      <w:r>
        <w:br/>
      </w:r>
      <w:r>
        <w:rPr>
          <w:rStyle w:val="VerbatimChar"/>
        </w:rPr>
        <w:t xml:space="preserve">    ├── learn.py         МНК-поліном, вибір степеня</w:t>
      </w:r>
      <w:r>
        <w:br/>
      </w:r>
      <w:r>
        <w:rPr>
          <w:rStyle w:val="VerbatimChar"/>
        </w:rPr>
        <w:t xml:space="preserve">    ├── detect.py        виявлення аномалій</w:t>
      </w:r>
      <w:r>
        <w:br/>
      </w:r>
      <w:r>
        <w:rPr>
          <w:rStyle w:val="VerbatimChar"/>
        </w:rPr>
        <w:t xml:space="preserve">    ├── filters.py       α-β фільтр</w:t>
      </w:r>
      <w:r>
        <w:br/>
      </w:r>
      <w:r>
        <w:rPr>
          <w:rStyle w:val="VerbatimChar"/>
        </w:rPr>
        <w:t xml:space="preserve">    ├── adaptive.py      адаптивна пам'ять фільтра, CUSUM</w:t>
      </w:r>
      <w:r>
        <w:br/>
      </w:r>
      <w:r>
        <w:rPr>
          <w:rStyle w:val="VerbatimChar"/>
        </w:rPr>
        <w:t xml:space="preserve">    ├── exponential.py   експоненційне згладжування</w:t>
      </w:r>
      <w:r>
        <w:br/>
      </w:r>
      <w:r>
        <w:rPr>
          <w:rStyle w:val="VerbatimChar"/>
        </w:rPr>
        <w:t xml:space="preserve">    ├── regression.py    регресійне згладжування</w:t>
      </w:r>
      <w:r>
        <w:br/>
      </w:r>
      <w:r>
        <w:rPr>
          <w:rStyle w:val="VerbatimChar"/>
        </w:rPr>
        <w:t xml:space="preserve">    ├── features.py      стаціонарність, сезонність, ACF</w:t>
      </w:r>
      <w:r>
        <w:br/>
      </w:r>
      <w:r>
        <w:rPr>
          <w:rStyle w:val="VerbatimChar"/>
        </w:rPr>
        <w:t xml:space="preserve">    ├── networks.py      MLP, LSTM, CNN</w:t>
      </w:r>
      <w:r>
        <w:br/>
      </w:r>
      <w:r>
        <w:rPr>
          <w:rStyle w:val="VerbatimChar"/>
        </w:rPr>
        <w:t xml:space="preserve">    ├── strategies.py    гібрид D(t) + мережа на залишку</w:t>
      </w:r>
      <w:r>
        <w:br/>
      </w:r>
      <w:r>
        <w:rPr>
          <w:rStyle w:val="VerbatimChar"/>
        </w:rPr>
        <w:t xml:space="preserve">    ├── runner.py        паралельне навчання з кешем</w:t>
      </w:r>
      <w:r>
        <w:br/>
      </w:r>
      <w:r>
        <w:rPr>
          <w:rStyle w:val="VerbatimChar"/>
        </w:rPr>
        <w:t xml:space="preserve">    ├── figures.py       графіки</w:t>
      </w:r>
      <w:r>
        <w:br/>
      </w:r>
      <w:r>
        <w:rPr>
          <w:rStyle w:val="VerbatimChar"/>
        </w:rPr>
        <w:t xml:space="preserve">    ├── plots.py         оформлення графіків</w:t>
      </w:r>
      <w:r>
        <w:br/>
      </w:r>
      <w:r>
        <w:rPr>
          <w:rStyle w:val="VerbatimChar"/>
        </w:rPr>
        <w:t xml:space="preserve">    └── verify.py        верифікація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Модулі методів не знають про економічні ряди: кожен приймає ділянку спостереження і</w:t>
      </w:r>
      <w:r>
        <w:t xml:space="preserve"> </w:t>
      </w:r>
      <w:r>
        <w:t xml:space="preserve">горизонт і повертає прогноз.</w:t>
      </w:r>
      <w:r>
        <w:t xml:space="preserve"> </w:t>
      </w:r>
      <w:r>
        <w:rPr>
          <w:rStyle w:val="VerbatimChar"/>
        </w:rPr>
        <w:t xml:space="preserve">level3.py</w:t>
      </w:r>
      <w:r>
        <w:t xml:space="preserve"> </w:t>
      </w:r>
      <w:r>
        <w:t xml:space="preserve">збирає їх у три класи і проводить</w:t>
      </w:r>
      <w:r>
        <w:t xml:space="preserve"> </w:t>
      </w:r>
      <w:r>
        <w:t xml:space="preserve">walk-forward,</w:t>
      </w:r>
      <w:r>
        <w:t xml:space="preserve"> </w:t>
      </w:r>
      <w:r>
        <w:rPr>
          <w:rStyle w:val="VerbatimChar"/>
        </w:rPr>
        <w:t xml:space="preserve">integral.py</w:t>
      </w:r>
      <w:r>
        <w:t xml:space="preserve"> </w:t>
      </w:r>
      <w:r>
        <w:t xml:space="preserve">реалізує схему компромісів окремо від методів і</w:t>
      </w:r>
      <w:r>
        <w:t xml:space="preserve"> </w:t>
      </w:r>
      <w:r>
        <w:t xml:space="preserve">використовується двічі – для внутрішньої валідації на кожному старті і для підсумкового</w:t>
      </w:r>
      <w:r>
        <w:t xml:space="preserve"> </w:t>
      </w:r>
      <w:r>
        <w:t xml:space="preserve">рейтингу.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парсинг Excel і таблиці;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МНК, фільтр,</w:t>
      </w:r>
      <w:r>
        <w:t xml:space="preserve"> </w:t>
      </w:r>
      <w:r>
        <w:t xml:space="preserve">схема компромісів;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– експоненційне згладжування і тест ADF;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–</w:t>
      </w:r>
      <w:r>
        <w:t xml:space="preserve"> </w:t>
      </w:r>
      <w:r>
        <w:t xml:space="preserve">регресія;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t xml:space="preserve">3 з бекендом PyTorch [4] – нейромережі;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запити до API;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5"/>
    <w:bookmarkStart w:id="59" w:name="результати-роботи-програми"/>
    <w:p>
      <w:pPr>
        <w:pStyle w:val="Heading2"/>
      </w:pPr>
      <w:r>
        <w:t xml:space="preserve">3.4. Результати роботи програми</w:t>
      </w:r>
    </w:p>
    <w:bookmarkStart w:id="38" w:name="Xe25284d768df3614ea10e5797533f73a4fe14e6"/>
    <w:p>
      <w:pPr>
        <w:pStyle w:val="Heading3"/>
      </w:pPr>
      <w:r>
        <w:t xml:space="preserve">Етап 1. Рівень I: продажі мережі магазинів</w:t>
      </w:r>
    </w:p>
    <w:p>
      <w:pPr>
        <w:pStyle w:val="FirstParagraph"/>
      </w:pPr>
      <w:r>
        <w:t xml:space="preserve">Попередній аналіз: 27 797 продажів, пропусків немає, усі 199 магазинів мають регіон.</w:t>
      </w:r>
      <w:r>
        <w:t xml:space="preserve"> </w:t>
      </w:r>
      <w:r>
        <w:t xml:space="preserve">Відкинуто один службовий рядок-маркер «Стоп». Продажі є кожного дня року. Є 91</w:t>
      </w:r>
      <w:r>
        <w:t xml:space="preserve"> </w:t>
      </w:r>
      <w:r>
        <w:t xml:space="preserve">повернення і 5 224 продажі за ціною, нижчою за собівартість. У типовому продажу</w:t>
      </w:r>
      <w:r>
        <w:t xml:space="preserve"> </w:t>
      </w:r>
      <w:r>
        <w:t xml:space="preserve">1–2 одиниці, але трапляється до 107 одиниць.</w:t>
      </w:r>
    </w:p>
    <w:p>
      <w:pPr>
        <w:pStyle w:val="TableCaptionOwn"/>
        <w:keepNext/>
      </w:pPr>
      <w:r>
        <w:t xml:space="preserve">Таблиця 2 – Показники ефективності за регіонами, грн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1089"/>
        <w:gridCol w:w="1188"/>
        <w:gridCol w:w="1188"/>
        <w:gridCol w:w="1089"/>
        <w:gridCol w:w="148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Регіон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Продано, од.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Виручка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Витрати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Прибуток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Рентабельність, 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Центральний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11 608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902 667,6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791 231,3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111 436,4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Дніпро-Слобідський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12 656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915 566,6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820 706,3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94 860,3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Західний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10 454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805 112,3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717 395,9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87 716,4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Південний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7 555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584 871,7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514 336,3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70 535,4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Схід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60 439,2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52 036,6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8 402,6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Усього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3 268 657,4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2 895 706,4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372 951,0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490978"/>
            <wp:effectExtent b="0" l="0" r="0" t="0"/>
            <wp:docPr descr="Показники за місяцями" title="" id="27" name="Picture"/>
            <a:graphic>
              <a:graphicData uri="http://schemas.openxmlformats.org/drawingml/2006/picture">
                <pic:pic>
                  <pic:nvPicPr>
                    <pic:cNvPr descr="assets/01_kpi_month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Виручка, витрати, прибуток і рентабельність мережі за місяцями</w:t>
      </w:r>
    </w:p>
    <w:p>
      <w:pPr>
        <w:pStyle w:val="BodyText"/>
      </w:pPr>
      <w:r>
        <w:t xml:space="preserve">Лютий збитковий (–35,4 тис. грн), січень майже нульовий (рентабельність 2,2 %). Нижче</w:t>
      </w:r>
      <w:r>
        <w:t xml:space="preserve"> </w:t>
      </w:r>
      <w:r>
        <w:t xml:space="preserve">собівартості продано 52 % позицій у січні і 74 % у лютому проти 2–15 % в інші місяці.</w:t>
      </w:r>
      <w:r>
        <w:t xml:space="preserve"> </w:t>
      </w:r>
      <w:r>
        <w:t xml:space="preserve">Так виглядає сезонний розпродаж. Після нього рентабельність стрибає до 28,4 % у березні</w:t>
      </w:r>
      <w:r>
        <w:t xml:space="preserve"> </w:t>
      </w:r>
      <w:r>
        <w:t xml:space="preserve">і далі поступово знижується до 9–11 % наприкінці року, а виручка зростає до піку в</w:t>
      </w:r>
      <w:r>
        <w:t xml:space="preserve"> </w:t>
      </w:r>
      <w:r>
        <w:t xml:space="preserve">грудні.</w:t>
      </w:r>
    </w:p>
    <w:p>
      <w:pPr>
        <w:pStyle w:val="TableCaptionOwn"/>
        <w:keepNext/>
      </w:pPr>
      <w:r>
        <w:t xml:space="preserve">Таблиця 3 – Динаміка прибутку за регіонами, грн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066"/>
        <w:gridCol w:w="1147"/>
        <w:gridCol w:w="1262"/>
        <w:gridCol w:w="918"/>
        <w:gridCol w:w="137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Місяць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Дніпро-Слобідський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Західний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Південний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Схід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Центральний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Січень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–1 127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4 157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2 376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Лютий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–13 912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–7 183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–4 879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–1 057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–8 410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Березень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15 729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15 678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13 770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1 252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16 981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Квітень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9 759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7 149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5 842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9 890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Травень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11 286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9 248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7 227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11 522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9 242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7 609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6 193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10 625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Липень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9 908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7 664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6 786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11 490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Серпень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14 247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11 333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7 476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2 971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13 390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Вересень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9 170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7 774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5 449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9 531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Жовтень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11 448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8 764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7 126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10 903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Листопад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6 585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5 485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5 759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8 574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Грудень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14 565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4 – Місячна зміна прибутку за регіонами,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066"/>
        <w:gridCol w:w="1147"/>
        <w:gridCol w:w="1262"/>
        <w:gridCol w:w="918"/>
        <w:gridCol w:w="137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Місяць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Дніпро-Слобідський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Західний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Південний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Схід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Центральний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Лютий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–1 134,6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–272,8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–667,7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–2 918,7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–453,9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Березень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213,1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318,3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382,2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218,4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301,9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Квітень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–38,0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–54,4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–57,6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–47,8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–41,8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Травень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Червень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–18,1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–17,7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–14,3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–18,2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–7,8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Липень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–12,8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Серпень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47,9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363,6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Вересень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–35,6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–31,4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–27,1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–87,0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–28,8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Жовтень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67,7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Листопад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–42,5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–37,4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–19,2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–67,0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–21,4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Грудень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69,9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174663"/>
            <wp:effectExtent b="0" l="0" r="0" t="0"/>
            <wp:docPr descr="Прибуток за регіонами" title="" id="30" name="Picture"/>
            <a:graphic>
              <a:graphicData uri="http://schemas.openxmlformats.org/drawingml/2006/picture">
                <pic:pic>
                  <pic:nvPicPr>
                    <pic:cNvPr descr="assets/02_profit_region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7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Динаміка прибутку за регіонами і прибуток за рік</w:t>
      </w:r>
    </w:p>
    <w:p>
      <w:pPr>
        <w:pStyle w:val="FigureImage"/>
      </w:pPr>
      <w:r>
        <w:drawing>
          <wp:inline>
            <wp:extent cx="5930900" cy="2490978"/>
            <wp:effectExtent b="0" l="0" r="0" t="0"/>
            <wp:docPr descr="Частка регіонів" title="" id="33" name="Picture"/>
            <a:graphic>
              <a:graphicData uri="http://schemas.openxmlformats.org/drawingml/2006/picture">
                <pic:pic>
                  <pic:nvPicPr>
                    <pic:cNvPr descr="assets/03_profit_sha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Частка регіону в прибутку місяця</w:t>
      </w:r>
    </w:p>
    <w:p>
      <w:pPr>
        <w:pStyle w:val="BodyText"/>
      </w:pPr>
      <w:r>
        <w:t xml:space="preserve">Динаміка всіх регіонів синхронна: однакові знаки зміни в усі місяці, крім липня для</w:t>
      </w:r>
      <w:r>
        <w:t xml:space="preserve"> </w:t>
      </w:r>
      <w:r>
        <w:t xml:space="preserve">Сходу. Отже, коливання задає спільна для мережі цінова політика. Центральний</w:t>
      </w:r>
      <w:r>
        <w:t xml:space="preserve"> </w:t>
      </w:r>
      <w:r>
        <w:t xml:space="preserve">регіон найприбутковіший (111,4 тис. грн), Схід дає лише 2 % прибутку (18 магазинів</w:t>
      </w:r>
      <w:r>
        <w:t xml:space="preserve"> </w:t>
      </w:r>
      <w:r>
        <w:t xml:space="preserve">і 807 проданих одиниць), але має найвищу рентабельність 13,9 %. Частки регіонів з</w:t>
      </w:r>
      <w:r>
        <w:t xml:space="preserve"> </w:t>
      </w:r>
      <w:r>
        <w:t xml:space="preserve">березня стабільні: Центральний 26–32 %, Дніпро-Слобідський 25–29 %, Західний 20–25 %,</w:t>
      </w:r>
      <w:r>
        <w:t xml:space="preserve"> </w:t>
      </w:r>
      <w:r>
        <w:t xml:space="preserve">Південний 15–22 %. У січні частки спотворені тим, що прибуток місяця близький до нуля.</w:t>
      </w:r>
      <w:r>
        <w:t xml:space="preserve"> </w:t>
      </w:r>
      <w:r>
        <w:t xml:space="preserve">Сума прибутку регіонів збігається із загальним прибутком з точністю до округлення.</w:t>
      </w:r>
      <w:r>
        <w:t xml:space="preserve"> </w:t>
      </w:r>
      <w:r>
        <w:t xml:space="preserve">Таблиці 2–4 разом з МНК-моделями збережено у файл profit_by_region.xlsx.</w:t>
      </w:r>
    </w:p>
    <w:p>
      <w:pPr>
        <w:pStyle w:val="FigureImage"/>
      </w:pPr>
      <w:r>
        <w:drawing>
          <wp:inline>
            <wp:extent cx="5930900" cy="4448175"/>
            <wp:effectExtent b="0" l="0" r="0" t="0"/>
            <wp:docPr descr="МНК-моделі прибутку" title="" id="36" name="Picture"/>
            <a:graphic>
              <a:graphicData uri="http://schemas.openxmlformats.org/drawingml/2006/picture">
                <pic:pic>
                  <pic:nvPicPr>
                    <pic:cNvPr descr="assets/04_profit_lsq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Добовий прибуток, виявлені аномалії і МНК-моделі</w:t>
      </w:r>
    </w:p>
    <w:p>
      <w:pPr>
        <w:pStyle w:val="TableCaptionOwn"/>
        <w:keepNext/>
      </w:pPr>
      <w:r>
        <w:t xml:space="preserve">Таблиця 5 – МНК-моделі добового прибутку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Аномалій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Степінь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Усього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Центральний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Дніпро-Слобідський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0,296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Західний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0,075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Південний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0,093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0,131</w:t>
            </w:r>
          </w:p>
        </w:tc>
      </w:tr>
    </w:tbl>
    <w:p>
      <w:pPr>
        <w:pStyle w:val="BodyText"/>
        <w:spacing w:before="420"/>
      </w:pPr>
      <w:r>
        <w:t xml:space="preserve">Тренд добового прибутку пояснює лише 8–30 % дисперсії: добові коливання (кілька</w:t>
      </w:r>
      <w:r>
        <w:t xml:space="preserve"> </w:t>
      </w:r>
      <w:r>
        <w:t xml:space="preserve">десятків продажів на день) значно більші за зміну рівня протягом року. Кубічна модель</w:t>
      </w:r>
      <w:r>
        <w:t xml:space="preserve"> </w:t>
      </w:r>
      <w:r>
        <w:t xml:space="preserve">загального прибутку відтворює збитковий початок року, вихід на плато з квітня і</w:t>
      </w:r>
      <w:r>
        <w:t xml:space="preserve"> </w:t>
      </w:r>
      <w:r>
        <w:t xml:space="preserve">зростання в грудні. Аномалії – дні розпродажу в лютому і пікові дні в березні і грудні.</w:t>
      </w:r>
    </w:p>
    <w:bookmarkEnd w:id="38"/>
    <w:bookmarkStart w:id="45" w:name="X5366461d96bcd8335ad1034f7916fe5279837a7"/>
    <w:p>
      <w:pPr>
        <w:pStyle w:val="Heading3"/>
      </w:pPr>
      <w:r>
        <w:t xml:space="preserve">Етап 2. Рівень II: множина економічних процесів</w:t>
      </w:r>
    </w:p>
    <w:p>
      <w:pPr>
        <w:pStyle w:val="TableCaptionOwn"/>
        <w:keepNext/>
      </w:pPr>
      <w:r>
        <w:t xml:space="preserve">Таблиця 6 – Властивості економічних рядів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386"/>
        <w:gridCol w:w="1386"/>
        <w:gridCol w:w="1386"/>
        <w:gridCol w:w="138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ІСЦ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Роздріб США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Brent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квадратичного тренду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 ADF рівнів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 ADF приростів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середній приріст, % за місяць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, 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ρ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ρ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ексцес приростів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47,9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шоків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МНК: степінь,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2; 0,952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2; 0,989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4; 0,956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1; 0,544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тип процесу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випадкове блукання зі стрибками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гладкий тренд, слабка сезонність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тренд + сильна сезонність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волатильний, без стійкого тренду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706812"/>
            <wp:effectExtent b="0" l="0" r="0" t="0"/>
            <wp:docPr descr="Економічні процеси" title="" id="40" name="Picture"/>
            <a:graphic>
              <a:graphicData uri="http://schemas.openxmlformats.org/drawingml/2006/picture">
                <pic:pic>
                  <pic:nvPicPr>
                    <pic:cNvPr descr="assets/05_process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Ряди, МНК-тренди, прогноз на 12 місяців і шоки приростів</w:t>
      </w:r>
    </w:p>
    <w:p>
      <w:pPr>
        <w:pStyle w:val="FigureImage"/>
      </w:pPr>
      <w:r>
        <w:drawing>
          <wp:inline>
            <wp:extent cx="5930900" cy="2541814"/>
            <wp:effectExtent b="0" l="0" r="0" t="0"/>
            <wp:docPr descr="Прирости" title="" id="43" name="Picture"/>
            <a:graphic>
              <a:graphicData uri="http://schemas.openxmlformats.org/drawingml/2006/picture">
                <pic:pic>
                  <pic:nvPicPr>
                    <pic:cNvPr descr="assets/06_retur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Розподіл місячних приростів і їх автокореляція (сіра смуга – межа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)</w:t>
      </w:r>
    </w:p>
    <w:p>
      <w:pPr>
        <w:pStyle w:val="BodyText"/>
      </w:pPr>
      <w:r>
        <w:t xml:space="preserve">Усі чотири ряди нестаціонарні в рівнях і стаціонарні в приростах, але інші властивості</w:t>
      </w:r>
      <w:r>
        <w:t xml:space="preserve"> </w:t>
      </w:r>
      <w:r>
        <w:t xml:space="preserve">різні.</w:t>
      </w:r>
    </w:p>
    <w:p>
      <w:pPr>
        <w:pStyle w:val="BodyText"/>
      </w:pPr>
      <w:r>
        <w:t xml:space="preserve">Курс – випадкове блукання зі стрибками. Роками він фіксований (2000–2008, 2010–2013,</w:t>
      </w:r>
      <w:r>
        <w:t xml:space="preserve"> </w:t>
      </w:r>
      <w:r>
        <w:t xml:space="preserve">2022–2023), тому ексцес приростів 47,9. Шоки припадають на кризи: 1998 р. (+24 %</w:t>
      </w:r>
      <w:r>
        <w:t xml:space="preserve"> </w:t>
      </w:r>
      <w:r>
        <w:t xml:space="preserve">за місяць), 2008 р. (+17 і +23 %), 2014–2015 рр. (+16 і +44,5 %). Глобальний</w:t>
      </w:r>
      <w:r>
        <w:t xml:space="preserve"> </w:t>
      </w:r>
      <w:r>
        <w:t xml:space="preserve">квадратичний тренд формально пояснює 95 % дисперсії, але це ілюзія: між стрибками ряд</w:t>
      </w:r>
      <w:r>
        <w:t xml:space="preserve"> </w:t>
      </w:r>
      <w:r>
        <w:t xml:space="preserve">не відповідає параболі.</w:t>
      </w:r>
    </w:p>
    <w:p>
      <w:pPr>
        <w:pStyle w:val="BodyText"/>
      </w:pPr>
      <w:r>
        <w:t xml:space="preserve">ІСЦ – гладкий тренд з найменшою волатильністю (1,44 %) і найсильнішою інерцією</w:t>
      </w:r>
      <w:r>
        <w:t xml:space="preserve"> </w:t>
      </w:r>
      <w:r>
        <w:t xml:space="preserve">(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62</m:t>
        </m:r>
      </m:oMath>
      <w:r>
        <w:t xml:space="preserve">): інфляція одного місяця схожа на попередню. Шоки – березень і</w:t>
      </w:r>
      <w:r>
        <w:t xml:space="preserve"> </w:t>
      </w:r>
      <w:r>
        <w:t xml:space="preserve">квітень 2015 р. (+10,3 і +13,1 %). Значуща</w:t>
      </w:r>
      <w:r>
        <w:t xml:space="preserve"> </w:t>
      </w:r>
      <m:oMath>
        <m:sSub>
          <m:e>
            <m:r>
              <m:t>ρ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 </w:t>
      </w:r>
      <w:r>
        <w:t xml:space="preserve">відображає слабку</w:t>
      </w:r>
      <w:r>
        <w:t xml:space="preserve"> </w:t>
      </w:r>
      <w:r>
        <w:t xml:space="preserve">сезонність цін.</w:t>
      </w:r>
    </w:p>
    <w:p>
      <w:pPr>
        <w:pStyle w:val="BodyText"/>
      </w:pPr>
      <w:r>
        <w:t xml:space="preserve">Роздріб США має виразну річну сезонність (</w:t>
      </w:r>
      <m:oMath>
        <m:sSub>
          <m:e>
            <m:r>
              <m:t>ρ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): січневе падіння на</w:t>
      </w:r>
      <w:r>
        <w:t xml:space="preserve"> </w:t>
      </w:r>
      <w:r>
        <w:t xml:space="preserve">21–35 % щороку і грудневий пік. Тому окремих шоків немає, сезонні коливання</w:t>
      </w:r>
      <w:r>
        <w:t xml:space="preserve"> </w:t>
      </w:r>
      <w:r>
        <w:t xml:space="preserve">перевищують навіть провал 2020 р. Від’ємна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наслідок чергування сезонних</w:t>
      </w:r>
      <w:r>
        <w:t xml:space="preserve"> </w:t>
      </w:r>
      <w:r>
        <w:t xml:space="preserve">підйомів і спадів.</w:t>
      </w:r>
    </w:p>
    <w:p>
      <w:pPr>
        <w:pStyle w:val="BodyText"/>
      </w:pPr>
      <w:r>
        <w:t xml:space="preserve">Brent – волатильний процес без стійкого тренду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): цикли 2008, 2014 і</w:t>
      </w:r>
      <w:r>
        <w:t xml:space="preserve"> </w:t>
      </w:r>
      <w:r>
        <w:t xml:space="preserve">2020 рр., шоки в серпні 1990 р. (+46 %) і в березні–травні 2020 р. (–55 % двічі і +47 %).</w:t>
      </w:r>
      <w:r>
        <w:t xml:space="preserve"> </w:t>
      </w:r>
      <w:r>
        <w:t xml:space="preserve">МНК-прогноз для нього найменш надійний.</w:t>
      </w:r>
    </w:p>
    <w:bookmarkEnd w:id="45"/>
    <w:bookmarkStart w:id="58" w:name="X594fd54b0fdec9704b5576f2f0fa6095b51aaf3"/>
    <w:p>
      <w:pPr>
        <w:pStyle w:val="Heading3"/>
      </w:pPr>
      <w:r>
        <w:t xml:space="preserve">Етап 3. Рівень III: три класи методів та інтегрована оцінка</w:t>
      </w:r>
    </w:p>
    <w:p>
      <w:pPr>
        <w:pStyle w:val="FirstParagraph"/>
      </w:pPr>
      <w:r>
        <w:t xml:space="preserve">Ділянка спостереження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місяців, шість стартів на кожному ряду. Роки початку</w:t>
      </w:r>
      <w:r>
        <w:t xml:space="preserve"> </w:t>
      </w:r>
      <w:r>
        <w:t xml:space="preserve">прогнозу: курс – 2006–2024, ІСЦ – 2017–2024, роздріб – 2002–2024, Brent – 1997–2024.</w:t>
      </w:r>
      <w:r>
        <w:t xml:space="preserve"> </w:t>
      </w:r>
      <w:r>
        <w:t xml:space="preserve">Річну сезонність виявлено на всіх шести ділянках роздробу і на жодній ділянці інших</w:t>
      </w:r>
      <w:r>
        <w:t xml:space="preserve"> </w:t>
      </w:r>
      <w:r>
        <w:t xml:space="preserve">рядів. Слабка сезонність ІСЦ на 120 місяцях незначуща.</w:t>
      </w:r>
    </w:p>
    <w:p>
      <w:pPr>
        <w:pStyle w:val="TableCaptionOwn"/>
        <w:keepNext/>
      </w:pPr>
      <w:r>
        <w:t xml:space="preserve">Таблиця 7 – Курс UAH/USD: часткові критерії та інтегральний показник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зм.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U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Y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2,863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3,360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2,756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інтегрований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адаптивний вибір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3,278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3,389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3,335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2,772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3,086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2,461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3,208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5,498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8 – ІСЦ України: часткові критерії та інтегральний показник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зм.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U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Y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43,30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25,88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40,88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інтегрований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21,53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43,64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5,765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41,78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31,16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адаптивний вибір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52,79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5,765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31,97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52,21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52,16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62,31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58,39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39,17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48,76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74,29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66,32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9 – Роздрібна торгівля США: часткові критерії та інтегральний показник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зм.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U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Y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адаптивний вибір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6,783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інтегрований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6,783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23,22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25,00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32,32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33,18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40,63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10 – Нафта Brent: часткові критерії та інтегральний показник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3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12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зм.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24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U 24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Y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інтегрований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адаптивний вибір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18,92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  <w:spacing w:before="420"/>
      </w:pPr>
      <w:r>
        <w:t xml:space="preserve">У таблицях 7–10 «</w:t>
      </w:r>
      <m:oMath>
        <m:r>
          <m:rPr>
            <m:sty m:val="p"/>
          </m:rPr>
          <m:t>|</m:t>
        </m:r>
      </m:oMath>
      <w:r>
        <w:t xml:space="preserve">зм.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24» – модуль зміщення, «СКВ 24» – розкид RMSE 24 між</w:t>
      </w:r>
      <w:r>
        <w:t xml:space="preserve"> </w:t>
      </w:r>
      <w:r>
        <w:t xml:space="preserve">стартами, «с» – середній час навчання і прогнозу в секундах (у схему входить як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мс</m:t>
            </m:r>
          </m:sub>
        </m:sSub>
        <m:r>
          <m:rPr>
            <m:sty m:val="p"/>
          </m:rPr>
          <m:t>)</m:t>
        </m:r>
      </m:oMath>
      <w:r>
        <w:t xml:space="preserve">), U 24 – коефіцієнт Тейла, відношення RMSE 24 до наївного</w:t>
      </w:r>
      <w:r>
        <w:t xml:space="preserve"> </w:t>
      </w:r>
      <w:r>
        <w:t xml:space="preserve">прогнозу. Для інтегрованого прогнозу і адаптивного вибору час – сума всіх семи</w:t>
      </w:r>
      <w:r>
        <w:t xml:space="preserve"> </w:t>
      </w:r>
      <w:r>
        <w:t xml:space="preserve">методів на обох ділянках.</w:t>
      </w:r>
    </w:p>
    <w:p>
      <w:pPr>
        <w:pStyle w:val="FigureImage"/>
      </w:pPr>
      <w:r>
        <w:drawing>
          <wp:inline>
            <wp:extent cx="5930900" cy="3649784"/>
            <wp:effectExtent b="0" l="0" r="0" t="0"/>
            <wp:docPr descr="Прогнози" title="" id="47" name="Picture"/>
            <a:graphic>
              <a:graphicData uri="http://schemas.openxmlformats.org/drawingml/2006/picture">
                <pic:pic>
                  <pic:nvPicPr>
                    <pic:cNvPr descr="assets/07_forecas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4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Прогноз з останнього старту: кращий метод кожного класу, інтегрований і</w:t>
      </w:r>
    </w:p>
    <w:p>
      <w:pPr>
        <w:pStyle w:val="BodyText"/>
      </w:pPr>
      <w:r>
        <w:t xml:space="preserve">наївний прогнози</w:t>
      </w:r>
    </w:p>
    <w:p>
      <w:pPr>
        <w:pStyle w:val="FigureImage"/>
      </w:pPr>
      <w:r>
        <w:drawing>
          <wp:inline>
            <wp:extent cx="5930900" cy="2189870"/>
            <wp:effectExtent b="0" l="0" r="0" t="0"/>
            <wp:docPr descr="Рейтинг" title="" id="50" name="Picture"/>
            <a:graphic>
              <a:graphicData uri="http://schemas.openxmlformats.org/drawingml/2006/picture">
                <pic:pic>
                  <pic:nvPicPr>
                    <pic:cNvPr descr="assets/08_rat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Ранг методів за інтегральним показником і коефіцієнт Тейла на 24 місяцях</w:t>
      </w:r>
    </w:p>
    <w:p>
      <w:pPr>
        <w:pStyle w:val="FigureImage"/>
      </w:pPr>
      <w:r>
        <w:drawing>
          <wp:inline>
            <wp:extent cx="5930900" cy="4043795"/>
            <wp:effectExtent b="0" l="0" r="0" t="0"/>
            <wp:docPr descr="Горизонти" title="" id="53" name="Picture"/>
            <a:graphic>
              <a:graphicData uri="http://schemas.openxmlformats.org/drawingml/2006/picture">
                <pic:pic>
                  <pic:nvPicPr>
                    <pic:cNvPr descr="assets/09_horizon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4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RMSE методів відносно наївного прогнозу на горизонтах 6, 12 і 24 місяці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Ваги класів" title="" id="56" name="Picture"/>
            <a:graphic>
              <a:graphicData uri="http://schemas.openxmlformats.org/drawingml/2006/picture">
                <pic:pic>
                  <pic:nvPicPr>
                    <pic:cNvPr descr="assets/10_weight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Ваги класів в інтегрованому прогнозі на кожному старті</w:t>
      </w:r>
    </w:p>
    <w:p>
      <w:pPr>
        <w:pStyle w:val="TableCaptionOwn"/>
        <w:keepNext/>
      </w:pPr>
      <w:r>
        <w:t xml:space="preserve">Таблиця 11 – Перший метод за трьома наборами ваг і ранг інтегрованого прогнозу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7"/>
        <w:gridCol w:w="1683"/>
        <w:gridCol w:w="1683"/>
        <w:gridCol w:w="1683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Задані ваги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Рівні ваги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Ентропійні ваги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 інтегрованого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/ 3 /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ІСЦ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/ 3 / 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Роздріб США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/ 4 / 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 / 8</w:t>
            </w:r>
          </w:p>
        </w:tc>
      </w:tr>
    </w:tbl>
    <w:p>
      <w:pPr>
        <w:pStyle w:val="BodyText"/>
        <w:spacing w:before="420"/>
      </w:pPr>
      <w:r>
        <w:t xml:space="preserve">Ранг інтегрованого прогнозу в таблиці 11 наведено для заданих, рівних і ентропійних ваг</w:t>
      </w:r>
      <w:r>
        <w:t xml:space="preserve"> </w:t>
      </w:r>
      <w:r>
        <w:t xml:space="preserve">відповідно. Задані й рівні ваги дають однакового переможця на всіх рядах. Ентропійні ваги віддають</w:t>
      </w:r>
      <w:r>
        <w:t xml:space="preserve"> </w:t>
      </w:r>
      <w:r>
        <w:t xml:space="preserve">вартості 0,37–0,41 сумарної ваги, бо час обчислень методів різниться на три порядки,</w:t>
      </w:r>
      <w:r>
        <w:t xml:space="preserve"> </w:t>
      </w:r>
      <w:r>
        <w:t xml:space="preserve">а похибки – у межах двох разів. Тому за ентропійними вагами вигравати починають дешеві</w:t>
      </w:r>
      <w:r>
        <w:t xml:space="preserve"> </w:t>
      </w:r>
      <w:r>
        <w:t xml:space="preserve">методи, а інтегрований прогноз, найдорожчий, опускається. Ентропійне зважування міряє</w:t>
      </w:r>
      <w:r>
        <w:t xml:space="preserve"> </w:t>
      </w:r>
      <w:r>
        <w:t xml:space="preserve">розкид критерію і нічого не каже про його важливість, тому для цієї задачі непридатне як</w:t>
      </w:r>
      <w:r>
        <w:t xml:space="preserve"> </w:t>
      </w:r>
      <w:r>
        <w:t xml:space="preserve">єдиний набір ваг.</w:t>
      </w:r>
    </w:p>
    <w:bookmarkEnd w:id="58"/>
    <w:bookmarkEnd w:id="59"/>
    <w:bookmarkStart w:id="60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Повний код наведено в архіві проекту. Нижче – ключові фрагменти.</w:t>
      </w:r>
    </w:p>
    <w:p>
      <w:pPr>
        <w:pStyle w:val="BodyText"/>
      </w:pPr>
      <w:r>
        <w:t xml:space="preserve">Показники ефективності і динаміка прибутку за регіонами: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indicators(frame):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frame.copy()</w:t>
      </w:r>
      <w:r>
        <w:br/>
      </w:r>
      <w:r>
        <w:rPr>
          <w:rStyle w:val="NormalTok"/>
        </w:rPr>
        <w:t xml:space="preserve">    frame[</w:t>
      </w:r>
      <w:r>
        <w:rPr>
          <w:rStyle w:val="StringTok"/>
        </w:rPr>
        <w:t xml:space="preserve">"revenue"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frame[</w:t>
      </w:r>
      <w:r>
        <w:rPr>
          <w:rStyle w:val="StringTok"/>
        </w:rPr>
        <w:t xml:space="preserve">"costs"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frame[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"revenue"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"costs"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frame[</w:t>
      </w:r>
      <w:r>
        <w:rPr>
          <w:rStyle w:val="StringTok"/>
        </w:rPr>
        <w:t xml:space="preserve">"month_no"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dynamics(frame):</w:t>
      </w:r>
      <w:r>
        <w:br/>
      </w:r>
      <w:r>
        <w:rPr>
          <w:rStyle w:val="NormalTok"/>
        </w:rPr>
        <w:t xml:space="preserve">    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frame.pivot_table(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"month_no"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aggfunc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"sum"</w:t>
      </w:r>
      <w:r>
        <w:br/>
      </w:r>
      <w:r>
        <w:rPr>
          <w:rStyle w:val="NormalTok"/>
        </w:rPr>
        <w:t xml:space="preserve">    ).fillna(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profit.index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[MONTHS[m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profit.index]</w:t>
      </w:r>
      <w:r>
        <w:br/>
      </w:r>
      <w:r>
        <w:rPr>
          <w:rStyle w:val="NormalTok"/>
        </w:rPr>
        <w:t xml:space="preserve">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profit.diff()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profit.shift().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profit.div(profit.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profit, change, share</w:t>
      </w:r>
    </w:p>
    <w:p>
      <w:pPr>
        <w:pStyle w:val="FirstParagraph"/>
      </w:pPr>
      <w:r>
        <w:t xml:space="preserve">Нелінійна схема компромісів: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normalize(matrix):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np.asarray(matrix,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np.divide(x, total, 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np.zeros_like(x),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compromise(matrix, weights):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np.asarray(weights,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normalize(matrix))).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Інтегрований прогноз трьох класів на одному старті: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integrate(inner, truth, full):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{m: errors(truth, inner[m])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METHODS}</w:t>
      </w:r>
      <w:r>
        <w:br/>
      </w:r>
      <w:r>
        <w:rPr>
          <w:rStyle w:val="NormalTok"/>
        </w:rPr>
        <w:t xml:space="preserve">    ).T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integral.rate(table,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.fromkeys(INNER,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y[m])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CLASSES.items()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(y[m]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leaders.values()])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wi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(w, leaders.values(),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(leaders, w,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forecast, full[y.idxmin()],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"leaders"</w:t>
      </w:r>
      <w:r>
        <w:rPr>
          <w:rStyle w:val="NormalTok"/>
        </w:rPr>
        <w:t xml:space="preserve">: leaders, </w:t>
      </w:r>
      <w:r>
        <w:rPr>
          <w:rStyle w:val="StringTok"/>
        </w:rPr>
        <w:t xml:space="preserve">"weights"</w:t>
      </w:r>
      <w:r>
        <w:rPr>
          <w:rStyle w:val="NormalTok"/>
        </w:rPr>
        <w:t xml:space="preserve">: weights,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y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Прогноз адаптивним α-β фільтром з кінцевого стану: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alpha_beta(train, steps, period):</w:t>
      </w:r>
      <w:r>
        <w:br/>
      </w:r>
      <w:r>
        <w:rPr>
          <w:rStyle w:val="NormalTok"/>
        </w:rPr>
        <w:t xml:space="preserve">    _, _, memory,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adaptive.run(train,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x, v,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filters.fit_state(train[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:],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steps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60"/>
    <w:bookmarkStart w:id="66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bookmarkStart w:id="64" w:name="верифікація"/>
    <w:p>
      <w:pPr>
        <w:pStyle w:val="Heading3"/>
      </w:pPr>
      <w:r>
        <w:t xml:space="preserve">Верифікація</w:t>
      </w:r>
    </w:p>
    <w:p>
      <w:pPr>
        <w:pStyle w:val="FirstParagraph"/>
      </w:pPr>
      <w:r>
        <w:t xml:space="preserve">Схему компромісів перевірено на матрицях з відомою відповіддю. Альтернатива, кращої</w:t>
      </w:r>
      <w:r>
        <w:t xml:space="preserve"> </w:t>
      </w:r>
      <w:r>
        <w:t xml:space="preserve">за всіма критеріями, отримує менший</w:t>
      </w:r>
      <w:r>
        <w:t xml:space="preserve"> </w:t>
      </w:r>
      <m:oMath>
        <m:r>
          <m:t>Y</m:t>
        </m:r>
      </m:oMath>
      <w:r>
        <w:t xml:space="preserve">. Множення критерію на 1000 не змінює рангів.</w:t>
      </w:r>
      <w:r>
        <w:t xml:space="preserve"> </w:t>
      </w:r>
      <w:r>
        <w:t xml:space="preserve">З альтернатив з однаковою сумою нормованих критеріїв (0,5 і 0,1 проти 0,3 і 0,3)</w:t>
      </w:r>
      <w:r>
        <w:t xml:space="preserve"> </w:t>
      </w:r>
      <w:r>
        <w:t xml:space="preserve">рівномірна краща. Усі три перевірки виконано.</w:t>
      </w:r>
    </w:p>
    <w:p>
      <w:pPr>
        <w:pStyle w:val="BodyText"/>
      </w:pPr>
      <w:r>
        <w:t xml:space="preserve">Технологію рівня III цілком перевірено на трьох сигналах довжиною 180 місяців з</w:t>
      </w:r>
      <w:r>
        <w:t xml:space="preserve"> </w:t>
      </w:r>
      <w:r>
        <w:t xml:space="preserve">відомою структурою, по дві реалізації, три старти. Перевірялися три твердження:</w:t>
      </w:r>
      <w:r>
        <w:t xml:space="preserve"> </w:t>
      </w:r>
      <w:r>
        <w:t xml:space="preserve">кращий метод досягає рівня шуму, інтегрований прогноз близький до кращого, а клас без</w:t>
      </w:r>
      <w:r>
        <w:t xml:space="preserve"> </w:t>
      </w:r>
      <w:r>
        <w:t xml:space="preserve">моделі сезонності відсікається.</w:t>
      </w:r>
    </w:p>
    <w:p>
      <w:pPr>
        <w:pStyle w:val="Compact"/>
        <w:numPr>
          <w:ilvl w:val="0"/>
          <w:numId w:val="1006"/>
        </w:numPr>
      </w:pPr>
      <w:r>
        <w:t xml:space="preserve">Лінійний тренд</w:t>
      </w:r>
      <w:r>
        <w:t xml:space="preserve"> </w:t>
      </w:r>
      <m:oMath>
        <m:r>
          <m:t>100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  <m:r>
          <m:t>t</m:t>
        </m:r>
      </m:oMath>
      <w:r>
        <w:t xml:space="preserve"> </w:t>
      </w:r>
      <w:r>
        <w:t xml:space="preserve">з шумом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Точна модель є в усіх трьох</w:t>
      </w:r>
      <w:r>
        <w:t xml:space="preserve"> </w:t>
      </w:r>
      <w:r>
        <w:t xml:space="preserve">класах.</w:t>
      </w:r>
    </w:p>
    <w:p>
      <w:pPr>
        <w:pStyle w:val="Compact"/>
        <w:numPr>
          <w:ilvl w:val="0"/>
          <w:numId w:val="1006"/>
        </w:numPr>
      </w:pPr>
      <w:r>
        <w:t xml:space="preserve">Той самий тренд плюс річна синусоїда з амплітудою 15. Поліном і α-β фільтр її не</w:t>
      </w:r>
      <w:r>
        <w:t xml:space="preserve"> </w:t>
      </w:r>
      <w:r>
        <w:t xml:space="preserve">описують.</w:t>
      </w:r>
    </w:p>
    <w:p>
      <w:pPr>
        <w:pStyle w:val="Compact"/>
        <w:numPr>
          <w:ilvl w:val="0"/>
          <w:numId w:val="1006"/>
        </w:numPr>
      </w:pPr>
      <w:r>
        <w:t xml:space="preserve">Несиметричний цикл періоду 7 з амплітудою 15 і шумом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Його не</w:t>
      </w:r>
      <w:r>
        <w:t xml:space="preserve"> </w:t>
      </w:r>
      <w:r>
        <w:t xml:space="preserve">описують поліном, α-β фільтр і річні гармоніки, але описує регресія на лаги і мережа</w:t>
      </w:r>
      <w:r>
        <w:t xml:space="preserve"> </w:t>
      </w:r>
      <w:r>
        <w:t xml:space="preserve">на залишку.</w:t>
      </w:r>
    </w:p>
    <w:p>
      <w:pPr>
        <w:pStyle w:val="FirstParagraph"/>
      </w:pPr>
      <w:r>
        <w:t xml:space="preserve">У таблиці 12 RMSE обчислено на 24 кроках, останні три стовпці – середні ваги класів</w:t>
      </w:r>
      <w:r>
        <w:t xml:space="preserve"> </w:t>
      </w:r>
      <w:r>
        <w:t xml:space="preserve">в інтегрованому прогнозі.</w:t>
      </w:r>
    </w:p>
    <w:p>
      <w:pPr>
        <w:pStyle w:val="TableCaptionOwn"/>
        <w:keepNext/>
      </w:pPr>
      <w:r>
        <w:t xml:space="preserve">Таблиця 12 – Верифікація на сигналах з відомою структурою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448"/>
        <w:gridCol w:w="965"/>
        <w:gridCol w:w="965"/>
        <w:gridCol w:w="869"/>
        <w:gridCol w:w="869"/>
        <w:gridCol w:w="869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Сигнал, реалізація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Кращий 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Кращий, RMSE / 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Інтегр., RMSE / 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Стат. навч.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Апрокс.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Глиб. навч.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лінійний тренд,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0,372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лінійний тренд,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+ сезон 12,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+ сезон 12,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0,441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цикл 7,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цикл 7,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0,568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007381"/>
            <wp:effectExtent b="0" l="0" r="0" t="0"/>
            <wp:docPr descr="Верифікація" title="" id="62" name="Picture"/>
            <a:graphic>
              <a:graphicData uri="http://schemas.openxmlformats.org/drawingml/2006/picture">
                <pic:pic>
                  <pic:nvPicPr>
                    <pic:cNvPr descr="assets/11_verifica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0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Точність відносно рівня шуму і ваги класів на сигналах з відомою структурою</w:t>
      </w:r>
    </w:p>
    <w:p>
      <w:pPr>
        <w:pStyle w:val="BodyText"/>
      </w:pPr>
      <w:r>
        <w:t xml:space="preserve">Кращий метод у всіх шести випадках має RMSE на 24 кроках у межах 1,04–1,12σ, тобто</w:t>
      </w:r>
      <w:r>
        <w:t xml:space="preserve"> </w:t>
      </w:r>
      <w:r>
        <w:t xml:space="preserve">на рівні неусувного шуму. На лінійному тренді класи отримують майже рівні ваги</w:t>
      </w:r>
      <w:r>
        <w:t xml:space="preserve"> </w:t>
      </w:r>
      <w:r>
        <w:t xml:space="preserve">(0,31–0,37), бо точна модель є в кожному. На сезонному сигналі і циклі вага</w:t>
      </w:r>
      <w:r>
        <w:t xml:space="preserve"> </w:t>
      </w:r>
      <w:r>
        <w:t xml:space="preserve">статистичного навчання падає до 0,04–0,13. Інтегрований прогноз гірший за кращий метод</w:t>
      </w:r>
      <w:r>
        <w:t xml:space="preserve"> </w:t>
      </w:r>
      <w:r>
        <w:t xml:space="preserve">не більше ніж на 12 % у п’яти випадках з шести. Виняток – друга реалізація циклу:</w:t>
      </w:r>
      <w:r>
        <w:t xml:space="preserve"> </w:t>
      </w:r>
      <w:r>
        <w:t xml:space="preserve">1,41σ проти 1,07σ у CNN. На всіх стартах лідером апроксимації тут була регресія з вагою</w:t>
      </w:r>
      <w:r>
        <w:t xml:space="preserve"> </w:t>
      </w:r>
      <w:r>
        <w:t xml:space="preserve">0,35–0,44, а лідер мереж за внутрішньою валідацією змінювався (LSTM, CNN, MLP). Отже,</w:t>
      </w:r>
      <w:r>
        <w:t xml:space="preserve"> </w:t>
      </w:r>
      <w:r>
        <w:t xml:space="preserve">12 місяців валідації не завжди вказують на метод, кращий на 24 місяцях.</w:t>
      </w:r>
    </w:p>
    <w:bookmarkEnd w:id="64"/>
    <w:bookmarkStart w:id="65" w:name="аналіз-результатів-рівня-iii"/>
    <w:p>
      <w:pPr>
        <w:pStyle w:val="Heading3"/>
      </w:pPr>
      <w:r>
        <w:t xml:space="preserve">Аналіз результатів рівня III</w:t>
      </w:r>
    </w:p>
    <w:p>
      <w:pPr>
        <w:pStyle w:val="FirstParagraph"/>
      </w:pPr>
      <w:r>
        <w:t xml:space="preserve">Жоден клас не виграє на всіх рядах. Кращі методи – експоненційне згладжування на курсі</w:t>
      </w:r>
      <w:r>
        <w:t xml:space="preserve"> </w:t>
      </w:r>
      <w:r>
        <w:t xml:space="preserve">й роздробі, α-β фільтр на ІСЦ, LSTM на Brent. Найкращий за середнім рангом окремий метод –</w:t>
      </w:r>
      <w:r>
        <w:t xml:space="preserve"> </w:t>
      </w:r>
      <w:r>
        <w:t xml:space="preserve">експоненційне згладжування (2,8), але на ІСЦ воно шосте. Переможець пояснюється</w:t>
      </w:r>
      <w:r>
        <w:t xml:space="preserve"> </w:t>
      </w:r>
      <w:r>
        <w:t xml:space="preserve">властивостями з таблиці 6:</w:t>
      </w:r>
    </w:p>
    <w:p>
      <w:pPr>
        <w:pStyle w:val="Compact"/>
        <w:numPr>
          <w:ilvl w:val="0"/>
          <w:numId w:val="1007"/>
        </w:numPr>
      </w:pPr>
      <w:r>
        <w:t xml:space="preserve">курс – випадкове блукання, тому найкращий прогноз близький до останнього значення.</w:t>
      </w:r>
      <w:r>
        <w:t xml:space="preserve"> </w:t>
      </w:r>
      <w:r>
        <w:t xml:space="preserve">Експоненційне згладжування (просте або Хольта залежно від старту) відхиляється від</w:t>
      </w:r>
      <w:r>
        <w:t xml:space="preserve"> </w:t>
      </w:r>
      <w:r>
        <w:t xml:space="preserve">нього найменше. Наївний прогноз на 6 і 12 місяцях не перевершив жоден метод,</w:t>
      </w:r>
      <w:r>
        <w:t xml:space="preserve"> </w:t>
      </w:r>
      <w:r>
        <w:t xml:space="preserve">на 24 місяцях U 24 = 1,02 у кращого;</w:t>
      </w:r>
    </w:p>
    <w:p>
      <w:pPr>
        <w:pStyle w:val="Compact"/>
        <w:numPr>
          <w:ilvl w:val="0"/>
          <w:numId w:val="1007"/>
        </w:numPr>
      </w:pPr>
      <w:r>
        <w:t xml:space="preserve">ІСЦ – гладкий тренд з інерцією, тому α-β фільтр, що відстежує локальний нахил і</w:t>
      </w:r>
      <w:r>
        <w:t xml:space="preserve"> </w:t>
      </w:r>
      <w:r>
        <w:t xml:space="preserve">перезапускає пам’ять після зламу, дає U 24 = 0,60 при найменшому розкиді між стартами;</w:t>
      </w:r>
    </w:p>
    <w:p>
      <w:pPr>
        <w:pStyle w:val="Compact"/>
        <w:numPr>
          <w:ilvl w:val="0"/>
          <w:numId w:val="1007"/>
        </w:numPr>
      </w:pPr>
      <w:r>
        <w:t xml:space="preserve">роздріб – сильна сезонність. Експоненційне згладжування обрало сезонну структуру на</w:t>
      </w:r>
      <w:r>
        <w:t xml:space="preserve"> </w:t>
      </w:r>
      <w:r>
        <w:t xml:space="preserve">всіх стартах, на п’яти з шести – Хольта–Вінтерса (U 24 = 0,59).</w:t>
      </w:r>
      <w:r>
        <w:t xml:space="preserve"> </w:t>
      </w:r>
      <w:r>
        <w:t xml:space="preserve">Методи без сезонної компоненти (поліном, α-β фільтр) гірші за сезонний наївний прогноз;</w:t>
      </w:r>
    </w:p>
    <w:p>
      <w:pPr>
        <w:pStyle w:val="Compact"/>
        <w:numPr>
          <w:ilvl w:val="0"/>
          <w:numId w:val="1007"/>
        </w:numPr>
      </w:pPr>
      <w:r>
        <w:t xml:space="preserve">Brent – волатильний ряд без тренду. Мережі тут найменш зміщені: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зміщення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24</w:t>
      </w:r>
      <w:r>
        <w:t xml:space="preserve"> </w:t>
      </w:r>
      <w:r>
        <w:t xml:space="preserve">у 5–8 дол. проти 15–19 у методів інших класів. На 24 місяцях серед окремих методів</w:t>
      </w:r>
      <w:r>
        <w:t xml:space="preserve"> </w:t>
      </w:r>
      <w:r>
        <w:t xml:space="preserve">лише мережі кращі за наївний прогноз (U 24 = 0,83–0,90).</w:t>
      </w:r>
    </w:p>
    <w:p>
      <w:pPr>
        <w:pStyle w:val="FirstParagraph"/>
      </w:pPr>
      <w:r>
        <w:t xml:space="preserve">Глобальний МНК-поліном останній або передостанній на всіх рядах: екстраполяція</w:t>
      </w:r>
      <w:r>
        <w:t xml:space="preserve"> </w:t>
      </w:r>
      <w:r>
        <w:t xml:space="preserve">полінома за межі ділянки нестійка. Регресійне згладжування, що теж екстраполює тренд</w:t>
      </w:r>
      <w:r>
        <w:t xml:space="preserve"> </w:t>
      </w:r>
      <w:r>
        <w:t xml:space="preserve">за часом, передостаннє за середнім рангом (7,5).</w:t>
      </w:r>
    </w:p>
    <w:p>
      <w:pPr>
        <w:pStyle w:val="BodyText"/>
      </w:pPr>
      <w:r>
        <w:t xml:space="preserve">Інтегрований прогноз має найкращий разом з експоненційним згладжуванням середній ранг</w:t>
      </w:r>
      <w:r>
        <w:t xml:space="preserve"> </w:t>
      </w:r>
      <w:r>
        <w:t xml:space="preserve">2,8 і на кожному ряду посідає друге-третє місце. Він не виграє ніде, але й не провалюється</w:t>
      </w:r>
      <w:r>
        <w:t xml:space="preserve"> </w:t>
      </w:r>
      <w:r>
        <w:t xml:space="preserve">ніде: U 24 = 1,06, 0,61, 0,64 і 0,95. Кращий окремий метод кожного ряду заздалегідь</w:t>
      </w:r>
      <w:r>
        <w:t xml:space="preserve"> </w:t>
      </w:r>
      <w:r>
        <w:t xml:space="preserve">невідомий. Вибір одного методу за внутрішньою валідацією (адаптивний вибір, середній</w:t>
      </w:r>
      <w:r>
        <w:t xml:space="preserve"> </w:t>
      </w:r>
      <w:r>
        <w:t xml:space="preserve">ранг 4,2) поступається інтегрованому прогнозу на трьох рядах з чотирьох: 12 місяців</w:t>
      </w:r>
      <w:r>
        <w:t xml:space="preserve"> </w:t>
      </w:r>
      <w:r>
        <w:t xml:space="preserve">валідації недостатньо, щоб надійно визначити одного переможця, а зважування трьох</w:t>
      </w:r>
      <w:r>
        <w:t xml:space="preserve"> </w:t>
      </w:r>
      <w:r>
        <w:t xml:space="preserve">лідерів згладжує помилку такого вибору. Ваги класів на рисунку 12 змінюються від</w:t>
      </w:r>
      <w:r>
        <w:t xml:space="preserve"> </w:t>
      </w:r>
      <w:r>
        <w:t xml:space="preserve">старту до старту разом із властивостями ряду. На курсі в період фіксованого курсу</w:t>
      </w:r>
      <w:r>
        <w:t xml:space="preserve"> </w:t>
      </w:r>
      <w:r>
        <w:t xml:space="preserve">(2006, 2013) вага апроксимації дорівнює 1. На роздробі вага статистичного навчання</w:t>
      </w:r>
      <w:r>
        <w:t xml:space="preserve"> </w:t>
      </w:r>
      <w:r>
        <w:t xml:space="preserve">не перевищує 0,15.</w:t>
      </w:r>
    </w:p>
    <w:p>
      <w:pPr>
        <w:pStyle w:val="BodyText"/>
      </w:pPr>
      <w:r>
        <w:t xml:space="preserve">Ціна інтегрованого прогнозу – обчислювальна вартість (5–7 с проти 0,1 с у</w:t>
      </w:r>
      <w:r>
        <w:t xml:space="preserve"> </w:t>
      </w:r>
      <w:r>
        <w:t xml:space="preserve">експоненційного згладжування) за навчання семи методів двічі. Для місячних</w:t>
      </w:r>
      <w:r>
        <w:t xml:space="preserve"> </w:t>
      </w:r>
      <w:r>
        <w:t xml:space="preserve">економічних рядів це несуттєво.</w:t>
      </w:r>
    </w:p>
    <w:bookmarkEnd w:id="65"/>
    <w:bookmarkEnd w:id="66"/>
    <w:bookmarkEnd w:id="67"/>
    <w:bookmarkStart w:id="68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На рівні I розпарсено файл продажів мережі магазинів, до продажів приєднано довідник</w:t>
      </w:r>
      <w:r>
        <w:t xml:space="preserve"> </w:t>
      </w:r>
      <w:r>
        <w:t xml:space="preserve">регіонів, обчислено виручку, витрати, прибуток і рентабельність за місяцями і регіонами.</w:t>
      </w:r>
      <w:r>
        <w:t xml:space="preserve"> </w:t>
      </w:r>
      <w:r>
        <w:t xml:space="preserve">Річний прибуток – 373 тис. грн при рентабельності 11,4 %, з них 30 % дає Центральний</w:t>
      </w:r>
      <w:r>
        <w:t xml:space="preserve"> </w:t>
      </w:r>
      <w:r>
        <w:t xml:space="preserve">регіон. Динаміка прибутку всіх регіонів синхронна: лютий збитковий через розпродаж</w:t>
      </w:r>
      <w:r>
        <w:t xml:space="preserve"> </w:t>
      </w:r>
      <w:r>
        <w:t xml:space="preserve">(74 % позицій нижче собівартості), після нього прибуток відновлюється і має пік у</w:t>
      </w:r>
      <w:r>
        <w:t xml:space="preserve"> </w:t>
      </w:r>
      <w:r>
        <w:t xml:space="preserve">грудні. МНК-моделі добового прибутку степеня 1–3 пояснюють 8–30 % дисперсії, решта –</w:t>
      </w:r>
      <w:r>
        <w:t xml:space="preserve"> </w:t>
      </w:r>
      <w:r>
        <w:t xml:space="preserve">добові коливання. Таблиці динаміки і моделі збережено у файл.</w:t>
      </w:r>
    </w:p>
    <w:p>
      <w:pPr>
        <w:pStyle w:val="BodyText"/>
      </w:pPr>
      <w:r>
        <w:t xml:space="preserve">На рівні II проаналізовано чотири економічні показники з різними властивостями: курс</w:t>
      </w:r>
      <w:r>
        <w:t xml:space="preserve"> </w:t>
      </w:r>
      <w:r>
        <w:t xml:space="preserve">гривні (випадкове блукання зі стрибками, ексцес приростів 48), ІСЦ України (гладкий</w:t>
      </w:r>
      <w:r>
        <w:t xml:space="preserve"> </w:t>
      </w:r>
      <w:r>
        <w:t xml:space="preserve">тренд з інерцією і слабкою сезонністю), роздрібну торгівлю США (сильна річна</w:t>
      </w:r>
      <w:r>
        <w:t xml:space="preserve"> </w:t>
      </w:r>
      <w:r>
        <w:t xml:space="preserve">сезонність,</w:t>
      </w:r>
      <w:r>
        <w:t xml:space="preserve"> </w:t>
      </w:r>
      <m:oMath>
        <m:sSub>
          <m:e>
            <m:r>
              <m:t>ρ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) і нафту Brent (волатильний процес без тренду).</w:t>
      </w:r>
      <w:r>
        <w:t xml:space="preserve"> </w:t>
      </w:r>
      <w:r>
        <w:t xml:space="preserve">Усі ряди нестаціонарні в рівнях і стаціонарні в приростах. Шоки приростів, знайдені</w:t>
      </w:r>
      <w:r>
        <w:t xml:space="preserve"> </w:t>
      </w:r>
      <w:r>
        <w:t xml:space="preserve">за порогом з поправкою Бонферроні, збігаються з відомими кризами.</w:t>
      </w:r>
    </w:p>
    <w:p>
      <w:pPr>
        <w:pStyle w:val="BodyText"/>
      </w:pPr>
      <w:r>
        <w:t xml:space="preserve">На рівні III розроблено технологію, що обробляє кожен ряд сімома методами трьох класів і</w:t>
      </w:r>
      <w:r>
        <w:t xml:space="preserve"> </w:t>
      </w:r>
      <w:r>
        <w:t xml:space="preserve">зводить результати в інтегровану оцінку за нелінійною схемою компромісів за шістьма</w:t>
      </w:r>
      <w:r>
        <w:t xml:space="preserve"> </w:t>
      </w:r>
      <w:r>
        <w:t xml:space="preserve">частковими критеріями: точність на трьох горизонтах, зміщення, стабільність і</w:t>
      </w:r>
      <w:r>
        <w:t xml:space="preserve"> </w:t>
      </w:r>
      <w:r>
        <w:t xml:space="preserve">вартість. Переможець залежить від властивостей ряду: експоненційне згладжування на</w:t>
      </w:r>
      <w:r>
        <w:t xml:space="preserve"> </w:t>
      </w:r>
      <w:r>
        <w:t xml:space="preserve">курсі й роздробі, α-β фільтр на ІСЦ, LSTM на Brent. Глобальний МНК-поліном для</w:t>
      </w:r>
      <w:r>
        <w:t xml:space="preserve"> </w:t>
      </w:r>
      <w:r>
        <w:t xml:space="preserve">прогнозу на 24 місяці непридатний на всіх рядах. Висновки стійкі до заміни заданих ваг</w:t>
      </w:r>
      <w:r>
        <w:t xml:space="preserve"> </w:t>
      </w:r>
      <w:r>
        <w:t xml:space="preserve">рівними. Ентропійні ваги переоцінюють критерій вартості і для цієї задачі непридатні.</w:t>
      </w:r>
    </w:p>
    <w:p>
      <w:pPr>
        <w:pStyle w:val="BodyText"/>
      </w:pPr>
      <w:r>
        <w:t xml:space="preserve">Оригінальне рішення – інтегрований прогноз, що на кожному старті визначає лідера кожного</w:t>
      </w:r>
      <w:r>
        <w:t xml:space="preserve"> </w:t>
      </w:r>
      <w:r>
        <w:t xml:space="preserve">класу за внутрішньою валідацією і зважує їхні прогнози обернено до частки похибки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Він посідає друге-третє місце на кожному ряду і має найкращий</w:t>
      </w:r>
      <w:r>
        <w:t xml:space="preserve"> </w:t>
      </w:r>
      <w:r>
        <w:t xml:space="preserve">середній ранг 2,8 разом з експоненційним згладжуванням, перевершуючи вибір одного</w:t>
      </w:r>
      <w:r>
        <w:t xml:space="preserve"> </w:t>
      </w:r>
      <w:r>
        <w:t xml:space="preserve">методу за тією самою валідацією. Верифікація на сигналах з відомою структурою</w:t>
      </w:r>
      <w:r>
        <w:t xml:space="preserve"> </w:t>
      </w:r>
      <w:r>
        <w:t xml:space="preserve">підтвердила, що кращий метод виходить на рівень шуму (1,04–1,12σ), а клас без моделі</w:t>
      </w:r>
      <w:r>
        <w:t xml:space="preserve"> </w:t>
      </w:r>
      <w:r>
        <w:t xml:space="preserve">сезонності автоматично отримує вагу 0,04–0,13. Обмеження рішення – коротка внутрішня</w:t>
      </w:r>
      <w:r>
        <w:t xml:space="preserve"> </w:t>
      </w:r>
      <w:r>
        <w:t xml:space="preserve">валідація (12 місяців): метод, кращий на ній, не завжди кращий на горизонті 24 місяці.</w:t>
      </w:r>
    </w:p>
    <w:bookmarkEnd w:id="68"/>
    <w:bookmarkStart w:id="69" w:name="перелік-джерел"/>
    <w:p>
      <w:pPr>
        <w:pStyle w:val="Heading1"/>
      </w:pPr>
      <w:r>
        <w:t xml:space="preserve">Перелік джерел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Національний банк України. Відкриті дані: API статистики та курсів валют. URL: https://bank.gov.ua/ua/open-data/api-dev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Federal Reserve Bank of St. Louis. FRED Economic Data. URL: https://fred.stlouisfed.org</w:t>
      </w:r>
    </w:p>
    <w:p>
      <w:pPr>
        <w:pStyle w:val="Compact"/>
        <w:numPr>
          <w:ilvl w:val="0"/>
          <w:numId w:val="1008"/>
        </w:numPr>
      </w:pPr>
      <w:r>
        <w:t xml:space="preserve">Pysarchuk O., Andreieva T., Grinenko O., Baran D. Multi-factor forecasting of statistical trends for Data Science problems. System Research and Information Technologies. 2024. No. 2. P. 21–34. DOI: 10.20535/SRIT.2308-8893.2024.2.02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Keras 3 API documentation. URL: https://keras.io/api/</w:t>
      </w:r>
    </w:p>
    <w:bookmarkEnd w:id="69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suff w:val="space"/>
      <w:lvlText w:val=""/>
      <w:lvlJc w:val="left"/>
      <w:pPr>
        <w:ind w:left="0" w:firstLine="709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2026-10-18T21:19:22Z</dcterms:created>
  <dcterms:modified xsi:type="dcterms:W3CDTF">2026-10-18T21:19:22Z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