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4F" w:rsidRDefault="00CA769A" w:rsidP="00CA769A">
      <w:pPr>
        <w:pStyle w:val="Nagwek1"/>
      </w:pPr>
      <w:r>
        <w:t>Model matematyczny</w:t>
      </w:r>
    </w:p>
    <w:p w:rsidR="00CA769A" w:rsidRDefault="00CA769A" w:rsidP="00CA769A">
      <w:r>
        <w:t>Poniżej zostanie opisany matematyczny model rozwiązania uproszczonego zadania produkcji żywności.</w:t>
      </w:r>
    </w:p>
    <w:p w:rsidR="00CA769A" w:rsidRDefault="00CA769A" w:rsidP="00CA769A">
      <w:r>
        <w:t>Zastosowano następujące oznaczenia w celu skrócenia notacji: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kolejne miesiące są oznaczane kolejnymi liczbami naturalnym, np.: miesiącowi styczeń odpowiada liczba 1 itd. 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Rodzaje oleju także indeksowane są kolejnymi liczbami naturalnymi. I tak: R1 jest indeksowane za pomocą 1, R2 – 2, O1 -3, O2 - 4, O3 - 5. </w:t>
      </w:r>
    </w:p>
    <w:p w:rsidR="00CA769A" w:rsidRDefault="00CA769A" w:rsidP="00CA769A">
      <w:r>
        <w:t>Do modelu wprowadzono następujące zmienne:</w:t>
      </w:r>
    </w:p>
    <w:p w:rsidR="00CA769A" w:rsidRPr="00CA769A" w:rsidRDefault="004E526D" w:rsidP="00CA769A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 w:rsidR="00CA769A">
        <w:rPr>
          <w:rFonts w:eastAsiaTheme="minorEastAsia"/>
        </w:rPr>
        <w:t xml:space="preserve">  – oznacza zakup oleju </w:t>
      </w:r>
      <m:oMath>
        <m:r>
          <w:rPr>
            <w:rFonts w:ascii="Cambria Math" w:eastAsiaTheme="minorEastAsia" w:hAnsi="Cambria Math"/>
          </w:rPr>
          <m:t>i</m:t>
        </m:r>
      </m:oMath>
      <w:r w:rsidR="00CA769A"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  <w:r w:rsidR="00CA769A">
        <w:rPr>
          <w:rFonts w:eastAsiaTheme="minorEastAsia"/>
        </w:rPr>
        <w:t xml:space="preserve"> </w:t>
      </w:r>
    </w:p>
    <w:p w:rsidR="00CA769A" w:rsidRPr="00CA769A" w:rsidRDefault="00CA769A" w:rsidP="00CA769A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>
        <w:rPr>
          <w:rFonts w:eastAsiaTheme="minorEastAsia"/>
        </w:rPr>
        <w:t xml:space="preserve">  - oznacza użycie półproduktu odpowiadającego olejowi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</w:p>
    <w:p w:rsidR="00EA1157" w:rsidRPr="00EA1157" w:rsidRDefault="004E526D" w:rsidP="00EA1157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="00CA769A">
        <w:rPr>
          <w:rFonts w:eastAsiaTheme="minorEastAsia"/>
        </w:rPr>
        <w:t xml:space="preserve">  - zmienne binarne potrzebne do zamodelowania jednego z ograniczeń </w:t>
      </w:r>
    </w:p>
    <w:p w:rsidR="00EA1157" w:rsidRPr="00EA1157" w:rsidRDefault="004E526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  <m:r>
          <w:rPr>
            <w:rFonts w:ascii="Cambria Math" w:eastAsiaTheme="minorEastAsia" w:hAnsi="Cambria Math"/>
          </w:rPr>
          <m:t xml:space="preserve">     ∀ i=1…5 , j=1…3</m:t>
        </m:r>
      </m:oMath>
      <w:r w:rsidR="00EA1157">
        <w:rPr>
          <w:rFonts w:eastAsiaTheme="minorEastAsia"/>
        </w:rPr>
        <w:t xml:space="preserve"> </w:t>
      </w:r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≥0     </m:t>
        </m:r>
        <m:r>
          <w:rPr>
            <w:rFonts w:ascii="Cambria Math" w:eastAsiaTheme="minorEastAsia" w:hAnsi="Cambria Math"/>
          </w:rPr>
          <m:t>∀ i=1…5 , j=1…3</m:t>
        </m:r>
      </m:oMath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∀ i=1…5 , j=1…3</m:t>
        </m:r>
      </m:oMath>
    </w:p>
    <w:p w:rsidR="00EA1157" w:rsidRPr="00CC50CE" w:rsidRDefault="004E526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≤220    ∀ j=1…3</m:t>
        </m:r>
      </m:oMath>
      <w:r w:rsidR="00CC50CE">
        <w:rPr>
          <w:rFonts w:eastAsiaTheme="minorEastAsia"/>
        </w:rPr>
        <w:t xml:space="preserve">   </w:t>
      </w:r>
    </w:p>
    <w:p w:rsidR="00CC50CE" w:rsidRPr="00CC50CE" w:rsidRDefault="004E526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5j</m:t>
            </m:r>
          </m:sub>
        </m:sSub>
        <m:r>
          <w:rPr>
            <w:rFonts w:ascii="Cambria Math" w:hAnsi="Cambria Math"/>
          </w:rPr>
          <m:t>≤270  ∀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x=1…2, j=1…3</m:t>
        </m:r>
      </m:oMath>
    </w:p>
    <w:p w:rsidR="00CC50CE" w:rsidRPr="00CC50CE" w:rsidRDefault="00CC50CE" w:rsidP="00CC50CE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≤270b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x=3…5,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≤200+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   ∀i=1…5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 xml:space="preserve">    ∀ 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 xml:space="preserve">    ∀i=1…5</m:t>
        </m:r>
      </m:oMath>
    </w:p>
    <w:p w:rsidR="00CC50CE" w:rsidRPr="00CC50CE" w:rsidRDefault="004E526D" w:rsidP="00EA1157">
      <w:pPr>
        <w:pStyle w:val="Akapitzlist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∀ i=1…5</m:t>
                </m:r>
              </m:e>
            </m:nary>
          </m:e>
        </m:nary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≤800    ∀ i=1…5</m:t>
        </m:r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≤8,4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+ 6,4pp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  <m:r>
              <w:rPr>
                <w:rFonts w:ascii="Cambria Math" w:hAnsi="Cambria Math"/>
              </w:rPr>
              <m:t>+2,5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  <m:r>
              <w:rPr>
                <w:rFonts w:ascii="Cambria Math" w:hAnsi="Cambria Math"/>
              </w:rPr>
              <m:t>+4,4pp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4j</m:t>
                </m:r>
              </m:sub>
            </m:sSub>
            <m:r>
              <w:rPr>
                <w:rFonts w:ascii="Cambria Math" w:hAnsi="Cambria Math"/>
              </w:rPr>
              <m:t>+5,1pp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5j</m:t>
                </m:r>
              </m:sub>
            </m:sSub>
            <m:r>
              <w:rPr>
                <w:rFonts w:ascii="Cambria Math" w:hAnsi="Cambria Math"/>
              </w:rPr>
              <m:t xml:space="preserve">   ≤  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    ∀ j=1…3</m:t>
            </m:r>
          </m:e>
        </m:nary>
      </m:oMath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Ograniczenia 1-3 wynikają z żądania </w:t>
      </w:r>
      <w:r w:rsidR="00CC50CE" w:rsidRPr="005B4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nieujemności zmiennych i dodatkowo ograniczenia 3 z żądania aby zmienna była binarna. </w:t>
      </w:r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4-5 zapewniają spełnienie ograniczenia na maksymalną produkcję oleju roślinnego i </w:t>
      </w:r>
      <w:proofErr w:type="spellStart"/>
      <w:r>
        <w:rPr>
          <w:rFonts w:eastAsiaTheme="minorEastAsia"/>
        </w:rPr>
        <w:t>nieroślinnego</w:t>
      </w:r>
      <w:proofErr w:type="spellEnd"/>
      <w:r>
        <w:rPr>
          <w:rFonts w:eastAsiaTheme="minorEastAsia"/>
        </w:rPr>
        <w:t xml:space="preserve"> w miesiącu, z kolei 6-7 zapewniają, że jeżeli dany olej został zakupiony to został zakupiony w ilości równej przynajmniej 20 ton. W tych ograniczeniach wykorzystywane są zmienne binarne </w:t>
      </w:r>
      <m:oMath>
        <m:r>
          <w:rPr>
            <w:rFonts w:ascii="Cambria Math" w:eastAsiaTheme="minorEastAsia" w:hAnsi="Cambria Math"/>
          </w:rPr>
          <m:t>bx</m:t>
        </m:r>
      </m:oMath>
      <w:r>
        <w:rPr>
          <w:rFonts w:eastAsiaTheme="minorEastAsia"/>
        </w:rPr>
        <w:t>.</w:t>
      </w:r>
    </w:p>
    <w:p w:rsidR="00CC50CE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8-12 wynikają z ograniczeń na magazynowanie. Ograniczenia  8-10 zapewniają, że w żadnym z miesięcy nie będzie zużyte więcej oleju niż jest go w magazynie, ograniczenie 11 zapewnia, że po 3 miesiącach nadal będzie co najmniej 200 ton każdego z rodzajów oleju w magazynie, a ograniczenie 12 zapewnia, że nie będzie magazynowane więcej niż 800 ton danego rodzaju oleju </w:t>
      </w:r>
      <w:r>
        <w:rPr>
          <w:rFonts w:eastAsiaTheme="minorEastAsia"/>
        </w:rPr>
        <w:lastRenderedPageBreak/>
        <w:t>(nierówność została wprowadzona jedynie dla produkcji w 3 miesiącu, nie ma potrzeby wprowadzania jej dla wcześniejszych miesięcy, gdyż byłaby ona zawsze spełniona co wynika bezpośrednio z nierówności 1-3).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>Ograniczenie 13 spełnia żądanie na twardość oleju. Założono, że w każdym z miesięcy może dojść do produkcji produktu końcowe według różnych proporcji.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Zysk przy zadanym scenariuszu został zamodelowany jak suma przychodów , czyli suma wszystkich użytych półproduktów </w:t>
      </w:r>
      <w:r w:rsidR="00D16089">
        <w:rPr>
          <w:rFonts w:eastAsiaTheme="minorEastAsia"/>
        </w:rPr>
        <w:t>pomnożoną</w:t>
      </w:r>
      <w:r>
        <w:rPr>
          <w:rFonts w:eastAsiaTheme="minorEastAsia"/>
        </w:rPr>
        <w:t xml:space="preserve"> przez cenę sprzedaży równą 170</w:t>
      </w:r>
      <w:r w:rsidR="00D16089">
        <w:rPr>
          <w:rFonts w:eastAsiaTheme="minorEastAsia"/>
        </w:rPr>
        <w:t>, pomniejszony o koszty zakupów surowego oleju i koszty magazynowania. Koszty zakupu są opisane przez:</w:t>
      </w:r>
    </w:p>
    <w:p w:rsidR="00D16089" w:rsidRPr="00D16089" w:rsidRDefault="004E526D" w:rsidP="00D16089">
      <w:pPr>
        <w:pStyle w:val="Akapitzlis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   i=1…5, j=1…3, k=1…3</m:t>
        </m:r>
      </m:oMath>
      <w:r w:rsidR="00D1608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i</m:t>
        </m:r>
      </m:oMath>
      <w:r w:rsidR="00D16089">
        <w:rPr>
          <w:rFonts w:eastAsiaTheme="minorEastAsia"/>
        </w:rPr>
        <w:t xml:space="preserve"> –rodzaj oleju, </w:t>
      </w:r>
      <m:oMath>
        <m:r>
          <w:rPr>
            <w:rFonts w:ascii="Cambria Math" w:eastAsiaTheme="minorEastAsia" w:hAnsi="Cambria Math"/>
          </w:rPr>
          <m:t>j</m:t>
        </m:r>
      </m:oMath>
      <w:r w:rsidR="00D16089">
        <w:rPr>
          <w:rFonts w:eastAsiaTheme="minorEastAsia"/>
        </w:rPr>
        <w:t xml:space="preserve"> – miesiąc,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D16089">
        <w:rPr>
          <w:rFonts w:eastAsiaTheme="minorEastAsia"/>
        </w:rPr>
        <w:t>–scenariusz</w:t>
      </w:r>
    </w:p>
    <w:p w:rsidR="00D16089" w:rsidRDefault="00D16089" w:rsidP="00D16089">
      <w:pPr>
        <w:ind w:left="360"/>
      </w:pPr>
      <w:r>
        <w:t>Przy wprowadzonych wcześniej oznaczeniach zysk można zamodelować jako:</w:t>
      </w:r>
    </w:p>
    <w:p w:rsidR="00D16089" w:rsidRDefault="004E526D" w:rsidP="00D1608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=170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(6000+30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-30pp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-20pp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-10pp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16089" w:rsidRDefault="00D16089" w:rsidP="00EA1157">
      <w:pPr>
        <w:rPr>
          <w:rFonts w:eastAsiaTheme="minorEastAsia"/>
        </w:rPr>
      </w:pPr>
      <w:r>
        <w:rPr>
          <w:rFonts w:eastAsiaTheme="minorEastAsia"/>
        </w:rPr>
        <w:t>Oczekiwany zysk będzie wtedy równy:</w:t>
      </w:r>
    </w:p>
    <w:p w:rsidR="00EA1157" w:rsidRPr="00F402D7" w:rsidRDefault="00D16089" w:rsidP="00EA1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 xml:space="preserve">Za miarę ryzyka uznano średnią częściową z poziomem tolerancji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 W celu jej implementacji wprowadzono dodatkowe zmienne:</w:t>
      </w:r>
    </w:p>
    <w:p w:rsidR="00F402D7" w:rsidRDefault="004E526D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≥0,    k=1…3</m:t>
        </m:r>
      </m:oMath>
      <w:r w:rsidR="00F402D7">
        <w:rPr>
          <w:rFonts w:eastAsiaTheme="minorEastAsia"/>
        </w:rPr>
        <w:t xml:space="preserve">  k – indeks scenariusza</w:t>
      </w:r>
    </w:p>
    <w:p w:rsidR="00F402D7" w:rsidRDefault="00F402D7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   - pomoc</w:t>
      </w:r>
      <w:proofErr w:type="spellStart"/>
      <w:r>
        <w:rPr>
          <w:rFonts w:eastAsiaTheme="minorEastAsia"/>
        </w:rPr>
        <w:t>nicza</w:t>
      </w:r>
      <w:proofErr w:type="spellEnd"/>
      <w:r>
        <w:rPr>
          <w:rFonts w:eastAsiaTheme="minorEastAsia"/>
        </w:rPr>
        <w:t xml:space="preserve"> zmienna nieograniczona</w:t>
      </w:r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Oraz ograniczenia:</w:t>
      </w:r>
    </w:p>
    <w:p w:rsidR="00F402D7" w:rsidRPr="00F402D7" w:rsidRDefault="004E526D" w:rsidP="00F40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≥η-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∀k=1…3</m:t>
          </m:r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Przy wszystkich wprowadzonych ograniczeniach zadanie będzie polegało na maksymalizacji funkcji:</w:t>
      </w:r>
    </w:p>
    <w:p w:rsidR="00F402D7" w:rsidRDefault="004E526D" w:rsidP="00F40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w:bookmarkStart w:id="0" w:name="_GoBack"/>
              <m:r>
                <w:rPr>
                  <w:rFonts w:ascii="Cambria Math" w:eastAsiaTheme="minorEastAsia" w:hAnsi="Cambria Math"/>
                </w:rPr>
                <m:t>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(0,1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01B29" w:rsidRDefault="00801B29" w:rsidP="00801B29">
      <w:pPr>
        <w:pStyle w:val="Nagwek2"/>
        <w:rPr>
          <w:rFonts w:eastAsiaTheme="minorEastAsia"/>
        </w:rPr>
      </w:pPr>
      <w:r>
        <w:rPr>
          <w:rFonts w:eastAsiaTheme="minorEastAsia"/>
        </w:rPr>
        <w:t>Obraz zbioru rozwiązań efektywnych</w:t>
      </w:r>
    </w:p>
    <w:p w:rsidR="00801B29" w:rsidRDefault="00801B29" w:rsidP="00801B29">
      <w:r>
        <w:t>Na poniższym wykresie przedstawiony jest obraz zbioru rozwiązań efektywnych w przestrzeni ryzyko-zysk. Na czerwono oznaczone są dwa punkty: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najmniejszą wartością ryzyka: (0.01, </w:t>
      </w:r>
      <w:r w:rsidRPr="00801B29">
        <w:t>79540.3</w:t>
      </w:r>
      <w:r>
        <w:t>)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największą wartością zysku:  (0.99, </w:t>
      </w:r>
      <w:r w:rsidRPr="00801B29">
        <w:t>90088.7</w:t>
      </w:r>
      <w:r>
        <w:t>)</w:t>
      </w:r>
    </w:p>
    <w:p w:rsidR="00801B29" w:rsidRDefault="00801B29" w:rsidP="00801B29">
      <w:r>
        <w:rPr>
          <w:noProof/>
          <w:lang w:eastAsia="pl-PL"/>
        </w:rPr>
        <w:lastRenderedPageBreak/>
        <w:drawing>
          <wp:inline distT="0" distB="0" distL="0" distR="0">
            <wp:extent cx="3381375" cy="3381375"/>
            <wp:effectExtent l="19050" t="0" r="9525" b="0"/>
            <wp:docPr id="1" name="Obraz 0" descr="zbior_rozw_ef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ior_rozw_efek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56" w:rsidRDefault="002A3E76" w:rsidP="00801B29">
      <w:r>
        <w:t>Dla 3 wybranych punktów:</w:t>
      </w:r>
    </w:p>
    <w:tbl>
      <w:tblPr>
        <w:tblStyle w:val="Tabela-Siatka"/>
        <w:tblW w:w="0" w:type="auto"/>
        <w:tblLook w:val="04A0"/>
      </w:tblPr>
      <w:tblGrid>
        <w:gridCol w:w="838"/>
        <w:gridCol w:w="993"/>
      </w:tblGrid>
      <w:tr w:rsidR="003B4A75" w:rsidTr="003B4A75">
        <w:tc>
          <w:tcPr>
            <w:tcW w:w="675" w:type="dxa"/>
          </w:tcPr>
          <w:p w:rsidR="003B4A75" w:rsidRDefault="003B4A75" w:rsidP="00801B29">
            <w:r>
              <w:t>Ryzyko</w:t>
            </w:r>
          </w:p>
        </w:tc>
        <w:tc>
          <w:tcPr>
            <w:tcW w:w="993" w:type="dxa"/>
          </w:tcPr>
          <w:p w:rsidR="003B4A75" w:rsidRPr="002A3E76" w:rsidRDefault="003B4A75" w:rsidP="00801B29">
            <w:r>
              <w:t>Zysk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0.1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79540.3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0.4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80450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0.7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86916.5</w:t>
            </w:r>
          </w:p>
        </w:tc>
      </w:tr>
    </w:tbl>
    <w:p w:rsidR="003B4A75" w:rsidRDefault="003B4A75" w:rsidP="00801B29"/>
    <w:p w:rsidR="002A3E76" w:rsidRDefault="003B4A75" w:rsidP="00801B29">
      <w:r>
        <w:rPr>
          <w:noProof/>
          <w:lang w:eastAsia="pl-PL"/>
        </w:rPr>
        <w:drawing>
          <wp:inline distT="0" distB="0" distL="0" distR="0">
            <wp:extent cx="3819525" cy="3819525"/>
            <wp:effectExtent l="19050" t="0" r="9525" b="0"/>
            <wp:docPr id="3" name="Obraz 2" descr="domin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5" w:rsidRDefault="00C70938" w:rsidP="00801B29">
      <w:r>
        <w:lastRenderedPageBreak/>
        <w:t>Pomiędzy żadnym z punktów nie zachodzi relacja dominacji stochastycznej pierwszego rzędu. Każdy z punktów raz dominuje pozostałe, a raz jest dominowany, więc nie zachodzi warunek</w:t>
      </w:r>
    </w:p>
    <w:p w:rsidR="00C70938" w:rsidRPr="00C70938" w:rsidRDefault="00C70938" w:rsidP="00801B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∀η∈R</m:t>
          </m:r>
        </m:oMath>
      </m:oMathPara>
    </w:p>
    <w:p w:rsidR="00BA6068" w:rsidRDefault="00C70938" w:rsidP="00801B29">
      <w:pPr>
        <w:rPr>
          <w:rFonts w:eastAsiaTheme="minorEastAsia"/>
        </w:rPr>
      </w:pPr>
      <w:r>
        <w:rPr>
          <w:rFonts w:eastAsiaTheme="minorEastAsia"/>
        </w:rPr>
        <w:tab/>
      </w:r>
      <w:r w:rsidR="002B69FB">
        <w:rPr>
          <w:rFonts w:eastAsiaTheme="minorEastAsia"/>
        </w:rPr>
        <w:t>Jako, że z dominacji stochastycznej pierwszego rzędu wynika dominacja stochastyczna drugiego rzędu, ale nie odwrotnie (</w:t>
      </w:r>
      <w:r w:rsidR="002B69FB" w:rsidRPr="002B69FB">
        <w:rPr>
          <w:rFonts w:eastAsiaTheme="minorEastAsia"/>
          <w:i/>
        </w:rPr>
        <w:t>Warunkowa wartość zagrożona jako miara ryzyka w optymalizacji</w:t>
      </w:r>
      <w:r w:rsidR="002B69FB">
        <w:rPr>
          <w:rFonts w:eastAsiaTheme="minorEastAsia"/>
          <w:i/>
        </w:rPr>
        <w:t xml:space="preserve"> </w:t>
      </w:r>
      <w:r w:rsidR="002B69FB" w:rsidRPr="002B69FB">
        <w:rPr>
          <w:rFonts w:eastAsiaTheme="minorEastAsia"/>
          <w:i/>
        </w:rPr>
        <w:t>portfela inwestycji finansowych</w:t>
      </w:r>
      <w:r w:rsidR="002B69FB">
        <w:rPr>
          <w:rFonts w:eastAsiaTheme="minorEastAsia"/>
        </w:rPr>
        <w:t xml:space="preserve">, A. </w:t>
      </w:r>
      <w:proofErr w:type="spellStart"/>
      <w:r w:rsidR="002B69FB">
        <w:rPr>
          <w:rFonts w:eastAsiaTheme="minorEastAsia"/>
        </w:rPr>
        <w:t>Krzemienowski</w:t>
      </w:r>
      <w:proofErr w:type="spellEnd"/>
      <w:r w:rsidR="002B69FB">
        <w:rPr>
          <w:rFonts w:eastAsiaTheme="minorEastAsia"/>
        </w:rPr>
        <w:t xml:space="preserve">, W. </w:t>
      </w:r>
      <w:proofErr w:type="spellStart"/>
      <w:r w:rsidR="002B69FB">
        <w:rPr>
          <w:rFonts w:eastAsiaTheme="minorEastAsia"/>
        </w:rPr>
        <w:t>Ogryczak</w:t>
      </w:r>
      <w:proofErr w:type="spellEnd"/>
      <w:r w:rsidR="002B69FB">
        <w:rPr>
          <w:rFonts w:eastAsiaTheme="minorEastAsia"/>
        </w:rPr>
        <w:t>, 2002)</w:t>
      </w:r>
      <w:r w:rsidR="00F638D0">
        <w:rPr>
          <w:rFonts w:eastAsiaTheme="minorEastAsia"/>
        </w:rPr>
        <w:t>, należy zbadać relację SSD pomiędzy punktami. Wyniki przedstawia poniższy wykres:</w:t>
      </w:r>
    </w:p>
    <w:p w:rsidR="00F638D0" w:rsidRDefault="00F638D0" w:rsidP="00801B2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705225" cy="3705225"/>
            <wp:effectExtent l="19050" t="0" r="9525" b="0"/>
            <wp:docPr id="4" name="Obraz 3" descr="domin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D0" w:rsidRPr="00067243" w:rsidRDefault="00F638D0" w:rsidP="00801B29">
      <w:pPr>
        <w:rPr>
          <w:rFonts w:eastAsiaTheme="minorEastAsia"/>
        </w:rPr>
      </w:pPr>
      <w:r>
        <w:rPr>
          <w:rFonts w:eastAsiaTheme="minorEastAsia"/>
        </w:rPr>
        <w:t>Jak widać również w tym przypadku żaden punkt nie dominuje pozostałych.</w:t>
      </w:r>
    </w:p>
    <w:sectPr w:rsidR="00F638D0" w:rsidRPr="00067243" w:rsidSect="004E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A5EF1"/>
    <w:multiLevelType w:val="hybridMultilevel"/>
    <w:tmpl w:val="67C43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D5509"/>
    <w:multiLevelType w:val="hybridMultilevel"/>
    <w:tmpl w:val="F13A0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7544"/>
    <w:multiLevelType w:val="hybridMultilevel"/>
    <w:tmpl w:val="EB48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9776D"/>
    <w:multiLevelType w:val="hybridMultilevel"/>
    <w:tmpl w:val="E37210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328C0"/>
    <w:multiLevelType w:val="hybridMultilevel"/>
    <w:tmpl w:val="F5EC2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83CB3"/>
    <w:multiLevelType w:val="hybridMultilevel"/>
    <w:tmpl w:val="E1F86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202F09"/>
    <w:multiLevelType w:val="hybridMultilevel"/>
    <w:tmpl w:val="BE462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62AC"/>
    <w:rsid w:val="00067243"/>
    <w:rsid w:val="00071395"/>
    <w:rsid w:val="00072A79"/>
    <w:rsid w:val="0012689C"/>
    <w:rsid w:val="00140D08"/>
    <w:rsid w:val="001524A5"/>
    <w:rsid w:val="00166795"/>
    <w:rsid w:val="00184E4F"/>
    <w:rsid w:val="0019615B"/>
    <w:rsid w:val="001B4674"/>
    <w:rsid w:val="001B5EB3"/>
    <w:rsid w:val="00207CC1"/>
    <w:rsid w:val="00257722"/>
    <w:rsid w:val="002A3E76"/>
    <w:rsid w:val="002B69FB"/>
    <w:rsid w:val="00312C7B"/>
    <w:rsid w:val="00345FEF"/>
    <w:rsid w:val="00352F3D"/>
    <w:rsid w:val="003B4A75"/>
    <w:rsid w:val="003D33DA"/>
    <w:rsid w:val="003D5E44"/>
    <w:rsid w:val="00410856"/>
    <w:rsid w:val="004B5497"/>
    <w:rsid w:val="004C20D2"/>
    <w:rsid w:val="004E526D"/>
    <w:rsid w:val="00500B57"/>
    <w:rsid w:val="00523C68"/>
    <w:rsid w:val="005270DE"/>
    <w:rsid w:val="005744D9"/>
    <w:rsid w:val="005B43A6"/>
    <w:rsid w:val="005D5BF5"/>
    <w:rsid w:val="005D62C4"/>
    <w:rsid w:val="005F3DE1"/>
    <w:rsid w:val="00687E07"/>
    <w:rsid w:val="006F04CB"/>
    <w:rsid w:val="00700EDE"/>
    <w:rsid w:val="00746C73"/>
    <w:rsid w:val="007C7994"/>
    <w:rsid w:val="00801B29"/>
    <w:rsid w:val="00853CBC"/>
    <w:rsid w:val="008840B7"/>
    <w:rsid w:val="008D5212"/>
    <w:rsid w:val="00943AC6"/>
    <w:rsid w:val="00955068"/>
    <w:rsid w:val="0098304C"/>
    <w:rsid w:val="009A6071"/>
    <w:rsid w:val="009C275E"/>
    <w:rsid w:val="009F7AAB"/>
    <w:rsid w:val="00A0711E"/>
    <w:rsid w:val="00AA2362"/>
    <w:rsid w:val="00B02D33"/>
    <w:rsid w:val="00BA6068"/>
    <w:rsid w:val="00BB1AF8"/>
    <w:rsid w:val="00C33E36"/>
    <w:rsid w:val="00C65252"/>
    <w:rsid w:val="00C70938"/>
    <w:rsid w:val="00CA769A"/>
    <w:rsid w:val="00CC50CE"/>
    <w:rsid w:val="00D16089"/>
    <w:rsid w:val="00D73BC0"/>
    <w:rsid w:val="00DE584E"/>
    <w:rsid w:val="00E762AC"/>
    <w:rsid w:val="00EA1157"/>
    <w:rsid w:val="00F402D7"/>
    <w:rsid w:val="00F41FD3"/>
    <w:rsid w:val="00F638D0"/>
    <w:rsid w:val="00FD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26D"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0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3B4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675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Jakub Król</cp:lastModifiedBy>
  <cp:revision>9</cp:revision>
  <dcterms:created xsi:type="dcterms:W3CDTF">2013-05-26T13:21:00Z</dcterms:created>
  <dcterms:modified xsi:type="dcterms:W3CDTF">2013-05-26T21:01:00Z</dcterms:modified>
</cp:coreProperties>
</file>