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Predictive AI Replication Laboratory</w:t>
      </w:r>
    </w:p>
    <w:p>
      <w:pPr>
        <w:pStyle w:val="Subtitle"/>
      </w:pPr>
      <w:r>
        <w:t xml:space="preserve">ANLY 735 – Research Seminar in Predictive AI</w:t>
      </w:r>
    </w:p>
    <w:p>
      <w:pPr>
        <w:pStyle w:val="Author"/>
      </w:pPr>
      <w:r>
        <w:t xml:space="preserve">Sokpheanal Huynh</w:t>
      </w:r>
    </w:p>
    <w:p>
      <w:pPr>
        <w:pStyle w:val="Date"/>
      </w:pPr>
      <w:r>
        <w:t xml:space="preserve">2026-09-25</w:t>
      </w:r>
    </w:p>
    <w:bookmarkStart w:id="9" w:name="study"/>
    <w:p>
      <w:pPr>
        <w:pStyle w:val="Heading1"/>
      </w:pPr>
      <w:r>
        <w:t xml:space="preserve">Study</w:t>
      </w:r>
    </w:p>
    <w:p>
      <w:pPr>
        <w:pStyle w:val="FirstParagraph"/>
      </w:pPr>
      <w:r>
        <w:rPr>
          <w:b/>
          <w:bCs/>
        </w:rPr>
        <w:t xml:space="preserve">Article:</w:t>
      </w:r>
      <w:r>
        <w:t xml:space="preserve"> </w:t>
      </w:r>
      <w:r>
        <w:t xml:space="preserve">Plasticity Loss in Deep Reinforcement Learning: A Survey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Klein, Luther, McAuliffe, Miklautz, Plant, and Tschiatschek</w:t>
      </w:r>
    </w:p>
    <w:p>
      <w:pPr>
        <w:pStyle w:val="BodyText"/>
      </w:pPr>
      <w:r>
        <w:rPr>
          <w:b/>
          <w:bCs/>
        </w:rPr>
        <w:t xml:space="preserve">DOI/URL:</w:t>
      </w:r>
      <w:r>
        <w:t xml:space="preserve"> </w:t>
      </w:r>
      <w:r>
        <w:t xml:space="preserve">arXiv:2411.04832v3, 2026</w:t>
      </w:r>
    </w:p>
    <w:p>
      <w:pPr>
        <w:pStyle w:val="BodyText"/>
      </w:pPr>
      <w:r>
        <w:rPr>
          <w:b/>
          <w:bCs/>
        </w:rPr>
        <w:t xml:space="preserve">Replication Type:</w:t>
      </w:r>
      <w:r>
        <w:t xml:space="preserve"> </w:t>
      </w:r>
      <w:r>
        <w:t xml:space="preserve">Partially</w:t>
      </w:r>
    </w:p>
    <w:p>
      <w:pPr>
        <w:pStyle w:val="BodyText"/>
      </w:pPr>
      <w:r>
        <w:rPr>
          <w:b/>
          <w:bCs/>
        </w:rPr>
        <w:t xml:space="preserve">Computational Environment:</w:t>
      </w:r>
      <w:r>
        <w:t xml:space="preserve"> </w:t>
      </w:r>
      <w:r>
        <w:t xml:space="preserve">Python 3.12</w:t>
      </w:r>
    </w:p>
    <w:p>
      <w:pPr>
        <w:pStyle w:val="BodyText"/>
      </w:pPr>
      <w:r>
        <w:rPr>
          <w:b/>
          <w:bCs/>
        </w:rPr>
        <w:t xml:space="preserve">Primary Packages:</w:t>
      </w:r>
      <w:r>
        <w:t xml:space="preserve"> </w:t>
      </w:r>
      <w:r>
        <w:t xml:space="preserve">NumPy 2.4, SciPy 1.17, Matplotlib 3.10, pandas 3.0</w:t>
      </w:r>
    </w:p>
    <w:p>
      <w:pPr>
        <w:pStyle w:val="BodyText"/>
      </w:pPr>
      <w:r>
        <w:rPr>
          <w:b/>
          <w:bCs/>
        </w:rPr>
        <w:t xml:space="preserve">Random Seed:</w:t>
      </w:r>
      <w:r>
        <w:t xml:space="preserve"> </w:t>
      </w:r>
      <w:r>
        <w:t xml:space="preserve">Not applicable (the mappings are deterministic)</w:t>
      </w:r>
    </w:p>
    <w:p>
      <w:pPr>
        <w:pStyle w:val="BodyText"/>
      </w:pP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https://github.com/sokpheanal/ANLY735-Replication-Lab-02</w:t>
      </w:r>
    </w:p>
    <w:bookmarkEnd w:id="9"/>
    <w:bookmarkStart w:id="10" w:name="research-claim"/>
    <w:p>
      <w:pPr>
        <w:pStyle w:val="Heading1"/>
      </w:pPr>
      <w:r>
        <w:t xml:space="preserve">1. Research Claim</w:t>
      </w:r>
    </w:p>
    <w:p>
      <w:pPr>
        <w:pStyle w:val="FirstParagraph"/>
      </w:pPr>
      <w:r>
        <w:t xml:space="preserve">I reproduce Figure 3 of the survey, which visualizes how three categorical target representations turn a value-regression target into a distribution over a fixed support of atoms</w:t>
      </w:r>
      <w:r>
        <w:t xml:space="preserve"> </w:t>
      </w:r>
      <w:r>
        <w:t xml:space="preserve">(Klein et al., 2026)</w:t>
      </w:r>
      <w:r>
        <w:t xml:space="preserve">.</w:t>
      </w:r>
      <w:r>
        <w:t xml:space="preserve"> </w:t>
      </w:r>
      <w:r>
        <w:t xml:space="preserve">Two-hot</w:t>
      </w:r>
      <w:r>
        <w:t xml:space="preserve"> </w:t>
      </w:r>
      <w:r>
        <w:t xml:space="preserve">(Schrittwieser et al., 2020)</w:t>
      </w:r>
      <w:r>
        <w:t xml:space="preserve"> </w:t>
      </w:r>
      <w:r>
        <w:t xml:space="preserve">places mass on the two atoms bracketing a scalar target; HL-Gauss</w:t>
      </w:r>
      <w:r>
        <w:t xml:space="preserve"> </w:t>
      </w:r>
      <w:r>
        <w:t xml:space="preserve">(Imani &amp; White, 2018)</w:t>
      </w:r>
      <w:r>
        <w:t xml:space="preserve"> </w:t>
      </w:r>
      <w:r>
        <w:t xml:space="preserve">integrates a fixed-width Gaussian over each bin; and C51</w:t>
      </w:r>
      <w:r>
        <w:t xml:space="preserve"> </w:t>
      </w:r>
      <w:r>
        <w:t xml:space="preserve">(Bellemare et al., 2017)</w:t>
      </w:r>
      <w:r>
        <w:t xml:space="preserve"> </w:t>
      </w:r>
      <w:r>
        <w:t xml:space="preserve">propagates a full return distribution through the Bellman map and projects it back onto the support.</w:t>
      </w:r>
      <w:r>
        <w:t xml:space="preserve"> </w:t>
      </w:r>
      <w:r>
        <w:t xml:space="preserve">The</w:t>
      </w:r>
      <w:r>
        <w:t xml:space="preserve"> </w:t>
      </w:r>
      <w:r>
        <w:t xml:space="preserve">“result”</w:t>
      </w:r>
      <w:r>
        <w:t xml:space="preserve"> </w:t>
      </w:r>
      <w:r>
        <w:t xml:space="preserve">being reproduced is the mass each scheme assigns across bins.</w:t>
      </w:r>
      <w:r>
        <w:t xml:space="preserve"> </w:t>
      </w:r>
      <w:r>
        <w:t xml:space="preserve">There is no accuracy metric here; the object of interest is the shape of the induced distribution.</w:t>
      </w:r>
      <w:r>
        <w:t xml:space="preserve"> </w:t>
      </w:r>
      <w:r>
        <w:t xml:space="preserve">This figure matters because reformulating regression as classification is one of the survey’s mitigation families (Section 5.7) and connects directly to its regression-loss driver (Section 4.4): bounded cross-entropy gradients avoid the parameter-norm growth that error-proportional</w:t>
      </w:r>
      <w:r>
        <w:t xml:space="preserve"> </w:t>
      </w:r>
      <w:r>
        <w:t xml:space="preserve">MSE gradients produce.</w:t>
      </w:r>
    </w:p>
    <w:bookmarkEnd w:id="10"/>
    <w:bookmarkStart w:id="11" w:name="replication-strategy"/>
    <w:p>
      <w:pPr>
        <w:pStyle w:val="Heading1"/>
      </w:pPr>
      <w:r>
        <w:t xml:space="preserve">2. Replication Strategy</w:t>
      </w:r>
    </w:p>
    <w:p>
      <w:pPr>
        <w:pStyle w:val="FirstParagraph"/>
      </w:pPr>
      <w:r>
        <w:t xml:space="preserve">This is a proxy/partial replication of the figure’s content.</w:t>
      </w:r>
      <w:r>
        <w:t xml:space="preserve"> </w:t>
      </w:r>
      <w:r>
        <w:t xml:space="preserve">Figure 3 depicts deterministic mappings defined by published equations rather than an experiment with data, so no original dataset or code is needed to reproduce it: implementing the three formulas exactly regenerates the figure.</w:t>
      </w:r>
      <w:r>
        <w:t xml:space="preserve"> </w:t>
      </w:r>
      <w:r>
        <w:t xml:space="preserve">What is available is the mathematical definition of each scheme from its source paper and the survey’s description.</w:t>
      </w:r>
      <w:r>
        <w:t xml:space="preserve"> </w:t>
      </w:r>
      <w:r>
        <w:t xml:space="preserve">What I reproduce is the per-bin probability mass each scheme assigns for a chosen target and support.</w:t>
      </w:r>
      <w:r>
        <w:t xml:space="preserve"> </w:t>
      </w:r>
      <w:r>
        <w:t xml:space="preserve">The original figure is schematic (and, per its caption, redrawn from</w:t>
      </w:r>
      <w:r>
        <w:t xml:space="preserve"> </w:t>
      </w:r>
      <w:r>
        <w:t xml:space="preserve">Farebrother et al. (2024)</w:t>
      </w:r>
      <w:r>
        <w:t xml:space="preserve">), and states no numeric support, target, or Gaussian width; I therefore choose and document those parameters.</w:t>
      </w:r>
      <w:r>
        <w:t xml:space="preserve"> </w:t>
      </w:r>
      <w:r>
        <w:t xml:space="preserve">This approach is a meaningful check because it forces the definitions to be stated precisely enough to compute, which surfaces the exact parameters the schematic leaves implicit.</w:t>
      </w:r>
    </w:p>
    <w:bookmarkEnd w:id="11"/>
    <w:bookmarkStart w:id="12" w:name="data"/>
    <w:p>
      <w:pPr>
        <w:pStyle w:val="Heading1"/>
      </w:pPr>
      <w:r>
        <w:t xml:space="preserve">3. Data</w:t>
      </w:r>
    </w:p>
    <w:p>
      <w:pPr>
        <w:pStyle w:val="FirstParagraph"/>
      </w:pPr>
      <w:r>
        <w:t xml:space="preserve">There is no dataset.</w:t>
      </w:r>
      <w:r>
        <w:t xml:space="preserve"> </w:t>
      </w:r>
      <w:r>
        <w:t xml:space="preserve">The inputs are the analyst-chosen quantities that define the mappings.</w:t>
      </w:r>
      <w:r>
        <w:t xml:space="preserve"> </w:t>
      </w:r>
      <w:r>
        <w:t xml:space="preserve">The support is 5 atoms evenly spaced on [-1, 1], matching the paper’s schematic, with a bin width of 0.5.</w:t>
      </w:r>
      <w:r>
        <w:t xml:space="preserve"> </w:t>
      </w:r>
      <w:r>
        <w:t xml:space="preserve">Two-hot acts on a scalar target y = -0.20, which falls between the atoms at -0.5 and 0. HL-Gauss is centered on the middle atom (0), matching the paper’s symmetric illustration, and uses a Gaussian of standard deviation 0.45, which is 0.9 of a bin width.</w:t>
      </w:r>
      <w:r>
        <w:t xml:space="preserve"> </w:t>
      </w:r>
      <w:r>
        <w:t xml:space="preserve">C51 acts on a source return distribution Z (a five-point distribution peaked left of center, so the projection visibly shifts mass as in the paper’s panel) and propagates it through the Bellman map with reward r = 0.00 and discount gamma = 0.90.</w:t>
      </w:r>
      <w:r>
        <w:t xml:space="preserve"> </w:t>
      </w:r>
      <w:r>
        <w:t xml:space="preserve">Bin edges for the HL-Gauss integration are the midpoints between adjacent atoms, extended by half a bin at each end. All values are fixed constants in the script; none are learned, sampled, or drawn from external data, so there is no preprocessing and nothing restricted or personal in the repository.</w:t>
      </w:r>
    </w:p>
    <w:bookmarkEnd w:id="12"/>
    <w:bookmarkStart w:id="13" w:name="method"/>
    <w:p>
      <w:pPr>
        <w:pStyle w:val="Heading1"/>
      </w:pPr>
      <w:r>
        <w:t xml:space="preserve">4. Method</w:t>
      </w:r>
    </w:p>
    <w:p>
      <w:pPr>
        <w:pStyle w:val="FirstParagraph"/>
      </w:pPr>
      <w:r>
        <w:t xml:space="preserve">Each scheme is implemented directly from its defining equation.</w:t>
      </w:r>
      <w:r>
        <w:t xml:space="preserve"> </w:t>
      </w:r>
      <w:r>
        <w:t xml:space="preserve">* Two-hot: for a target y between atoms z_lo and z_up, assign mass (z_up - y) / (z_up - z_lo) to z_lo and the complement to z_up, so exactly two atoms are nonzero.</w:t>
      </w:r>
      <w:r>
        <w:t xml:space="preserve"> </w:t>
      </w:r>
      <w:r>
        <w:t xml:space="preserve">* HL-Gauss: place N(y, sigma^2) at the target and set each bin’s mass to the Gaussian’s integral over that bin, computed as a difference of normal CDFs across the bin edges, then renormalize so the mass truncated beyond the support is redistributed.</w:t>
      </w:r>
      <w:r>
        <w:t xml:space="preserve"> </w:t>
      </w:r>
      <w:r>
        <w:t xml:space="preserve">* C51: for each source atom z_j with probability p_j, compute the Bellman image Tz_j = clip(r + gamma * z_j, V_min, V_max), locate it between two atoms, and split p_j between them by linear interpolation, accumulating the projected distribution.</w:t>
      </w:r>
      <w:r>
        <w:t xml:space="preserve"> </w:t>
      </w:r>
      <w:r>
        <w:t xml:space="preserve">Projection indices are clipped to the support to guard against floating-point overshoot at the top atom.</w:t>
      </w:r>
      <w:r>
        <w:t xml:space="preserve"> </w:t>
      </w:r>
      <w:r>
        <w:t xml:space="preserve">For each scheme, I report the full per-bin mass vector, the number of nonzero bins, and the entropy of the induced distribution as a compact summary of its concentration or spread.</w:t>
      </w:r>
      <w:r>
        <w:t xml:space="preserve"> </w:t>
      </w:r>
      <w:r>
        <w:t xml:space="preserve">Each distribution is asserted to sum to one.</w:t>
      </w:r>
      <w:r>
        <w:t xml:space="preserve"> </w:t>
      </w:r>
      <w:r>
        <w:t xml:space="preserve">Software: Python 3.12 with NumPy, SciPy (for the normal CDF), pandas, and Matplotlib.</w:t>
      </w:r>
      <w:r>
        <w:t xml:space="preserve"> </w:t>
      </w:r>
      <w:r>
        <w:t xml:space="preserve">The figure and the mass table regenerate from</w:t>
      </w:r>
      <w:r>
        <w:t xml:space="preserve"> </w:t>
      </w:r>
      <w:r>
        <w:rPr>
          <w:rStyle w:val="VerbatimChar"/>
        </w:rPr>
        <w:t xml:space="preserve">code/reproduce_fig3.ipynb</w:t>
      </w:r>
      <w:r>
        <w:t xml:space="preserve">.</w:t>
      </w:r>
    </w:p>
    <w:bookmarkEnd w:id="13"/>
    <w:bookmarkStart w:id="17" w:name="results"/>
    <w:p>
      <w:pPr>
        <w:pStyle w:val="Heading1"/>
      </w:pPr>
      <w:r>
        <w:t xml:space="preserve">5. Results</w:t>
      </w:r>
    </w:p>
    <w:p>
      <w:pPr>
        <w:pStyle w:val="CaptionedFigure"/>
      </w:pPr>
      <w:r>
        <w:drawing>
          <wp:inline>
            <wp:extent cx="5943600" cy="2266768"/>
            <wp:effectExtent b="0" l="0" r="0" t="0"/>
            <wp:docPr descr="Reproduction of Figure 3. Two-hot places all mass on the two atoms bracketing the target y. HL-Gauss integrates a fixed-width Gaussian over the bins. C51 carries the source distribution Z through the Bellman map r + gamma*Z and projects it back onto the support." title="" id="15" name="Picture"/>
            <a:graphic>
              <a:graphicData uri="http://schemas.openxmlformats.org/drawingml/2006/picture">
                <pic:pic>
                  <pic:nvPicPr>
                    <pic:cNvPr descr="figures/fig3_categorical_losse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7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Reproduction of Figure 3. Two-hot places all mass on the two atoms bracketing the target y. HL-Gauss integrates a fixed-width Gaussian over the bins. C51 carries the source distribution Z through the Bellman map r + gamma*Z and projects it back onto the support.</w:t>
      </w:r>
    </w:p>
    <w:p>
      <w:pPr>
        <w:pStyle w:val="BodyText"/>
      </w:pPr>
      <w:r>
        <w:t xml:space="preserve">The three panels reproduce the behavior shown in the figure.</w:t>
      </w:r>
      <w:r>
        <w:t xml:space="preserve"> </w:t>
      </w:r>
      <w:r>
        <w:t xml:space="preserve">Two-hot assigns 0.40 and 0.60 to the atoms at -0.5 and 0 and zero everywhere else, so only two bins are active, and the distribution’s entropy is 0.67 nats.</w:t>
      </w:r>
      <w:r>
        <w:t xml:space="preserve"> </w:t>
      </w:r>
      <w:r>
        <w:t xml:space="preserve">HL-Gauss spreads mass in a bell around the target, with entropy 1.33 nats, acting like label smoothing on the categorical target.</w:t>
      </w:r>
      <w:r>
        <w:t xml:space="preserve"> </w:t>
      </w:r>
      <w:r>
        <w:t xml:space="preserve">C51 propagates the whole source distribution: the Bellman map shifts it by the reward and contracts it by gamma = 0.90, and the projected distribution (entropy 1.35 nats) is displaced and reshaped relative to the source.</w:t>
      </w:r>
      <w:r>
        <w:t xml:space="preserve"> </w:t>
      </w:r>
      <w:r>
        <w:t xml:space="preserve">All three distributions integrate to one.</w:t>
      </w:r>
      <w:r>
        <w:t xml:space="preserve"> </w:t>
      </w:r>
      <w:r>
        <w:t xml:space="preserve">The contrast across panels is the figure’s point: the schemes range from maximally sparse (two-hot) to fully distributional (C51), trading simplicity against how much of the target’s structure the categorical representation preserves.</w:t>
      </w:r>
    </w:p>
    <w:bookmarkEnd w:id="17"/>
    <w:bookmarkStart w:id="18" w:name="compare"/>
    <w:p>
      <w:pPr>
        <w:pStyle w:val="Heading1"/>
      </w:pPr>
      <w:r>
        <w:t xml:space="preserve">6. Compare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Original Study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Two-hot active bins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two neighbors (schematic)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(mass 0.40 / 0.60)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HL-Gauss shape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Gaussian over bins (schematic)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bell, entropy 1.33 nats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C51 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 return distribution (schematic)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projected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γ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 entropy 1.35 nats</w:t>
            </w:r>
          </w:p>
        </w:tc>
      </w:tr>
    </w:tbl>
    <w:p>
      <w:pPr>
        <w:pStyle w:val="BodyText"/>
      </w:pPr>
      <w:r>
        <w:t xml:space="preserve">Figure 3 is schematic.</w:t>
      </w:r>
      <w:r>
        <w:t xml:space="preserve"> </w:t>
      </w:r>
      <w:r>
        <w:t xml:space="preserve">As per its caption, it was redrawn from</w:t>
      </w:r>
      <w:r>
        <w:t xml:space="preserve"> </w:t>
      </w:r>
      <w:r>
        <w:t xml:space="preserve">Farebrother et al. (2024)</w:t>
      </w:r>
      <w:r>
        <w:t xml:space="preserve">.</w:t>
      </w:r>
      <w:r>
        <w:t xml:space="preserve"> </w:t>
      </w:r>
      <w:r>
        <w:t xml:space="preserve">Therefore, it reports no numeric values; the comparison, hence, is on mechanism and shape rather than on matching numbers.</w:t>
      </w:r>
      <w:r>
        <w:t xml:space="preserve"> </w:t>
      </w:r>
      <w:r>
        <w:t xml:space="preserve">On that basis the reproduction is close but not complete, two-hot activates precisely two neighboring atoms, HL-Gauss produces the integrated-Gaussian spread, and C51 yields a projected return distribution.</w:t>
      </w:r>
      <w:r>
        <w:t xml:space="preserve"> </w:t>
      </w:r>
      <w:r>
        <w:t xml:space="preserve">The one substantive difference is that the original leaves every parameter implicit, whereas the reproduction must fix the support, the target, the Gaussian width, and the C51 reward and discount.</w:t>
      </w:r>
      <w:r>
        <w:t xml:space="preserve"> </w:t>
      </w:r>
      <w:r>
        <w:t xml:space="preserve">This makes visible a point the schematic hides: the shapes depend on parameters.</w:t>
      </w:r>
      <w:r>
        <w:t xml:space="preserve"> </w:t>
      </w:r>
      <w:r>
        <w:t xml:space="preserve">HL-Gauss’s spread is set entirely by sigma, and a narrower sigma would make it approach two-hot, while C51’s displacement and width are set by r and gamma.</w:t>
      </w:r>
      <w:r>
        <w:t xml:space="preserve"> </w:t>
      </w:r>
      <w:r>
        <w:t xml:space="preserve">The figure communicates a family of mechanisms; any single rendering, mine or the original, is one instance of it.</w:t>
      </w:r>
    </w:p>
    <w:bookmarkEnd w:id="18"/>
    <w:bookmarkStart w:id="19" w:name="reproducibility-check"/>
    <w:p>
      <w:pPr>
        <w:pStyle w:val="Heading1"/>
      </w:pPr>
      <w:r>
        <w:t xml:space="preserve">7. Reproducibility Check</w:t>
      </w:r>
    </w:p>
    <w:p>
      <w:pPr>
        <w:pStyle w:val="Compact"/>
        <w:numPr>
          <w:ilvl w:val="0"/>
          <w:numId w:val="1001"/>
        </w:numPr>
      </w:pPr>
      <w:r>
        <w:t xml:space="preserve">Data source documented</w:t>
      </w:r>
    </w:p>
    <w:p>
      <w:pPr>
        <w:pStyle w:val="Compact"/>
        <w:numPr>
          <w:ilvl w:val="0"/>
          <w:numId w:val="1002"/>
        </w:numPr>
      </w:pPr>
      <w:r>
        <w:t xml:space="preserve">Code runs from beginning to end</w:t>
      </w:r>
    </w:p>
    <w:p>
      <w:pPr>
        <w:pStyle w:val="Compact"/>
        <w:numPr>
          <w:ilvl w:val="0"/>
          <w:numId w:val="1003"/>
        </w:numPr>
      </w:pPr>
      <w:r>
        <w:t xml:space="preserve">Computational environment identified</w:t>
      </w:r>
    </w:p>
    <w:p>
      <w:pPr>
        <w:pStyle w:val="Compact"/>
        <w:numPr>
          <w:ilvl w:val="0"/>
          <w:numId w:val="1004"/>
        </w:numPr>
      </w:pPr>
      <w:r>
        <w:t xml:space="preserve">Software/packages documented</w:t>
      </w:r>
    </w:p>
    <w:p>
      <w:pPr>
        <w:pStyle w:val="Compact"/>
        <w:numPr>
          <w:ilvl w:val="0"/>
          <w:numId w:val="1005"/>
        </w:numPr>
      </w:pPr>
      <w:r>
        <w:t xml:space="preserve">Package versions documented when relevant</w:t>
      </w:r>
    </w:p>
    <w:p>
      <w:pPr>
        <w:pStyle w:val="Compact"/>
        <w:numPr>
          <w:ilvl w:val="0"/>
          <w:numId w:val="1006"/>
        </w:numPr>
      </w:pPr>
      <w:r>
        <w:t xml:space="preserve">Random seed documented when applicable</w:t>
      </w:r>
    </w:p>
    <w:p>
      <w:pPr>
        <w:pStyle w:val="Compact"/>
        <w:numPr>
          <w:ilvl w:val="0"/>
          <w:numId w:val="1007"/>
        </w:numPr>
      </w:pPr>
      <w:r>
        <w:t xml:space="preserve">Key preprocessing steps documented</w:t>
      </w:r>
    </w:p>
    <w:p>
      <w:pPr>
        <w:pStyle w:val="Compact"/>
        <w:numPr>
          <w:ilvl w:val="0"/>
          <w:numId w:val="1008"/>
        </w:numPr>
      </w:pPr>
      <w:r>
        <w:t xml:space="preserve">Evaluation procedure documented</w:t>
      </w:r>
    </w:p>
    <w:p>
      <w:pPr>
        <w:pStyle w:val="Compact"/>
        <w:numPr>
          <w:ilvl w:val="0"/>
          <w:numId w:val="1009"/>
        </w:numPr>
      </w:pPr>
      <w:r>
        <w:t xml:space="preserve">Repository README provides reproduction instructions</w:t>
      </w:r>
    </w:p>
    <w:p>
      <w:pPr>
        <w:pStyle w:val="FirstParagraph"/>
      </w:pPr>
      <w:r>
        <w:rPr>
          <w:b/>
          <w:bCs/>
        </w:rPr>
        <w:t xml:space="preserve">What was the greatest reproducibility challenge you encountered?</w:t>
      </w:r>
    </w:p>
    <w:p>
      <w:pPr>
        <w:pStyle w:val="BodyText"/>
      </w:pPr>
      <w:r>
        <w:t xml:space="preserve">The figure specifies none of the quantities needed to draw it: the number of atoms, the value range, the scalar target, the HL-Gauss standard deviation, and the C51 reward, discount, and source distribution are all absent.</w:t>
      </w:r>
      <w:r>
        <w:t xml:space="preserve"> </w:t>
      </w:r>
      <w:r>
        <w:t xml:space="preserve">Because the induced shapes depend on these, reproducing the figure meant recovering each formula from its source paper and choosing defensible parameters, then documenting them so the result is regenerable.</w:t>
      </w:r>
      <w:r>
        <w:t xml:space="preserve"> </w:t>
      </w:r>
      <w:r>
        <w:t xml:space="preserve">A minor implementation issue was floating-point overshoot in the C51 projection at the top atom, which required clipping the projection index.</w:t>
      </w:r>
    </w:p>
    <w:bookmarkEnd w:id="19"/>
    <w:bookmarkStart w:id="20" w:name="extend"/>
    <w:p>
      <w:pPr>
        <w:pStyle w:val="Heading1"/>
      </w:pPr>
      <w:r>
        <w:t xml:space="preserve">8. Extend</w:t>
      </w:r>
    </w:p>
    <w:p>
      <w:pPr>
        <w:pStyle w:val="FirstParagraph"/>
      </w:pPr>
      <w:r>
        <w:t xml:space="preserve">The figure shows the representations but not why the survey ties them to plasticity (Section 4.4): regression gradients scale with prediction error and can grow without bound for large-mean targets, driving parameter-norm growth, whereas cross-entropy gradients on a categorical target are bounded regardless of target magnitude.</w:t>
      </w:r>
      <w:r>
        <w:t xml:space="preserve"> </w:t>
      </w:r>
      <w:r>
        <w:t xml:space="preserve">I would reproduce that claim directly by computing, for a single output unit, the gradient magnitude of the MSE loss and of the cross-entropy loss against a two-hot or HL-Gauss target as the target value is swept across a wide range, and plotting the two.</w:t>
      </w:r>
      <w:r>
        <w:t xml:space="preserve"> </w:t>
      </w:r>
      <w:r>
        <w:t xml:space="preserve">The prediction is that the MSE gradient grows linearly with the target while the cross-entropy gradient saturates.</w:t>
      </w:r>
      <w:r>
        <w:t xml:space="preserve"> </w:t>
      </w:r>
      <w:r>
        <w:t xml:space="preserve">This extends the static figure into a test of the mechanism the survey actually cares about, showing not just what the categorical targets look like but why reformulating regression as classification mitigates the parameter-norm growth associated with plasticity loss.</w:t>
      </w:r>
    </w:p>
    <w:bookmarkEnd w:id="20"/>
    <w:bookmarkStart w:id="21" w:name="replication-verdict"/>
    <w:p>
      <w:pPr>
        <w:pStyle w:val="Heading1"/>
      </w:pPr>
      <w:r>
        <w:t xml:space="preserve">Replication Verdict</w:t>
      </w:r>
    </w:p>
    <w:p>
      <w:pPr>
        <w:pStyle w:val="FirstParagraph"/>
      </w:pPr>
      <w:r>
        <w:t xml:space="preserve">Select the statement that best represents your findings: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Reproduced</w:t>
      </w:r>
      <w:r>
        <w:t xml:space="preserve"> </w:t>
      </w:r>
      <w:r>
        <w:t xml:space="preserve">— The central result was substantially reproduced.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Partially Reproduced</w:t>
      </w:r>
      <w:r>
        <w:t xml:space="preserve"> </w:t>
      </w:r>
      <w:r>
        <w:t xml:space="preserve">— Some findings were reproduced, but meaningful differences remain.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Not Reproduced</w:t>
      </w:r>
      <w:r>
        <w:t xml:space="preserve"> </w:t>
      </w:r>
      <w:r>
        <w:t xml:space="preserve">— The central result was not reproduced.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Directly Comparable</w:t>
      </w:r>
      <w:r>
        <w:t xml:space="preserve"> </w:t>
      </w:r>
      <w:r>
        <w:t xml:space="preserve">— A proxy replication produced useful methodological insight, but numerical comparison is not appropriate.</w:t>
      </w:r>
    </w:p>
    <w:p>
      <w:pPr>
        <w:pStyle w:val="FirstParagraph"/>
      </w:pPr>
      <w:r>
        <w:t xml:space="preserve">Each of the three categorical mappings is reproduced exactly at the level of method and behavior: two-hot places mass on the two bracketing atoms by linear interpolation, HL-Gauss integrates a fixed-width Gaussian over the bins, and C51 projects the Bellman image of a return distribution onto the support.</w:t>
      </w:r>
      <w:r>
        <w:t xml:space="preserve"> </w:t>
      </w:r>
      <w:r>
        <w:t xml:space="preserve">The redrawn figure also matches the paper’s two-tier layout, color scheme, and annotations.</w:t>
      </w:r>
      <w:r>
        <w:t xml:space="preserve"> </w:t>
      </w:r>
      <w:r>
        <w:t xml:space="preserve">It is a partial rather than complete reproduction because Figure 3 is a hand-drawn schematic, redrawn from Farebrother et al., with no underlying data: the illustrative specifics of the C51 panel in particular, namely the exact source distribution and bar heights and the offset-bar-with-horizontal-connector depiction of the Bellman shift, cannot be derived from the definitions and were only approximated.</w:t>
      </w:r>
      <w:r>
        <w:t xml:space="preserve"> </w:t>
      </w:r>
      <w:r>
        <w:t xml:space="preserve">The verdict is therefore Partially Reproduced.</w:t>
      </w:r>
      <w:r>
        <w:t xml:space="preserve"> </w:t>
      </w:r>
      <w:r>
        <w:t xml:space="preserve">The methods and their qualitative structure reproduce faithfully, while an exact visual match to an undocumented schematic is not attainable by computation and would amount to tracing rather than replication.</w:t>
      </w:r>
    </w:p>
    <w:bookmarkEnd w:id="21"/>
    <w:bookmarkStart w:id="29" w:name="references"/>
    <w:p>
      <w:pPr>
        <w:pStyle w:val="Heading1"/>
      </w:pPr>
      <w:r>
        <w:t xml:space="preserve">References</w:t>
      </w:r>
    </w:p>
    <w:bookmarkStart w:id="28" w:name="refs"/>
    <w:bookmarkStart w:id="22" w:name="ref-bellemare2017distributional"/>
    <w:p>
      <w:pPr>
        <w:pStyle w:val="Bibliography"/>
      </w:pPr>
      <w:r>
        <w:t xml:space="preserve">Bellemare, M. G., Dabney, W., &amp; Munos, R. (2017). A distributional perspective on reinforcement learning.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</w:t>
      </w:r>
      <w:r>
        <w:t xml:space="preserve"> </w:t>
      </w:r>
      <w:r>
        <w:rPr>
          <w:i/>
          <w:iCs/>
        </w:rPr>
        <w:t xml:space="preserve">70</w:t>
      </w:r>
      <w:r>
        <w:t xml:space="preserve">, 449–458.</w:t>
      </w:r>
    </w:p>
    <w:bookmarkEnd w:id="22"/>
    <w:bookmarkStart w:id="23" w:name="ref-farebrother2024stop"/>
    <w:p>
      <w:pPr>
        <w:pStyle w:val="Bibliography"/>
      </w:pPr>
      <w:r>
        <w:t xml:space="preserve">Farebrother, J., Orbay, J., Vuong, Q., Taïga, A. A., Chebotar, Y., Xiao, T., Irpan, A., Levine, S., Castro, P. S., Faust, A., Kumar, A., &amp; Agarwal, R. (2024). Stop regressing: Training value functions via classification for scalable deep</w:t>
      </w:r>
      <w:r>
        <w:t xml:space="preserve"> </w:t>
      </w:r>
      <w:r>
        <w:t xml:space="preserve">RL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.</w:t>
      </w:r>
    </w:p>
    <w:bookmarkEnd w:id="23"/>
    <w:bookmarkStart w:id="24" w:name="ref-imani2018distributional"/>
    <w:p>
      <w:pPr>
        <w:pStyle w:val="Bibliography"/>
      </w:pPr>
      <w:r>
        <w:t xml:space="preserve">Imani, E., &amp; White, M. (2018). Improving regression performance with distributional losses.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</w:t>
      </w:r>
      <w:r>
        <w:t xml:space="preserve"> </w:t>
      </w:r>
      <w:r>
        <w:rPr>
          <w:i/>
          <w:iCs/>
        </w:rPr>
        <w:t xml:space="preserve">80</w:t>
      </w:r>
      <w:r>
        <w:t xml:space="preserve">, 2162–2171.</w:t>
      </w:r>
    </w:p>
    <w:bookmarkEnd w:id="24"/>
    <w:bookmarkStart w:id="26" w:name="ref-klein2026plasticity"/>
    <w:p>
      <w:pPr>
        <w:pStyle w:val="Bibliography"/>
      </w:pPr>
      <w:r>
        <w:t xml:space="preserve">Klein, T., Luther, C., McAuliffe, M., Miklautz, L., Plant, C., &amp; Tschiatschek, S. (2026).</w:t>
      </w:r>
      <w:r>
        <w:t xml:space="preserve"> </w:t>
      </w:r>
      <w:r>
        <w:rPr>
          <w:i/>
          <w:iCs/>
        </w:rPr>
        <w:t xml:space="preserve">Plasticity loss in deep reinforcement learning: A survey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https://arxiv.org/abs/2411.04832</w:t>
        </w:r>
      </w:hyperlink>
    </w:p>
    <w:bookmarkEnd w:id="26"/>
    <w:bookmarkStart w:id="27" w:name="ref-schrittwieser2020muzero"/>
    <w:p>
      <w:pPr>
        <w:pStyle w:val="Bibliography"/>
      </w:pPr>
      <w:r>
        <w:t xml:space="preserve">Schrittwieser, J., Antonoglou, I., Hubert, T., Simonyan, K., Sifre, L., Schmitt, S., Guez, A., Lockhart, E., Hassabis, D., Graepel, T., Lillicrap, T. P., &amp; Silver, D. (2020). Mastering</w:t>
      </w:r>
      <w:r>
        <w:t xml:space="preserve"> </w:t>
      </w:r>
      <w:r>
        <w:t xml:space="preserve">Atari</w:t>
      </w:r>
      <w:r>
        <w:t xml:space="preserve">,</w:t>
      </w:r>
      <w:r>
        <w:t xml:space="preserve"> </w:t>
      </w:r>
      <w:r>
        <w:t xml:space="preserve">Go</w:t>
      </w:r>
      <w:r>
        <w:t xml:space="preserve">, chess and shogi by planning with a learned model.</w:t>
      </w:r>
      <w:r>
        <w:t xml:space="preserve"> </w:t>
      </w:r>
      <w:r>
        <w:rPr>
          <w:i/>
          <w:iCs/>
        </w:rPr>
        <w:t xml:space="preserve">Nature</w:t>
      </w:r>
      <w:r>
        <w:t xml:space="preserve">,</w:t>
      </w:r>
      <w:r>
        <w:t xml:space="preserve"> </w:t>
      </w:r>
      <w:r>
        <w:rPr>
          <w:i/>
          <w:iCs/>
        </w:rPr>
        <w:t xml:space="preserve">588</w:t>
      </w:r>
      <w:r>
        <w:t xml:space="preserve">(7839), 604–609.</w:t>
      </w:r>
    </w:p>
    <w:bookmarkEnd w:id="27"/>
    <w:bookmarkEnd w:id="28"/>
    <w:bookmarkEnd w:id="29"/>
    <w:sectPr w:rsidR="008B2130">
      <w:pgSz w:h="15840" w:w="12240"/>
      <w:pgMar w:bottom="1440" w:footer="708" w:gutter="0" w:header="708" w:left="1440" w:right="1440" w:top="1440"/>
      <w:lnNumType w:countBy="1" w:restart="continuous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80D2690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16cid:durableId="1987471741" w:numId="1">
    <w:abstractNumId w:val="0"/>
  </w:num>
  <w:num w:numId="1000">
    <w:abstractNumId w:val="990"/>
  </w:num>
  <w:num w:numId="1001">
    <w:abstractNumId w:val="993"/>
  </w:num>
  <w:num w:numId="1002">
    <w:abstractNumId w:val="993"/>
  </w:num>
  <w:num w:numId="1003">
    <w:abstractNumId w:val="993"/>
  </w:num>
  <w:num w:numId="1004">
    <w:abstractNumId w:val="993"/>
  </w:num>
  <w:num w:numId="1005">
    <w:abstractNumId w:val="993"/>
  </w:num>
  <w:num w:numId="1006">
    <w:abstractNumId w:val="993"/>
  </w:num>
  <w:num w:numId="1007">
    <w:abstractNumId w:val="993"/>
  </w:num>
  <w:num w:numId="1008">
    <w:abstractNumId w:val="993"/>
  </w:num>
  <w:num w:numId="1009">
    <w:abstractNumId w:val="993"/>
  </w:num>
  <w:num w:numId="1010">
    <w:abstractNumId w:val="992"/>
  </w:num>
  <w:num w:numId="1011">
    <w:abstractNumId w:val="993"/>
  </w:num>
  <w:num w:numId="1012">
    <w:abstractNumId w:val="992"/>
  </w:num>
  <w:num w:numId="101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32E66"/>
    <w:rsid w:val="008B2130"/>
    <w:rsid w:val="009058C9"/>
    <w:rsid w:val="00CD1956"/>
    <w:rsid w:val="00D32E66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line="480" w:lineRule="auto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0" w:line="480" w:lineRule="auto"/>
      <w:jc w:val="center"/>
      <w:outlineLvl w:val="0"/>
    </w:pPr>
    <w:rPr>
      <w:rFonts w:asciiTheme="majorHAnsi" w:cstheme="majorBidi" w:eastAsiaTheme="majorEastAsia" w:hAnsiTheme="majorHAnsi"/>
      <w:b/>
      <w:bCs/>
      <w:color w:val="auto"/>
      <w:sz w:val="28"/>
      <w:szCs w:val="28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before="200"/>
      <w:outlineLvl w:val="1"/>
    </w:pPr>
    <w:rPr>
      <w:rFonts w:asciiTheme="majorHAnsi" w:cstheme="majorBidi" w:eastAsiaTheme="majorEastAsia" w:hAnsiTheme="majorHAnsi"/>
      <w:b/>
      <w:bCs/>
      <w:color w:val="2E74B5"/>
      <w:sz w:val="26"/>
      <w:szCs w:val="2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before="200"/>
      <w:outlineLvl w:val="2"/>
    </w:pPr>
    <w:rPr>
      <w:rFonts w:asciiTheme="majorHAnsi" w:cstheme="majorBidi" w:eastAsiaTheme="majorEastAsia" w:hAnsiTheme="majorHAnsi"/>
      <w:b/>
      <w:bCs/>
      <w:color w:val="1F4D78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before="200"/>
      <w:outlineLvl w:val="4"/>
    </w:pPr>
    <w:rPr>
      <w:rFonts w:asciiTheme="majorHAnsi" w:cstheme="majorBidi" w:eastAsiaTheme="majorEastAsia" w:hAnsiTheme="majorHAnsi"/>
      <w:iCs/>
      <w:color w:themeColor="accent1" w:val="4F81BD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ind w:firstLine="72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0" w:before="480" w:line="240" w:lineRule="auto"/>
      <w:jc w:val="center"/>
    </w:pPr>
    <w:rPr>
      <w:rFonts w:asciiTheme="majorHAnsi" w:cstheme="majorBidi" w:eastAsiaTheme="majorEastAsia" w:hAnsiTheme="majorHAnsi"/>
      <w:b/>
      <w:bCs/>
      <w:color w:val="auto"/>
      <w:sz w:val="56"/>
      <w:szCs w:val="56"/>
    </w:rPr>
  </w:style>
  <w:style w:styleId="Subtitle" w:type="paragraph">
    <w:name w:val="Subtitle"/>
    <w:basedOn w:val="Title"/>
    <w:next w:val="BodyText"/>
    <w:qFormat/>
    <w:pPr>
      <w:spacing w:after="0" w:before="480" w:line="240" w:lineRule="auto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0" w:before="480" w:line="240" w:lineRule="auto"/>
      <w:jc w:val="center"/>
    </w:pPr>
  </w:style>
  <w:style w:styleId="Date" w:type="paragraph">
    <w:name w:val="Date"/>
    <w:next w:val="BodyText"/>
    <w:qFormat/>
    <w:pPr>
      <w:keepNext/>
      <w:keepLines/>
      <w:spacing w:after="0" w:before="480" w:line="240" w:lineRule="auto"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  <w:pPr>
      <w:ind w:hanging="720" w:left="720"/>
    </w:p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365F91"/>
    </w:rPr>
  </w:style>
  <w:style w:styleId="LineNumber" w:type="character">
    <w:name w:val="line number"/>
    <w:basedOn w:val="DefaultParagraphFont"/>
    <w:rsid w:val="009058C9"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25" Target="https://arxiv.org/abs/2411.0483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arxiv.org/abs/2411.0483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Predictive AI Replication Laboratory</dc:title>
  <dc:creator>Sokpheanal Huynh</dc:creator>
  <cp:keywords/>
  <dcterms:created xsi:type="dcterms:W3CDTF">2026-09-25T05:33:42Z</dcterms:created>
  <dcterms:modified xsi:type="dcterms:W3CDTF">2026-09-25T05:33:42Z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apa.csl</vt:lpwstr>
  </property>
  <property fmtid="{D5CDD505-2E9C-101B-9397-08002B2CF9AE}" pid="7" name="date">
    <vt:lpwstr>2026-09-25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ANLY 735 – Research Seminar in Predictive AI</vt:lpwstr>
  </property>
  <property fmtid="{D5CDD505-2E9C-101B-9397-08002B2CF9AE}" pid="13" name="toc-title">
    <vt:lpwstr>Table of contents</vt:lpwstr>
  </property>
</Properties>
</file>