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120"/>
        <w:jc w:val="center"/>
      </w:pPr>
      <w:r>
        <w:rPr>
          <w:rFonts w:ascii="ＭＳ ゴシック" w:hAnsi="ＭＳ ゴシック" w:eastAsia="ＭＳ ゴシック"/>
          <w:b/>
          <w:color w:val="2F6D5F"/>
          <w:sz w:val="52"/>
        </w:rPr>
        <w:t>BEYOND BUFFETT</w:t>
      </w:r>
    </w:p>
    <w:p>
      <w:pPr>
        <w:spacing w:before="0" w:after="60"/>
        <w:jc w:val="center"/>
      </w:pPr>
      <w:r>
        <w:rPr>
          <w:rFonts w:ascii="Times New Roman" w:hAnsi="Times New Roman" w:eastAsia="ＭＳ 明朝"/>
          <w:b/>
          <w:sz w:val="26"/>
        </w:rPr>
        <w:t>― Moat の時間軸拡張による日本株ポートフォリオ ―</w:t>
      </w:r>
    </w:p>
    <w:p>
      <w:pPr>
        <w:spacing w:before="0" w:after="960"/>
        <w:jc w:val="center"/>
      </w:pPr>
      <w:r>
        <w:rPr>
          <w:rFonts w:ascii="Times New Roman" w:hAnsi="Times New Roman" w:eastAsia="ＭＳ 明朝"/>
          <w:b w:val="0"/>
          <w:sz w:val="22"/>
        </w:rPr>
        <w:t>"INVESTING IN COMPLETED, CHANGING, AND EMERGING MOATS"</w:t>
      </w:r>
    </w:p>
    <w:p>
      <w:pPr>
        <w:spacing w:before="0" w:after="60"/>
        <w:jc w:val="right"/>
      </w:pPr>
      <w:r>
        <w:rPr>
          <w:rFonts w:ascii="Times New Roman" w:hAnsi="Times New Roman" w:eastAsia="ＭＳ 明朝"/>
          <w:b w:val="0"/>
          <w:sz w:val="22"/>
        </w:rPr>
        <w:t>応募区分：大学部門</w:t>
      </w:r>
    </w:p>
    <w:p>
      <w:pPr>
        <w:spacing w:before="0" w:after="60"/>
        <w:jc w:val="right"/>
      </w:pPr>
      <w:r>
        <w:rPr>
          <w:rFonts w:ascii="Times New Roman" w:hAnsi="Times New Roman" w:eastAsia="ＭＳ 明朝"/>
          <w:b w:val="0"/>
          <w:sz w:val="22"/>
        </w:rPr>
        <w:t>チーム名：［　　　　　　　　　　　］</w:t>
      </w:r>
    </w:p>
    <w:p>
      <w:pPr>
        <w:spacing w:before="0" w:after="60"/>
        <w:jc w:val="right"/>
      </w:pPr>
      <w:r>
        <w:rPr>
          <w:rFonts w:ascii="Times New Roman" w:hAnsi="Times New Roman" w:eastAsia="ＭＳ 明朝"/>
          <w:b w:val="0"/>
          <w:sz w:val="22"/>
        </w:rPr>
        <w:t>チームID：［　　　　　　　　　　　］</w:t>
      </w:r>
    </w:p>
    <w:p>
      <w:pPr>
        <w:spacing w:before="0" w:after="60"/>
        <w:jc w:val="right"/>
      </w:pPr>
      <w:r>
        <w:rPr>
          <w:rFonts w:ascii="Times New Roman" w:hAnsi="Times New Roman" w:eastAsia="ＭＳ 明朝"/>
          <w:b w:val="0"/>
          <w:sz w:val="22"/>
        </w:rPr>
        <w:t>学校：［　　　　　　　　　　　］　　学年：［　　　　］</w:t>
      </w:r>
    </w:p>
    <w:p>
      <w:pPr>
        <w:spacing w:before="0" w:after="60"/>
        <w:jc w:val="right"/>
      </w:pPr>
      <w:r>
        <w:rPr>
          <w:rFonts w:ascii="Times New Roman" w:hAnsi="Times New Roman" w:eastAsia="ＭＳ 明朝"/>
          <w:b w:val="0"/>
          <w:sz w:val="22"/>
        </w:rPr>
        <w:t>メンバー：［　　　　　　　　　　　　　　　　　　　　　］</w:t>
      </w:r>
    </w:p>
    <w:p>
      <w:pPr>
        <w:spacing w:before="0" w:after="60"/>
        <w:jc w:val="right"/>
      </w:pPr>
      <w:r>
        <w:rPr>
          <w:rFonts w:ascii="Times New Roman" w:hAnsi="Times New Roman" w:eastAsia="ＭＳ 明朝"/>
          <w:b w:val="0"/>
          <w:sz w:val="22"/>
        </w:rPr>
        <w:t>指導教員：［　　　　　　　　　　　］</w:t>
      </w: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要旨</w:t>
      </w:r>
    </w:p>
    <w:p>
      <w:pPr>
        <w:spacing w:before="0" w:after="100" w:line="324" w:lineRule="auto"/>
      </w:pPr>
      <w:r>
        <w:rPr>
          <w:rFonts w:ascii="Times New Roman" w:hAnsi="Times New Roman" w:eastAsia="ＭＳ 明朝"/>
          <w:b w:val="0"/>
          <w:sz w:val="19"/>
        </w:rPr>
        <w:t>私たちは，投資の名手 Warren Buffett の本質が「持続的競争優位（Moat）を持つ企業を，割安に取得し長く保有する規律」にあると捉える。本レポートのテーマは「BEYOND BUFFETT（バフェットを超える）」である。ただしこれはバフェットの否定ではない。Moat を出発点として受け継ぎつつ，それを静的な現在の状態から，時間とともに変化・新生する動的な概念へと拡張することを意味する。</w:t>
      </w:r>
    </w:p>
    <w:p>
      <w:pPr>
        <w:spacing w:before="0" w:after="100" w:line="324" w:lineRule="auto"/>
      </w:pPr>
      <w:r>
        <w:rPr>
          <w:rFonts w:ascii="Times New Roman" w:hAnsi="Times New Roman" w:eastAsia="ＭＳ 明朝"/>
          <w:b w:val="0"/>
          <w:sz w:val="19"/>
        </w:rPr>
        <w:t>私たちは Moat を三世代に分けて測定した。すなわち，先行研究の式で抽出できる完成された Moat，資本効率改革によって変わる Moat，産業構造の転換によって生まれる Moatである。この三世代を，先行研究の式を「守り」，その使い方を「破り」，時間軸へ「離れる」という守・破・離のスクリーニングで選定し，完成・変化・新生の三世代からなる 20 社ポートフォリオを構築した。銘柄はバックテスト成績で入れ替えず，すべての選定を証拠水準・除外監査・感度分析・アブレーションによって説明可能にした点が本レポートの特徴である。</w:t>
      </w:r>
    </w:p>
    <w:p>
      <w:pPr>
        <w:keepNext/>
        <w:keepLines/>
        <w:spacing w:before="200" w:after="80"/>
        <w:shd w:val="clear" w:color="auto" w:fill="2F6D5F"/>
      </w:pPr>
      <w:r>
        <w:rPr>
          <w:rFonts w:ascii="ＭＳ ゴシック" w:hAnsi="ＭＳ ゴシック" w:eastAsia="ＭＳ ゴシック"/>
          <w:b/>
          <w:color w:val="FFFFFF"/>
          <w:sz w:val="26"/>
        </w:rPr>
        <w:t xml:space="preserve">　目次</w:t>
      </w:r>
    </w:p>
    <w:p>
      <w:pPr>
        <w:spacing w:before="0" w:after="100" w:line="324" w:lineRule="auto"/>
      </w:pPr>
      <w:r>
        <w:rPr>
          <w:rFonts w:ascii="Times New Roman" w:hAnsi="Times New Roman" w:eastAsia="ＭＳ 明朝"/>
          <w:b w:val="0"/>
          <w:sz w:val="19"/>
        </w:rPr>
        <w:t>・要旨</w:t>
      </w:r>
    </w:p>
    <w:p>
      <w:pPr>
        <w:spacing w:before="0" w:after="100" w:line="324" w:lineRule="auto"/>
      </w:pPr>
      <w:r>
        <w:rPr>
          <w:rFonts w:ascii="Times New Roman" w:hAnsi="Times New Roman" w:eastAsia="ＭＳ 明朝"/>
          <w:b w:val="0"/>
          <w:sz w:val="19"/>
        </w:rPr>
        <w:t>・Ⅰ．背景・投資テーマ決定</w:t>
      </w:r>
    </w:p>
    <w:p>
      <w:pPr>
        <w:spacing w:before="0" w:after="100" w:line="324" w:lineRule="auto"/>
      </w:pPr>
      <w:r>
        <w:rPr>
          <w:rFonts w:ascii="Times New Roman" w:hAnsi="Times New Roman" w:eastAsia="ＭＳ 明朝"/>
          <w:b w:val="0"/>
          <w:sz w:val="19"/>
        </w:rPr>
        <w:t>・Ⅱ．スクリーニング</w:t>
      </w:r>
    </w:p>
    <w:p>
      <w:pPr>
        <w:spacing w:before="0" w:after="100" w:line="324" w:lineRule="auto"/>
      </w:pPr>
      <w:r>
        <w:rPr>
          <w:rFonts w:ascii="Times New Roman" w:hAnsi="Times New Roman" w:eastAsia="ＭＳ 明朝"/>
          <w:b w:val="0"/>
          <w:sz w:val="19"/>
        </w:rPr>
        <w:t>・Ⅲ．ポートフォリオの決定・銘柄紹介</w:t>
      </w:r>
    </w:p>
    <w:p>
      <w:pPr>
        <w:spacing w:before="0" w:after="100" w:line="324" w:lineRule="auto"/>
      </w:pPr>
      <w:r>
        <w:rPr>
          <w:rFonts w:ascii="Times New Roman" w:hAnsi="Times New Roman" w:eastAsia="ＭＳ 明朝"/>
          <w:b w:val="0"/>
          <w:sz w:val="19"/>
        </w:rPr>
        <w:t>・Ⅳ．インタビュー・アンケート</w:t>
      </w:r>
    </w:p>
    <w:p>
      <w:pPr>
        <w:spacing w:before="0" w:after="100" w:line="324" w:lineRule="auto"/>
      </w:pPr>
      <w:r>
        <w:rPr>
          <w:rFonts w:ascii="Times New Roman" w:hAnsi="Times New Roman" w:eastAsia="ＭＳ 明朝"/>
          <w:b w:val="0"/>
          <w:sz w:val="19"/>
        </w:rPr>
        <w:t>・Ⅴ．日経 STOCK リーグを通して学んだこと</w:t>
      </w:r>
    </w:p>
    <w:p>
      <w:pPr>
        <w:spacing w:before="0" w:after="100" w:line="324" w:lineRule="auto"/>
      </w:pPr>
      <w:r>
        <w:rPr>
          <w:rFonts w:ascii="Times New Roman" w:hAnsi="Times New Roman" w:eastAsia="ＭＳ 明朝"/>
          <w:b w:val="0"/>
          <w:sz w:val="19"/>
        </w:rPr>
        <w:t>・注／参考文献</w:t>
      </w:r>
    </w:p>
    <w:p>
      <w:pPr>
        <w:keepNext/>
        <w:keepLines/>
        <w:spacing w:before="120"/>
        <w:jc w:val="center"/>
      </w:pPr>
      <w:r>
        <w:drawing>
          <wp:inline xmlns:a="http://schemas.openxmlformats.org/drawingml/2006/main" xmlns:pic="http://schemas.openxmlformats.org/drawingml/2006/picture">
            <wp:extent cx="5760000" cy="2048000"/>
            <wp:docPr id="1" name="Picture 1"/>
            <wp:cNvGraphicFramePr>
              <a:graphicFrameLocks noChangeAspect="1"/>
            </wp:cNvGraphicFramePr>
            <a:graphic>
              <a:graphicData uri="http://schemas.openxmlformats.org/drawingml/2006/picture">
                <pic:pic>
                  <pic:nvPicPr>
                    <pic:cNvPr id="0" name="study_flow.png"/>
                    <pic:cNvPicPr/>
                  </pic:nvPicPr>
                  <pic:blipFill>
                    <a:blip r:embed="rId9"/>
                    <a:stretch>
                      <a:fillRect/>
                    </a:stretch>
                  </pic:blipFill>
                  <pic:spPr>
                    <a:xfrm>
                      <a:off x="0" y="0"/>
                      <a:ext cx="5760000" cy="2048000"/>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I-1　研究全体の流れ</w:t>
      </w:r>
    </w:p>
    <w:p>
      <w:pPr>
        <w:spacing w:before="0" w:after="120"/>
        <w:jc w:val="center"/>
      </w:pPr>
      <w:r>
        <w:rPr>
          <w:rFonts w:ascii="Times New Roman" w:hAnsi="Times New Roman" w:eastAsia="ＭＳ 明朝"/>
          <w:b w:val="0"/>
          <w:sz w:val="16"/>
        </w:rPr>
        <w:t>注：守（第1スクリーニング）→破（第2）→離（第3）→ポートフォリオ決定→検証。</w:t>
      </w: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Ⅰ．背景・投資テーマ決定</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1．テーマ概要</w:t>
      </w:r>
    </w:p>
    <w:p>
      <w:pPr>
        <w:spacing w:before="0" w:after="100" w:line="324" w:lineRule="auto"/>
      </w:pPr>
      <w:r>
        <w:rPr>
          <w:rFonts w:ascii="Times New Roman" w:hAnsi="Times New Roman" w:eastAsia="ＭＳ 明朝"/>
          <w:b w:val="0"/>
          <w:sz w:val="19"/>
        </w:rPr>
        <w:t>本レポートは，次世代の日本株投資の姿として「三世代の Moat」を提示する。Warren Buffett の成果は天才的な直感ではなく，Value・Quality・低リスクという再現可能な規律に支えられていることが実証されている（Frazzini, Kabiller and Pedersen, 2018）。私たちはこの規律を出発点として受け継ぎつつ，「今の Moat」だけでなく「これから変わる Moat」「これから生まれる Moat」を測定し，投資対象とする。</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2．なぜ現代日本株で Moat を拡張するか</w:t>
      </w:r>
    </w:p>
    <w:p>
      <w:pPr>
        <w:spacing w:before="0" w:after="100" w:line="324" w:lineRule="auto"/>
      </w:pPr>
      <w:r>
        <w:rPr>
          <w:rFonts w:ascii="Times New Roman" w:hAnsi="Times New Roman" w:eastAsia="ＭＳ 明朝"/>
          <w:b w:val="0"/>
          <w:sz w:val="19"/>
        </w:rPr>
        <w:t>第一に，日本株市場では東京証券取引所（2023）の資本効率改革要請を契機に，低く評価されてきた企業が資本効率改善・株主還元・事業改革を通じて再評価される（＝Moat が変わる）局面にある。伊藤レポート（経済産業省, 2014）以来の資本収益性重視の潮流がこれを後押しする。完成された Moat だけを見ると，この変化の途上にある企業を取りこぼす。</w:t>
      </w:r>
    </w:p>
    <w:p>
      <w:pPr>
        <w:spacing w:before="0" w:after="100" w:line="324" w:lineRule="auto"/>
      </w:pPr>
      <w:r>
        <w:rPr>
          <w:rFonts w:ascii="Times New Roman" w:hAnsi="Times New Roman" w:eastAsia="ＭＳ 明朝"/>
          <w:b w:val="0"/>
          <w:sz w:val="19"/>
        </w:rPr>
        <w:t>第二に，AI・半導体・データセンター・光通信・電力・自動化・セキュリティといった産業構造の転換により，新たな競争優位が形成されつつある（＝Moat が生まれる）。無形資産が企業価値の中心になりつつある一方で会計はそれを十分に捉えられていない（Lev and Gu, 2016；Peters and Taylor, 2017）。しかしこれを単純な「AI テーマ株買い」で捉えると，キーワードだけで実体を伴わない銘柄を掴むリスクがある。</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3．投資テーマ決定 ― 守・破・離による三世代の Moat</w:t>
      </w:r>
    </w:p>
    <w:p>
      <w:pPr>
        <w:spacing w:before="0" w:after="100" w:line="324" w:lineRule="auto"/>
      </w:pPr>
      <w:r>
        <w:rPr>
          <w:rFonts w:ascii="Times New Roman" w:hAnsi="Times New Roman" w:eastAsia="ＭＳ 明朝"/>
          <w:b w:val="0"/>
          <w:sz w:val="19"/>
        </w:rPr>
        <w:t>以上を踏まえ，私たちは Moat を時間軸で三世代に拡張し，剣道等の修養段階になぞらえた「守・破・離」の三段階スクリーニングで選定する。</w:t>
      </w:r>
    </w:p>
    <w:p>
      <w:pPr>
        <w:spacing w:before="0" w:after="100" w:line="324" w:lineRule="auto"/>
      </w:pPr>
      <w:r>
        <w:rPr>
          <w:rFonts w:ascii="Times New Roman" w:hAnsi="Times New Roman" w:eastAsia="ＭＳ 明朝"/>
          <w:b w:val="0"/>
          <w:sz w:val="19"/>
        </w:rPr>
        <w:t>・守：先行研究の式を一切変えず，完成された Moat を段階的スクリーニングで抽出する。</w:t>
      </w:r>
    </w:p>
    <w:p>
      <w:pPr>
        <w:spacing w:before="0" w:after="100" w:line="324" w:lineRule="auto"/>
      </w:pPr>
      <w:r>
        <w:rPr>
          <w:rFonts w:ascii="Times New Roman" w:hAnsi="Times New Roman" w:eastAsia="ＭＳ 明朝"/>
          <w:b w:val="0"/>
          <w:sz w:val="19"/>
        </w:rPr>
        <w:t>・破：式は変えず，閾値・分位・通過条件・候補数という「式の使い方」を最適化し，候補宇宙を広げる。</w:t>
      </w:r>
    </w:p>
    <w:p>
      <w:pPr>
        <w:spacing w:before="0" w:after="100" w:line="324" w:lineRule="auto"/>
      </w:pPr>
      <w:r>
        <w:rPr>
          <w:rFonts w:ascii="Times New Roman" w:hAnsi="Times New Roman" w:eastAsia="ＭＳ 明朝"/>
          <w:b w:val="0"/>
          <w:sz w:val="19"/>
        </w:rPr>
        <w:t>・離：候補宇宙から，変わる Moat・生まれる Moat を測定し，三世代からなる 20 社を構築する。</w:t>
      </w:r>
    </w:p>
    <w:p>
      <w:pPr>
        <w:spacing w:before="0" w:after="100" w:line="324" w:lineRule="auto"/>
      </w:pPr>
      <w:r>
        <w:rPr>
          <w:rFonts w:ascii="Times New Roman" w:hAnsi="Times New Roman" w:eastAsia="ＭＳ 明朝"/>
          <w:b w:val="0"/>
          <w:sz w:val="19"/>
        </w:rPr>
        <w:t>本レポートの独自性は「新しい万能スコアの発明」ではなく，意味の確立した既存の財務・会計指標を Moat の時間軸という枠組みへ再構成した点にある（図表 I-1）。守・破・離の役割は図表 II-0 に示す。</w:t>
      </w:r>
    </w:p>
    <w:p>
      <w:pPr>
        <w:keepNext/>
        <w:keepLines/>
        <w:spacing w:before="120"/>
        <w:jc w:val="center"/>
      </w:pPr>
      <w:r>
        <w:drawing>
          <wp:inline xmlns:a="http://schemas.openxmlformats.org/drawingml/2006/main" xmlns:pic="http://schemas.openxmlformats.org/drawingml/2006/picture">
            <wp:extent cx="5760000" cy="2032941"/>
            <wp:docPr id="2" name="Picture 2"/>
            <wp:cNvGraphicFramePr>
              <a:graphicFrameLocks noChangeAspect="1"/>
            </wp:cNvGraphicFramePr>
            <a:graphic>
              <a:graphicData uri="http://schemas.openxmlformats.org/drawingml/2006/picture">
                <pic:pic>
                  <pic:nvPicPr>
                    <pic:cNvPr id="0" name="shu_ha_ri.png"/>
                    <pic:cNvPicPr/>
                  </pic:nvPicPr>
                  <pic:blipFill>
                    <a:blip r:embed="rId10"/>
                    <a:stretch>
                      <a:fillRect/>
                    </a:stretch>
                  </pic:blipFill>
                  <pic:spPr>
                    <a:xfrm>
                      <a:off x="0" y="0"/>
                      <a:ext cx="5760000" cy="2032941"/>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II-0　守・破・離の役割</w:t>
      </w:r>
    </w:p>
    <w:p>
      <w:pPr>
        <w:spacing w:before="0" w:after="120"/>
        <w:jc w:val="center"/>
      </w:pPr>
      <w:r>
        <w:rPr>
          <w:rFonts w:ascii="Times New Roman" w:hAnsi="Times New Roman" w:eastAsia="ＭＳ 明朝"/>
          <w:b w:val="0"/>
          <w:sz w:val="16"/>
        </w:rPr>
        <w:t>注：完成（守）→拡張（破）→時間軸（離）。</w:t>
      </w: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Ⅱ．スクリーニング</w:t>
      </w:r>
    </w:p>
    <w:p>
      <w:pPr>
        <w:spacing w:before="0" w:after="100" w:line="324" w:lineRule="auto"/>
      </w:pPr>
      <w:r>
        <w:rPr>
          <w:rFonts w:ascii="Times New Roman" w:hAnsi="Times New Roman" w:eastAsia="ＭＳ 明朝"/>
          <w:b w:val="0"/>
          <w:sz w:val="19"/>
        </w:rPr>
        <w:t>本章は本レポートの中核である。守（第1スクリーニング）→破（第2）→離（第3）の順に，完成・変化・新生の三世代の Moat を選定し，最後にスクリーニングの頑健性をアブレーションで検証する。全体像を図表 II-1 に示す。</w:t>
      </w:r>
    </w:p>
    <w:p>
      <w:pPr>
        <w:keepNext/>
        <w:keepLines/>
        <w:spacing w:before="120"/>
        <w:jc w:val="center"/>
      </w:pPr>
      <w:r>
        <w:drawing>
          <wp:inline xmlns:a="http://schemas.openxmlformats.org/drawingml/2006/main" xmlns:pic="http://schemas.openxmlformats.org/drawingml/2006/picture">
            <wp:extent cx="5760000" cy="3299292"/>
            <wp:docPr id="3" name="Picture 3"/>
            <wp:cNvGraphicFramePr>
              <a:graphicFrameLocks noChangeAspect="1"/>
            </wp:cNvGraphicFramePr>
            <a:graphic>
              <a:graphicData uri="http://schemas.openxmlformats.org/drawingml/2006/picture">
                <pic:pic>
                  <pic:nvPicPr>
                    <pic:cNvPr id="0" name="screening_funnel.png"/>
                    <pic:cNvPicPr/>
                  </pic:nvPicPr>
                  <pic:blipFill>
                    <a:blip r:embed="rId11"/>
                    <a:stretch>
                      <a:fillRect/>
                    </a:stretch>
                  </pic:blipFill>
                  <pic:spPr>
                    <a:xfrm>
                      <a:off x="0" y="0"/>
                      <a:ext cx="5760000" cy="3299292"/>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II-1　スクリーニングの全体像</w:t>
      </w:r>
    </w:p>
    <w:p>
      <w:pPr>
        <w:spacing w:before="0" w:after="120"/>
        <w:jc w:val="center"/>
      </w:pPr>
      <w:r>
        <w:rPr>
          <w:rFonts w:ascii="Times New Roman" w:hAnsi="Times New Roman" w:eastAsia="ＭＳ 明朝"/>
          <w:b w:val="0"/>
          <w:sz w:val="16"/>
        </w:rPr>
        <w:t>注：非金融3,099社→守Top5固定／破Top1200候補宇宙→離Final20。code照合は normalize_code で統一。</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第1スクリーニング：守 ― 完成された Moat</w:t>
      </w:r>
    </w:p>
    <w:p>
      <w:pPr>
        <w:spacing w:before="0" w:after="100" w:line="324" w:lineRule="auto"/>
      </w:pPr>
      <w:r>
        <w:rPr>
          <w:rFonts w:ascii="Times New Roman" w:hAnsi="Times New Roman" w:eastAsia="ＭＳ 明朝"/>
          <w:b w:val="0"/>
          <w:sz w:val="19"/>
        </w:rPr>
        <w:t>守では，バフェット型投資の規律を公刊された先行研究の式のみで再現する。独自の重み付き合成スコアは用いず，段階的スクリーニングとして運用する。</w:t>
      </w:r>
    </w:p>
    <w:p>
      <w:pPr>
        <w:keepNext/>
        <w:keepLines/>
        <w:spacing w:before="120" w:after="40"/>
        <w:pBdr>
          <w:bottom w:val="dashed" w:sz="12" w:space="3" w:color="2F6D5F"/>
        </w:pBdr>
      </w:pPr>
      <w:r>
        <w:rPr>
          <w:rFonts w:ascii="ＭＳ ゴシック" w:hAnsi="ＭＳ ゴシック" w:eastAsia="ＭＳ ゴシック"/>
          <w:b/>
          <w:color w:val="2F6D5F"/>
          <w:sz w:val="21"/>
        </w:rPr>
        <w:t>1-1．使用指標</w:t>
      </w:r>
    </w:p>
    <w:p>
      <w:pPr>
        <w:spacing w:before="0" w:after="100" w:line="324" w:lineRule="auto"/>
      </w:pPr>
      <w:r>
        <w:rPr>
          <w:rFonts w:ascii="Times New Roman" w:hAnsi="Times New Roman" w:eastAsia="ＭＳ 明朝"/>
          <w:b w:val="0"/>
          <w:sz w:val="19"/>
        </w:rPr>
        <w:t>Value は簿価時価比率（式1）と益回り（式2），Quality は Gross Profitability（式3），財務健全性は Piotroski の available signal ratio（式4），利益の質は Sloan のアクルーアル（式5），流動性は 60 日平均売買代金（式6）で測る。破綻回避は Ohlson・Altman の原式が入力制約で実装不能なため，債務超過・連続損失・営業CF赤字による簡易ガードレールで代替する。</w:t>
      </w:r>
    </w:p>
    <w:p>
      <w:pPr>
        <w:keepNext/>
        <w:keepLines/>
        <w:spacing w:before="120" w:after="0"/>
        <w:shd w:val="clear" w:color="auto" w:fill="2F6D5F"/>
      </w:pPr>
      <w:r>
        <w:rPr>
          <w:rFonts w:ascii="ＭＳ ゴシック" w:hAnsi="ＭＳ ゴシック" w:eastAsia="ＭＳ ゴシック"/>
          <w:b/>
          <w:color w:val="FFFFFF"/>
          <w:sz w:val="19"/>
        </w:rPr>
        <w:t xml:space="preserve">　簿価時価比率 B/M（Fama and French, 1993）</w:t>
      </w:r>
    </w:p>
    <w:p>
      <w:pPr>
        <w:keepNext/>
        <w:spacing w:before="60" w:after="60"/>
        <w:jc w:val="center"/>
      </w:pPr>
      <w:r>
        <w:drawing>
          <wp:inline xmlns:a="http://schemas.openxmlformats.org/drawingml/2006/main" xmlns:pic="http://schemas.openxmlformats.org/drawingml/2006/picture">
            <wp:extent cx="1126374" cy="494607"/>
            <wp:docPr id="4" name="Picture 4"/>
            <wp:cNvGraphicFramePr>
              <a:graphicFrameLocks noChangeAspect="1"/>
            </wp:cNvGraphicFramePr>
            <a:graphic>
              <a:graphicData uri="http://schemas.openxmlformats.org/drawingml/2006/picture">
                <pic:pic>
                  <pic:nvPicPr>
                    <pic:cNvPr id="0" name="eq_1.png"/>
                    <pic:cNvPicPr/>
                  </pic:nvPicPr>
                  <pic:blipFill>
                    <a:blip r:embed="rId12"/>
                    <a:stretch>
                      <a:fillRect/>
                    </a:stretch>
                  </pic:blipFill>
                  <pic:spPr>
                    <a:xfrm>
                      <a:off x="0" y="0"/>
                      <a:ext cx="1126374" cy="494607"/>
                    </a:xfrm>
                    <a:prstGeom prst="rect"/>
                  </pic:spPr>
                </pic:pic>
              </a:graphicData>
            </a:graphic>
          </wp:inline>
        </w:drawing>
      </w:r>
    </w:p>
    <w:p>
      <w:pPr>
        <w:keepNext/>
        <w:keepLines/>
        <w:spacing w:before="0" w:after="20"/>
      </w:pPr>
      <w:r>
        <w:rPr>
          <w:rFonts w:ascii="Times New Roman" w:hAnsi="Times New Roman" w:eastAsia="ＭＳ 明朝"/>
          <w:b w:val="0"/>
          <w:sz w:val="16"/>
        </w:rPr>
        <w:t>BE_i：自己資本（簿価），ME_i：時価総額。値が大きいほど割安（Value）を示す。</w:t>
      </w:r>
    </w:p>
    <w:p>
      <w:pPr>
        <w:spacing w:before="20" w:after="120"/>
        <w:jc w:val="center"/>
      </w:pPr>
      <w:r>
        <w:rPr>
          <w:rFonts w:ascii="ＭＳ ゴシック" w:hAnsi="ＭＳ ゴシック" w:eastAsia="ＭＳ ゴシック"/>
          <w:b/>
          <w:sz w:val="18"/>
        </w:rPr>
        <w:t>図表 II-2　簿価時価比率 B/M（Fama and French, 1993）</w:t>
      </w:r>
    </w:p>
    <w:p>
      <w:pPr>
        <w:keepNext/>
        <w:keepLines/>
        <w:spacing w:before="120" w:after="0"/>
        <w:shd w:val="clear" w:color="auto" w:fill="2F6D5F"/>
      </w:pPr>
      <w:r>
        <w:rPr>
          <w:rFonts w:ascii="ＭＳ ゴシック" w:hAnsi="ＭＳ ゴシック" w:eastAsia="ＭＳ ゴシック"/>
          <w:b/>
          <w:color w:val="FFFFFF"/>
          <w:sz w:val="19"/>
        </w:rPr>
        <w:t xml:space="preserve">　益回り E/P（Basu, 1977）</w:t>
      </w:r>
    </w:p>
    <w:p>
      <w:pPr>
        <w:keepNext/>
        <w:spacing w:before="60" w:after="60"/>
        <w:jc w:val="center"/>
      </w:pPr>
      <w:r>
        <w:drawing>
          <wp:inline xmlns:a="http://schemas.openxmlformats.org/drawingml/2006/main" xmlns:pic="http://schemas.openxmlformats.org/drawingml/2006/picture">
            <wp:extent cx="1068185" cy="494607"/>
            <wp:docPr id="5" name="Picture 5"/>
            <wp:cNvGraphicFramePr>
              <a:graphicFrameLocks noChangeAspect="1"/>
            </wp:cNvGraphicFramePr>
            <a:graphic>
              <a:graphicData uri="http://schemas.openxmlformats.org/drawingml/2006/picture">
                <pic:pic>
                  <pic:nvPicPr>
                    <pic:cNvPr id="0" name="eq_2.png"/>
                    <pic:cNvPicPr/>
                  </pic:nvPicPr>
                  <pic:blipFill>
                    <a:blip r:embed="rId13"/>
                    <a:stretch>
                      <a:fillRect/>
                    </a:stretch>
                  </pic:blipFill>
                  <pic:spPr>
                    <a:xfrm>
                      <a:off x="0" y="0"/>
                      <a:ext cx="1068185" cy="494607"/>
                    </a:xfrm>
                    <a:prstGeom prst="rect"/>
                  </pic:spPr>
                </pic:pic>
              </a:graphicData>
            </a:graphic>
          </wp:inline>
        </w:drawing>
      </w:r>
    </w:p>
    <w:p>
      <w:pPr>
        <w:keepNext/>
        <w:keepLines/>
        <w:spacing w:before="0" w:after="20"/>
      </w:pPr>
      <w:r>
        <w:rPr>
          <w:rFonts w:ascii="Times New Roman" w:hAnsi="Times New Roman" w:eastAsia="ＭＳ 明朝"/>
          <w:b w:val="0"/>
          <w:sz w:val="16"/>
        </w:rPr>
        <w:t>E_i：当期純利益。正で高いほど収益に対して割安。</w:t>
      </w:r>
    </w:p>
    <w:p>
      <w:pPr>
        <w:spacing w:before="20" w:after="120"/>
        <w:jc w:val="center"/>
      </w:pPr>
      <w:r>
        <w:rPr>
          <w:rFonts w:ascii="ＭＳ ゴシック" w:hAnsi="ＭＳ ゴシック" w:eastAsia="ＭＳ ゴシック"/>
          <w:b/>
          <w:sz w:val="18"/>
        </w:rPr>
        <w:t>図表 II-3　益回り E/P（Basu, 1977）</w:t>
      </w:r>
    </w:p>
    <w:p>
      <w:pPr>
        <w:keepNext/>
        <w:keepLines/>
        <w:spacing w:before="120" w:after="0"/>
        <w:shd w:val="clear" w:color="auto" w:fill="2F6D5F"/>
      </w:pPr>
      <w:r>
        <w:rPr>
          <w:rFonts w:ascii="ＭＳ ゴシック" w:hAnsi="ＭＳ ゴシック" w:eastAsia="ＭＳ ゴシック"/>
          <w:b/>
          <w:color w:val="FFFFFF"/>
          <w:sz w:val="19"/>
        </w:rPr>
        <w:t xml:space="preserve">　Gross Profitability（Novy-Marx, 2013）</w:t>
      </w:r>
    </w:p>
    <w:p>
      <w:pPr>
        <w:keepNext/>
        <w:spacing w:before="60" w:after="60"/>
        <w:jc w:val="center"/>
      </w:pPr>
      <w:r>
        <w:drawing>
          <wp:inline xmlns:a="http://schemas.openxmlformats.org/drawingml/2006/main" xmlns:pic="http://schemas.openxmlformats.org/drawingml/2006/picture">
            <wp:extent cx="2053243" cy="494607"/>
            <wp:docPr id="6" name="Picture 6"/>
            <wp:cNvGraphicFramePr>
              <a:graphicFrameLocks noChangeAspect="1"/>
            </wp:cNvGraphicFramePr>
            <a:graphic>
              <a:graphicData uri="http://schemas.openxmlformats.org/drawingml/2006/picture">
                <pic:pic>
                  <pic:nvPicPr>
                    <pic:cNvPr id="0" name="eq_3.png"/>
                    <pic:cNvPicPr/>
                  </pic:nvPicPr>
                  <pic:blipFill>
                    <a:blip r:embed="rId14"/>
                    <a:stretch>
                      <a:fillRect/>
                    </a:stretch>
                  </pic:blipFill>
                  <pic:spPr>
                    <a:xfrm>
                      <a:off x="0" y="0"/>
                      <a:ext cx="2053243" cy="494607"/>
                    </a:xfrm>
                    <a:prstGeom prst="rect"/>
                  </pic:spPr>
                </pic:pic>
              </a:graphicData>
            </a:graphic>
          </wp:inline>
        </w:drawing>
      </w:r>
    </w:p>
    <w:p>
      <w:pPr>
        <w:keepNext/>
        <w:keepLines/>
        <w:spacing w:before="0" w:after="20"/>
      </w:pPr>
      <w:r>
        <w:rPr>
          <w:rFonts w:ascii="Times New Roman" w:hAnsi="Times New Roman" w:eastAsia="ＭＳ 明朝"/>
          <w:b w:val="0"/>
          <w:sz w:val="16"/>
        </w:rPr>
        <w:t>売上総利益を総資産で除した，資産効率を伴う収益性（Quality）。</w:t>
      </w:r>
    </w:p>
    <w:p>
      <w:pPr>
        <w:spacing w:before="20" w:after="120"/>
        <w:jc w:val="center"/>
      </w:pPr>
      <w:r>
        <w:rPr>
          <w:rFonts w:ascii="ＭＳ ゴシック" w:hAnsi="ＭＳ ゴシック" w:eastAsia="ＭＳ ゴシック"/>
          <w:b/>
          <w:sz w:val="18"/>
        </w:rPr>
        <w:t>図表 II-4　Gross Profitability（Novy-Marx, 2013）</w:t>
      </w:r>
    </w:p>
    <w:p>
      <w:pPr>
        <w:keepNext/>
        <w:keepLines/>
        <w:spacing w:before="120" w:after="0"/>
        <w:shd w:val="clear" w:color="auto" w:fill="2F6D5F"/>
      </w:pPr>
      <w:r>
        <w:rPr>
          <w:rFonts w:ascii="ＭＳ ゴシック" w:hAnsi="ＭＳ ゴシック" w:eastAsia="ＭＳ ゴシック"/>
          <w:b/>
          <w:color w:val="FFFFFF"/>
          <w:sz w:val="19"/>
        </w:rPr>
        <w:t xml:space="preserve">　Piotroski available signal ratio（Piotroski, 2000）</w:t>
      </w:r>
    </w:p>
    <w:p>
      <w:pPr>
        <w:keepNext/>
        <w:spacing w:before="60" w:after="60"/>
        <w:jc w:val="center"/>
      </w:pPr>
      <w:r>
        <w:drawing>
          <wp:inline xmlns:a="http://schemas.openxmlformats.org/drawingml/2006/main" xmlns:pic="http://schemas.openxmlformats.org/drawingml/2006/picture">
            <wp:extent cx="2394065" cy="719050"/>
            <wp:docPr id="7" name="Picture 7"/>
            <wp:cNvGraphicFramePr>
              <a:graphicFrameLocks noChangeAspect="1"/>
            </wp:cNvGraphicFramePr>
            <a:graphic>
              <a:graphicData uri="http://schemas.openxmlformats.org/drawingml/2006/picture">
                <pic:pic>
                  <pic:nvPicPr>
                    <pic:cNvPr id="0" name="eq_4.png"/>
                    <pic:cNvPicPr/>
                  </pic:nvPicPr>
                  <pic:blipFill>
                    <a:blip r:embed="rId15"/>
                    <a:stretch>
                      <a:fillRect/>
                    </a:stretch>
                  </pic:blipFill>
                  <pic:spPr>
                    <a:xfrm>
                      <a:off x="0" y="0"/>
                      <a:ext cx="2394065" cy="719050"/>
                    </a:xfrm>
                    <a:prstGeom prst="rect"/>
                  </pic:spPr>
                </pic:pic>
              </a:graphicData>
            </a:graphic>
          </wp:inline>
        </w:drawing>
      </w:r>
    </w:p>
    <w:p>
      <w:pPr>
        <w:keepNext/>
        <w:keepLines/>
        <w:spacing w:before="0" w:after="20"/>
      </w:pPr>
      <w:r>
        <w:rPr>
          <w:rFonts w:ascii="Times New Roman" w:hAnsi="Times New Roman" w:eastAsia="ＭＳ 明朝"/>
          <w:b w:val="0"/>
          <w:sz w:val="16"/>
        </w:rPr>
        <w:t>S_i：企業 i で算出可能な Piotroski シグナル集合。9 シグナル中 6 シグナルの部分実装のため，算出可能シグナル中の合格比率で評価する。</w:t>
      </w:r>
    </w:p>
    <w:p>
      <w:pPr>
        <w:spacing w:before="20" w:after="120"/>
        <w:jc w:val="center"/>
      </w:pPr>
      <w:r>
        <w:rPr>
          <w:rFonts w:ascii="ＭＳ ゴシック" w:hAnsi="ＭＳ ゴシック" w:eastAsia="ＭＳ ゴシック"/>
          <w:b/>
          <w:sz w:val="18"/>
        </w:rPr>
        <w:t>図表 II-5　Piotroski available signal ratio（Piotroski, 2000）</w:t>
      </w:r>
    </w:p>
    <w:p>
      <w:pPr>
        <w:keepNext/>
        <w:keepLines/>
        <w:spacing w:before="120" w:after="0"/>
        <w:shd w:val="clear" w:color="auto" w:fill="2F6D5F"/>
      </w:pPr>
      <w:r>
        <w:rPr>
          <w:rFonts w:ascii="ＭＳ ゴシック" w:hAnsi="ＭＳ ゴシック" w:eastAsia="ＭＳ ゴシック"/>
          <w:b/>
          <w:color w:val="FFFFFF"/>
          <w:sz w:val="19"/>
        </w:rPr>
        <w:t xml:space="preserve">　Sloan Accruals（Sloan, 1996）</w:t>
      </w:r>
    </w:p>
    <w:p>
      <w:pPr>
        <w:keepNext/>
        <w:spacing w:before="60" w:after="60"/>
        <w:jc w:val="center"/>
      </w:pPr>
      <w:r>
        <w:drawing>
          <wp:inline xmlns:a="http://schemas.openxmlformats.org/drawingml/2006/main" xmlns:pic="http://schemas.openxmlformats.org/drawingml/2006/picture">
            <wp:extent cx="1774767" cy="494607"/>
            <wp:docPr id="8" name="Picture 8"/>
            <wp:cNvGraphicFramePr>
              <a:graphicFrameLocks noChangeAspect="1"/>
            </wp:cNvGraphicFramePr>
            <a:graphic>
              <a:graphicData uri="http://schemas.openxmlformats.org/drawingml/2006/picture">
                <pic:pic>
                  <pic:nvPicPr>
                    <pic:cNvPr id="0" name="eq_5.png"/>
                    <pic:cNvPicPr/>
                  </pic:nvPicPr>
                  <pic:blipFill>
                    <a:blip r:embed="rId16"/>
                    <a:stretch>
                      <a:fillRect/>
                    </a:stretch>
                  </pic:blipFill>
                  <pic:spPr>
                    <a:xfrm>
                      <a:off x="0" y="0"/>
                      <a:ext cx="1774767" cy="494607"/>
                    </a:xfrm>
                    <a:prstGeom prst="rect"/>
                  </pic:spPr>
                </pic:pic>
              </a:graphicData>
            </a:graphic>
          </wp:inline>
        </w:drawing>
      </w:r>
    </w:p>
    <w:p>
      <w:pPr>
        <w:keepNext/>
        <w:keepLines/>
        <w:spacing w:before="0" w:after="20"/>
      </w:pPr>
      <w:r>
        <w:rPr>
          <w:rFonts w:ascii="Times New Roman" w:hAnsi="Times New Roman" w:eastAsia="ＭＳ 明朝"/>
          <w:b w:val="0"/>
          <w:sz w:val="16"/>
        </w:rPr>
        <w:t>NI_i：当期純利益，CFO_i：営業キャッシュフロー。アクルーアルが大きいほど利益の質が低い。</w:t>
      </w:r>
    </w:p>
    <w:p>
      <w:pPr>
        <w:spacing w:before="20" w:after="120"/>
        <w:jc w:val="center"/>
      </w:pPr>
      <w:r>
        <w:rPr>
          <w:rFonts w:ascii="ＭＳ ゴシック" w:hAnsi="ＭＳ ゴシック" w:eastAsia="ＭＳ ゴシック"/>
          <w:b/>
          <w:sz w:val="18"/>
        </w:rPr>
        <w:t>図表 II-6　Sloan Accruals（Sloan, 1996）</w:t>
      </w:r>
    </w:p>
    <w:p>
      <w:pPr>
        <w:keepNext/>
        <w:keepLines/>
        <w:spacing w:before="120" w:after="0"/>
        <w:shd w:val="clear" w:color="auto" w:fill="2F6D5F"/>
      </w:pPr>
      <w:r>
        <w:rPr>
          <w:rFonts w:ascii="ＭＳ ゴシック" w:hAnsi="ＭＳ ゴシック" w:eastAsia="ＭＳ ゴシック"/>
          <w:b/>
          <w:color w:val="FFFFFF"/>
          <w:sz w:val="19"/>
        </w:rPr>
        <w:t xml:space="preserve">　60日平均売買代金（流動性）</w:t>
      </w:r>
    </w:p>
    <w:p>
      <w:pPr>
        <w:keepNext/>
        <w:spacing w:before="60" w:after="60"/>
        <w:jc w:val="center"/>
      </w:pPr>
      <w:r>
        <w:drawing>
          <wp:inline xmlns:a="http://schemas.openxmlformats.org/drawingml/2006/main" xmlns:pic="http://schemas.openxmlformats.org/drawingml/2006/picture">
            <wp:extent cx="2356658" cy="756458"/>
            <wp:docPr id="9" name="Picture 9"/>
            <wp:cNvGraphicFramePr>
              <a:graphicFrameLocks noChangeAspect="1"/>
            </wp:cNvGraphicFramePr>
            <a:graphic>
              <a:graphicData uri="http://schemas.openxmlformats.org/drawingml/2006/picture">
                <pic:pic>
                  <pic:nvPicPr>
                    <pic:cNvPr id="0" name="eq_6.png"/>
                    <pic:cNvPicPr/>
                  </pic:nvPicPr>
                  <pic:blipFill>
                    <a:blip r:embed="rId17"/>
                    <a:stretch>
                      <a:fillRect/>
                    </a:stretch>
                  </pic:blipFill>
                  <pic:spPr>
                    <a:xfrm>
                      <a:off x="0" y="0"/>
                      <a:ext cx="2356658" cy="756458"/>
                    </a:xfrm>
                    <a:prstGeom prst="rect"/>
                  </pic:spPr>
                </pic:pic>
              </a:graphicData>
            </a:graphic>
          </wp:inline>
        </w:drawing>
      </w:r>
    </w:p>
    <w:p>
      <w:pPr>
        <w:keepNext/>
        <w:keepLines/>
        <w:spacing w:before="0" w:after="20"/>
      </w:pPr>
      <w:r>
        <w:rPr>
          <w:rFonts w:ascii="Times New Roman" w:hAnsi="Times New Roman" w:eastAsia="ＭＳ 明朝"/>
          <w:b w:val="0"/>
          <w:sz w:val="16"/>
        </w:rPr>
        <w:t>P_i,d：d 日前の終値，V_i,d：出来高。実務上 1,000 万円以上を優先。</w:t>
      </w:r>
    </w:p>
    <w:p>
      <w:pPr>
        <w:spacing w:before="20" w:after="120"/>
        <w:jc w:val="center"/>
      </w:pPr>
      <w:r>
        <w:rPr>
          <w:rFonts w:ascii="ＭＳ ゴシック" w:hAnsi="ＭＳ ゴシック" w:eastAsia="ＭＳ ゴシック"/>
          <w:b/>
          <w:sz w:val="18"/>
        </w:rPr>
        <w:t>図表 II-7　60日平均売買代金（流動性）</w:t>
      </w:r>
    </w:p>
    <w:p>
      <w:pPr>
        <w:keepNext/>
        <w:keepLines/>
        <w:spacing w:before="120" w:after="40"/>
        <w:pBdr>
          <w:bottom w:val="dashed" w:sz="12" w:space="3" w:color="2F6D5F"/>
        </w:pBdr>
      </w:pPr>
      <w:r>
        <w:rPr>
          <w:rFonts w:ascii="ＭＳ ゴシック" w:hAnsi="ＭＳ ゴシック" w:eastAsia="ＭＳ ゴシック"/>
          <w:b/>
          <w:color w:val="2F6D5F"/>
          <w:sz w:val="21"/>
        </w:rPr>
        <w:t>1-2．段階的スクリーニング手順</w:t>
      </w:r>
    </w:p>
    <w:p>
      <w:pPr>
        <w:spacing w:before="0" w:after="100" w:line="324" w:lineRule="auto"/>
      </w:pPr>
      <w:r>
        <w:rPr>
          <w:rFonts w:ascii="Times New Roman" w:hAnsi="Times New Roman" w:eastAsia="ＭＳ 明朝"/>
          <w:b w:val="0"/>
          <w:sz w:val="19"/>
        </w:rPr>
        <w:t>算出可能な非金融普通株 3,099 社を起点に，B/M 上位 30%・正の E/P 上位 50%（2,740 社）→ GP 中央値以上（583 社）→ Piotroski available ratio 0.65 以上（146 社）→ 高アクルーアル除外（112 社）→ distress 除外（90 社）→ 流動性フィルタ（77 社）と段階的に絞る（図表 II-2b）。独自の重み付き合成スコアは用いず，通過 77 社から固定順序の逐次比較（GP → E/P → B/M → Piotroski → Sloan → 流動性 → 時価総額）で上位 5 社を選ぶ。GP の業種バイアスを考慮し，同一業種は原則 2 社までとした。</w:t>
      </w:r>
    </w:p>
    <w:p>
      <w:pPr>
        <w:keepNext/>
        <w:keepLines/>
        <w:spacing w:before="120"/>
        <w:jc w:val="center"/>
      </w:pPr>
      <w:r>
        <w:drawing>
          <wp:inline xmlns:a="http://schemas.openxmlformats.org/drawingml/2006/main" xmlns:pic="http://schemas.openxmlformats.org/drawingml/2006/picture">
            <wp:extent cx="5760000" cy="2213570"/>
            <wp:docPr id="10" name="Picture 10"/>
            <wp:cNvGraphicFramePr>
              <a:graphicFrameLocks noChangeAspect="1"/>
            </wp:cNvGraphicFramePr>
            <a:graphic>
              <a:graphicData uri="http://schemas.openxmlformats.org/drawingml/2006/picture">
                <pic:pic>
                  <pic:nvPicPr>
                    <pic:cNvPr id="0" name="phase1_flow.png"/>
                    <pic:cNvPicPr/>
                  </pic:nvPicPr>
                  <pic:blipFill>
                    <a:blip r:embed="rId18"/>
                    <a:stretch>
                      <a:fillRect/>
                    </a:stretch>
                  </pic:blipFill>
                  <pic:spPr>
                    <a:xfrm>
                      <a:off x="0" y="0"/>
                      <a:ext cx="5760000" cy="2213570"/>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II-2b　守：段階的スクリーニングの推移</w:t>
      </w:r>
    </w:p>
    <w:p>
      <w:pPr>
        <w:spacing w:before="0" w:after="120"/>
        <w:jc w:val="center"/>
      </w:pPr>
      <w:r>
        <w:rPr>
          <w:rFonts w:ascii="Times New Roman" w:hAnsi="Times New Roman" w:eastAsia="ＭＳ 明朝"/>
          <w:b w:val="0"/>
          <w:sz w:val="16"/>
        </w:rPr>
        <w:t>注：各段階の通過社数。3,099 社から Buffett Core Top5 まで絞り込む。</w:t>
      </w:r>
    </w:p>
    <w:p>
      <w:pPr>
        <w:keepNext/>
        <w:keepLines/>
        <w:spacing w:before="120" w:after="40"/>
        <w:pBdr>
          <w:bottom w:val="dashed" w:sz="12" w:space="3" w:color="2F6D5F"/>
        </w:pBdr>
      </w:pPr>
      <w:r>
        <w:rPr>
          <w:rFonts w:ascii="ＭＳ ゴシック" w:hAnsi="ＭＳ ゴシック" w:eastAsia="ＭＳ ゴシック"/>
          <w:b/>
          <w:color w:val="2F6D5F"/>
          <w:sz w:val="21"/>
        </w:rPr>
        <w:t>1-3．Buffett Core Top5</w:t>
      </w:r>
    </w:p>
    <w:p>
      <w:pPr>
        <w:spacing w:before="0" w:after="100" w:line="324" w:lineRule="auto"/>
      </w:pPr>
      <w:r>
        <w:rPr>
          <w:rFonts w:ascii="Times New Roman" w:hAnsi="Times New Roman" w:eastAsia="ＭＳ 明朝"/>
          <w:b w:val="0"/>
          <w:sz w:val="19"/>
        </w:rPr>
        <w:t>選定された 5 社（3539 JMホールディングス，4350 メディカルシステムネットワーク，6430 大黒電機，7803 ブシロード，9470 学研ホールディングス）は，いずれも Value（B/M 76〜80 パーセンタイル）と Quality（GP 71〜92 パーセンタイル）を同時に満たし，全ガードレールを通過した。この 5 社を最終 20 社の Buffett Core として固定し，以降のスクリーニングで入れ替えない。 守の限界は，Piotroski が 6/9 シグナルの部分実装であること，Ohlson・Altman 原式が未実装で簡易ガードレール代替であること，GP に業種バイアスが残ること，先行研究式は将来リターンを保証しないことである。</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第2スクリーニング：破 ― 候補宇宙の形成</w:t>
      </w:r>
    </w:p>
    <w:p>
      <w:pPr>
        <w:spacing w:before="0" w:after="100" w:line="324" w:lineRule="auto"/>
      </w:pPr>
      <w:r>
        <w:rPr>
          <w:rFonts w:ascii="Times New Roman" w:hAnsi="Times New Roman" w:eastAsia="ＭＳ 明朝"/>
          <w:b w:val="0"/>
          <w:sz w:val="19"/>
        </w:rPr>
        <w:t>守の段階的スクリーニングは規律が強い反面，通過が 77 社に絞られ，変わる Moat・生まれる Moat の候補を評価する余地が乏しい。破では，守の式そのものは一切変えずに，閾値・分位・通過条件・正規化方式・候補数という「式の使い方」を最適化し，候補宇宙を広げる。</w:t>
      </w:r>
    </w:p>
    <w:p>
      <w:pPr>
        <w:keepNext/>
        <w:keepLines/>
        <w:spacing w:before="120" w:after="40"/>
        <w:pBdr>
          <w:bottom w:val="dashed" w:sz="12" w:space="3" w:color="2F6D5F"/>
        </w:pBdr>
      </w:pPr>
      <w:r>
        <w:rPr>
          <w:rFonts w:ascii="ＭＳ ゴシック" w:hAnsi="ＭＳ ゴシック" w:eastAsia="ＭＳ ゴシック"/>
          <w:b/>
          <w:color w:val="2F6D5F"/>
          <w:sz w:val="21"/>
        </w:rPr>
        <w:t>2-1．閾値・分位・通過条件の最適化</w:t>
      </w:r>
    </w:p>
    <w:p>
      <w:pPr>
        <w:spacing w:before="0" w:after="100" w:line="324" w:lineRule="auto"/>
      </w:pPr>
      <w:r>
        <w:rPr>
          <w:rFonts w:ascii="Times New Roman" w:hAnsi="Times New Roman" w:eastAsia="ＭＳ 明朝"/>
          <w:b w:val="0"/>
          <w:sz w:val="19"/>
        </w:rPr>
        <w:t>7 指標を市場パーセンタイルで正規化（式8）し，指標の重み・ペナルティ（異常値・欠損・超小型株・一時的利益）・候補数・業種調整・欠損処理を，ランダムサーチにより比較した（Bergstra and Bengio, 2012）。採用解は正規化＝市場パーセンタイル，欠損処理＝コア指標欠損時除外，業種調整＝不採用である。正規化の頑健性は，市場・業種・ロバスト z・ウィンザライズ z の 4 方式で共通上位に残るかを示すコンセンサスタグ（式9，core 970 社・robust 1,135 社）で担保した。なお distress の重みは大きい（0.251）が，除去実験での目的関数低下はほぼゼロ（0.0017）である。これは distress が事前のハード除外で適用済みであり，通過母集団内では追加識別力が小さいためで，重みの大きさを予測力と解釈してはならない。</w:t>
      </w:r>
    </w:p>
    <w:p>
      <w:pPr>
        <w:keepNext/>
        <w:keepLines/>
        <w:spacing w:before="120" w:after="0"/>
        <w:shd w:val="clear" w:color="auto" w:fill="2F6D5F"/>
      </w:pPr>
      <w:r>
        <w:rPr>
          <w:rFonts w:ascii="ＭＳ ゴシック" w:hAnsi="ＭＳ ゴシック" w:eastAsia="ＭＳ ゴシック"/>
          <w:b/>
          <w:color w:val="FFFFFF"/>
          <w:sz w:val="19"/>
        </w:rPr>
        <w:t xml:space="preserve">　市場パーセンタイル正規化</w:t>
      </w:r>
    </w:p>
    <w:p>
      <w:pPr>
        <w:keepNext/>
        <w:spacing w:before="60" w:after="60"/>
        <w:jc w:val="center"/>
      </w:pPr>
      <w:r>
        <w:drawing>
          <wp:inline xmlns:a="http://schemas.openxmlformats.org/drawingml/2006/main" xmlns:pic="http://schemas.openxmlformats.org/drawingml/2006/picture">
            <wp:extent cx="1529541" cy="523701"/>
            <wp:docPr id="11" name="Picture 11"/>
            <wp:cNvGraphicFramePr>
              <a:graphicFrameLocks noChangeAspect="1"/>
            </wp:cNvGraphicFramePr>
            <a:graphic>
              <a:graphicData uri="http://schemas.openxmlformats.org/drawingml/2006/picture">
                <pic:pic>
                  <pic:nvPicPr>
                    <pic:cNvPr id="0" name="eq_7.png"/>
                    <pic:cNvPicPr/>
                  </pic:nvPicPr>
                  <pic:blipFill>
                    <a:blip r:embed="rId19"/>
                    <a:stretch>
                      <a:fillRect/>
                    </a:stretch>
                  </pic:blipFill>
                  <pic:spPr>
                    <a:xfrm>
                      <a:off x="0" y="0"/>
                      <a:ext cx="1529541" cy="523701"/>
                    </a:xfrm>
                    <a:prstGeom prst="rect"/>
                  </pic:spPr>
                </pic:pic>
              </a:graphicData>
            </a:graphic>
          </wp:inline>
        </w:drawing>
      </w:r>
    </w:p>
    <w:p>
      <w:pPr>
        <w:keepNext/>
        <w:keepLines/>
        <w:spacing w:before="0" w:after="20"/>
      </w:pPr>
      <w:r>
        <w:rPr>
          <w:rFonts w:ascii="Times New Roman" w:hAnsi="Times New Roman" w:eastAsia="ＭＳ 明朝"/>
          <w:b w:val="0"/>
          <w:sz w:val="16"/>
        </w:rPr>
        <w:t>x_i,k（指標 k の生値）を母集団 Ω 内の順位 rank に写し、母集団サイズ N_Ω で割って [0,1] に正規化する。守の式（1）〜（6）は変えず、値の使い方（閾値・分位）だけを最適化する。</w:t>
      </w:r>
    </w:p>
    <w:p>
      <w:pPr>
        <w:spacing w:before="20" w:after="120"/>
        <w:jc w:val="center"/>
      </w:pPr>
      <w:r>
        <w:rPr>
          <w:rFonts w:ascii="ＭＳ ゴシック" w:hAnsi="ＭＳ ゴシック" w:eastAsia="ＭＳ ゴシック"/>
          <w:b/>
          <w:sz w:val="18"/>
        </w:rPr>
        <w:t>図表 II-8　市場パーセンタイル正規化</w:t>
      </w:r>
    </w:p>
    <w:p>
      <w:pPr>
        <w:keepNext/>
        <w:keepLines/>
        <w:spacing w:before="120" w:after="0"/>
        <w:shd w:val="clear" w:color="auto" w:fill="2F6D5F"/>
      </w:pPr>
      <w:r>
        <w:rPr>
          <w:rFonts w:ascii="ＭＳ ゴシック" w:hAnsi="ＭＳ ゴシック" w:eastAsia="ＭＳ ゴシック"/>
          <w:b/>
          <w:color w:val="FFFFFF"/>
          <w:sz w:val="19"/>
        </w:rPr>
        <w:t xml:space="preserve">　正規化コンセンサスタグ</w:t>
      </w:r>
    </w:p>
    <w:p>
      <w:pPr>
        <w:keepNext/>
        <w:spacing w:before="60" w:after="60"/>
        <w:jc w:val="center"/>
      </w:pPr>
      <w:r>
        <w:drawing>
          <wp:inline xmlns:a="http://schemas.openxmlformats.org/drawingml/2006/main" xmlns:pic="http://schemas.openxmlformats.org/drawingml/2006/picture">
            <wp:extent cx="3233650" cy="623454"/>
            <wp:docPr id="12" name="Picture 12"/>
            <wp:cNvGraphicFramePr>
              <a:graphicFrameLocks noChangeAspect="1"/>
            </wp:cNvGraphicFramePr>
            <a:graphic>
              <a:graphicData uri="http://schemas.openxmlformats.org/drawingml/2006/picture">
                <pic:pic>
                  <pic:nvPicPr>
                    <pic:cNvPr id="0" name="eq_8.png"/>
                    <pic:cNvPicPr/>
                  </pic:nvPicPr>
                  <pic:blipFill>
                    <a:blip r:embed="rId20"/>
                    <a:stretch>
                      <a:fillRect/>
                    </a:stretch>
                  </pic:blipFill>
                  <pic:spPr>
                    <a:xfrm>
                      <a:off x="0" y="0"/>
                      <a:ext cx="3233650" cy="623454"/>
                    </a:xfrm>
                    <a:prstGeom prst="rect"/>
                  </pic:spPr>
                </pic:pic>
              </a:graphicData>
            </a:graphic>
          </wp:inline>
        </w:drawing>
      </w:r>
    </w:p>
    <w:p>
      <w:pPr>
        <w:keepNext/>
        <w:keepLines/>
        <w:spacing w:before="0" w:after="20"/>
      </w:pPr>
      <w:r>
        <w:rPr>
          <w:rFonts w:ascii="Times New Roman" w:hAnsi="Times New Roman" w:eastAsia="ＭＳ 明朝"/>
          <w:b w:val="0"/>
          <w:sz w:val="16"/>
        </w:rPr>
        <w:t>M ＝｛市場, 業種, ロバスト z, ウィンザライズ z｝の 4 正規化方式。4 方式で共通して上位 N に入るほど頑健。core（全方式一致）970 社、robust 1,135 社。</w:t>
      </w:r>
    </w:p>
    <w:p>
      <w:pPr>
        <w:spacing w:before="20" w:after="120"/>
        <w:jc w:val="center"/>
      </w:pPr>
      <w:r>
        <w:rPr>
          <w:rFonts w:ascii="ＭＳ ゴシック" w:hAnsi="ＭＳ ゴシック" w:eastAsia="ＭＳ ゴシック"/>
          <w:b/>
          <w:sz w:val="18"/>
        </w:rPr>
        <w:t>図表 II-9　正規化コンセンサスタグ</w:t>
      </w:r>
    </w:p>
    <w:p>
      <w:pPr>
        <w:keepNext/>
        <w:keepLines/>
        <w:spacing w:before="120" w:after="40"/>
        <w:pBdr>
          <w:bottom w:val="dashed" w:sz="12" w:space="3" w:color="2F6D5F"/>
        </w:pBdr>
      </w:pPr>
      <w:r>
        <w:rPr>
          <w:rFonts w:ascii="ＭＳ ゴシック" w:hAnsi="ＭＳ ゴシック" w:eastAsia="ＭＳ ゴシック"/>
          <w:b/>
          <w:color w:val="2F6D5F"/>
          <w:sz w:val="21"/>
        </w:rPr>
        <w:t>2-2．Top1200 候補宇宙</w:t>
      </w:r>
    </w:p>
    <w:p>
      <w:pPr>
        <w:spacing w:before="0" w:after="100" w:line="324" w:lineRule="auto"/>
      </w:pPr>
      <w:r>
        <w:rPr>
          <w:rFonts w:ascii="Times New Roman" w:hAnsi="Times New Roman" w:eastAsia="ＭＳ 明朝"/>
          <w:b w:val="0"/>
          <w:sz w:val="19"/>
        </w:rPr>
        <w:t>正式母集団は Top1200（1,200 社）である。候補数を効用（広さ・品質・安全性・流動性・業種分散・解釈可能性・レビュー負荷）で比較すると，広さを報酬する効用関数では Top2000 が最良となるが，本研究の目的は候補数の最大化ではなく「レビュー可能な候補宇宙」の形成であるため，Top1200 を正式採用し Top2000 は取りこぼし確認用の参照群とした。Top100・Top300 は優先確認レイヤである。業種集中は HHI 0.0707・最大業種シェア 11.6% と分散し，守の Top5 は全て Top1200 に含まれる（図表 II-9b）。</w:t>
      </w:r>
    </w:p>
    <w:p>
      <w:pPr>
        <w:keepNext/>
        <w:keepLines/>
        <w:spacing w:before="120"/>
        <w:jc w:val="center"/>
      </w:pPr>
      <w:r>
        <w:drawing>
          <wp:inline xmlns:a="http://schemas.openxmlformats.org/drawingml/2006/main" xmlns:pic="http://schemas.openxmlformats.org/drawingml/2006/picture">
            <wp:extent cx="5760000" cy="2213570"/>
            <wp:docPr id="13" name="Picture 13"/>
            <wp:cNvGraphicFramePr>
              <a:graphicFrameLocks noChangeAspect="1"/>
            </wp:cNvGraphicFramePr>
            <a:graphic>
              <a:graphicData uri="http://schemas.openxmlformats.org/drawingml/2006/picture">
                <pic:pic>
                  <pic:nvPicPr>
                    <pic:cNvPr id="0" name="phase2_flow.png"/>
                    <pic:cNvPicPr/>
                  </pic:nvPicPr>
                  <pic:blipFill>
                    <a:blip r:embed="rId21"/>
                    <a:stretch>
                      <a:fillRect/>
                    </a:stretch>
                  </pic:blipFill>
                  <pic:spPr>
                    <a:xfrm>
                      <a:off x="0" y="0"/>
                      <a:ext cx="5760000" cy="2213570"/>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II-9b　破：候補宇宙の形成</w:t>
      </w:r>
    </w:p>
    <w:p>
      <w:pPr>
        <w:spacing w:before="0" w:after="120"/>
        <w:jc w:val="center"/>
      </w:pPr>
      <w:r>
        <w:rPr>
          <w:rFonts w:ascii="Times New Roman" w:hAnsi="Times New Roman" w:eastAsia="ＭＳ 明朝"/>
          <w:b w:val="0"/>
          <w:sz w:val="16"/>
        </w:rPr>
        <w:t>注：式は不変のまま使い方を最適化し、入れ子の母集団から Top1200 を正式採用（Top2000 は参照群）。</w:t>
      </w:r>
    </w:p>
    <w:p>
      <w:pPr>
        <w:keepNext/>
        <w:keepLines/>
        <w:spacing w:before="120" w:after="40"/>
        <w:pBdr>
          <w:bottom w:val="dashed" w:sz="12" w:space="3" w:color="2F6D5F"/>
        </w:pBdr>
      </w:pPr>
      <w:r>
        <w:rPr>
          <w:rFonts w:ascii="ＭＳ ゴシック" w:hAnsi="ＭＳ ゴシック" w:eastAsia="ＭＳ ゴシック"/>
          <w:b/>
          <w:color w:val="2F6D5F"/>
          <w:sz w:val="21"/>
        </w:rPr>
        <w:t>2-3．離への接続</w:t>
      </w:r>
    </w:p>
    <w:p>
      <w:pPr>
        <w:spacing w:before="0" w:after="100" w:line="324" w:lineRule="auto"/>
      </w:pPr>
      <w:r>
        <w:rPr>
          <w:rFonts w:ascii="Times New Roman" w:hAnsi="Times New Roman" w:eastAsia="ＭＳ 明朝"/>
          <w:b w:val="0"/>
          <w:sz w:val="19"/>
        </w:rPr>
        <w:t>破の探索的重み付きスコアは候補宇宙形成の道具であり，最終選定スコアとしては使用しない。離へは，候補 1,200 社とレビューフラグ（正規化の頑健性・外れ値感応性・GP 定義の検証状態）と信頼度情報を引き渡す。破の限界は，厳密な walk-forward 検証が年度数の制約で未完了（EDINET 提出日ベースの point-in-time パネルで時点外検証を代替）であり，将来リターンの予測力を主張しない点である（Bailey et al., 2014）。</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第3スクリーニング：離 ― Moat の時間軸拡張</w:t>
      </w:r>
    </w:p>
    <w:p>
      <w:pPr>
        <w:spacing w:before="0" w:after="100" w:line="324" w:lineRule="auto"/>
      </w:pPr>
      <w:r>
        <w:rPr>
          <w:rFonts w:ascii="Times New Roman" w:hAnsi="Times New Roman" w:eastAsia="ＭＳ 明朝"/>
          <w:b w:val="0"/>
          <w:sz w:val="19"/>
        </w:rPr>
        <w:t>守が抽出するのは「すでに完成された Moat」である。しかし Moat は静的ではない。離では，候補 1,200 社に対し，資本効率改革で変わる Moatと産業構造転換で生まれる Moatを測定し，完成・変化・新生の三世代からなる 20 社を構築する（図表 II-10）。</w:t>
      </w:r>
    </w:p>
    <w:p>
      <w:pPr>
        <w:keepNext/>
        <w:keepLines/>
        <w:spacing w:before="120"/>
        <w:jc w:val="center"/>
      </w:pPr>
      <w:r>
        <w:drawing>
          <wp:inline xmlns:a="http://schemas.openxmlformats.org/drawingml/2006/main" xmlns:pic="http://schemas.openxmlformats.org/drawingml/2006/picture">
            <wp:extent cx="5760000" cy="2048000"/>
            <wp:docPr id="14" name="Picture 14"/>
            <wp:cNvGraphicFramePr>
              <a:graphicFrameLocks noChangeAspect="1"/>
            </wp:cNvGraphicFramePr>
            <a:graphic>
              <a:graphicData uri="http://schemas.openxmlformats.org/drawingml/2006/picture">
                <pic:pic>
                  <pic:nvPicPr>
                    <pic:cNvPr id="0" name="moat_timeaxis.png"/>
                    <pic:cNvPicPr/>
                  </pic:nvPicPr>
                  <pic:blipFill>
                    <a:blip r:embed="rId22"/>
                    <a:stretch>
                      <a:fillRect/>
                    </a:stretch>
                  </pic:blipFill>
                  <pic:spPr>
                    <a:xfrm>
                      <a:off x="0" y="0"/>
                      <a:ext cx="5760000" cy="2048000"/>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II-10　Moat の時間軸拡張</w:t>
      </w:r>
    </w:p>
    <w:p>
      <w:pPr>
        <w:spacing w:before="0" w:after="120"/>
        <w:jc w:val="center"/>
      </w:pPr>
      <w:r>
        <w:rPr>
          <w:rFonts w:ascii="Times New Roman" w:hAnsi="Times New Roman" w:eastAsia="ＭＳ 明朝"/>
          <w:b w:val="0"/>
          <w:sz w:val="16"/>
        </w:rPr>
        <w:t>注：完成（守Top5）・変化（Transformation）・新生（Emerging）の三世代（＋Dual Moat・Bridge）。</w:t>
      </w:r>
    </w:p>
    <w:p>
      <w:pPr>
        <w:keepNext/>
        <w:keepLines/>
        <w:spacing w:before="120" w:after="40"/>
        <w:pBdr>
          <w:bottom w:val="dashed" w:sz="12" w:space="3" w:color="2F6D5F"/>
        </w:pBdr>
      </w:pPr>
      <w:r>
        <w:rPr>
          <w:rFonts w:ascii="ＭＳ ゴシック" w:hAnsi="ＭＳ ゴシック" w:eastAsia="ＭＳ ゴシック"/>
          <w:b/>
          <w:color w:val="2F6D5F"/>
          <w:sz w:val="21"/>
        </w:rPr>
        <w:t>3-1．変わる Moat（Transformation Moat）</w:t>
      </w:r>
    </w:p>
    <w:p>
      <w:pPr>
        <w:spacing w:before="0" w:after="100" w:line="324" w:lineRule="auto"/>
      </w:pPr>
      <w:r>
        <w:rPr>
          <w:rFonts w:ascii="Times New Roman" w:hAnsi="Times New Roman" w:eastAsia="ＭＳ 明朝"/>
          <w:b w:val="0"/>
          <w:sz w:val="19"/>
        </w:rPr>
        <w:t>Transformation Moat とは，現在の市場評価は低いが，資本効率改善・株主還元・事業改革・経営姿勢の変化により企業価値が再評価される可能性を指す。これは低 PBR 株の選定ではない。 評価ギャップ・資本効率改善・還元余力・実行信頼性・利益の質を式（10）（設計形）で合成し，バリュートラップ・ペナルティを控除する。評価ギャップが大きくても定量的改善証拠を欠く銘柄は low-PBR-only として除外した（15 社）。株主還元・改革開示の構造化データが入手できなかったため，設計完全形（式10）ではなく partial 形（式11）で運用し，スコア種別（partial 19 社・lite 1 社）として開示する。重みは事後リターン最適化ではなく概念上の設計係数であり，±20% の摂動でも選定が不変であることを感度分析で確認した（1,200 社順位の Spearman ρ は Transformation で最小 0.997・Emerging で最小 0.994）。</w:t>
      </w:r>
    </w:p>
    <w:p>
      <w:pPr>
        <w:keepNext/>
        <w:keepLines/>
        <w:spacing w:before="120" w:after="0"/>
        <w:shd w:val="clear" w:color="auto" w:fill="2F6D5F"/>
      </w:pPr>
      <w:r>
        <w:rPr>
          <w:rFonts w:ascii="ＭＳ ゴシック" w:hAnsi="ＭＳ ゴシック" w:eastAsia="ＭＳ ゴシック"/>
          <w:b/>
          <w:color w:val="FFFFFF"/>
          <w:sz w:val="19"/>
        </w:rPr>
        <w:t xml:space="preserve">　Transformation Moat Score（設計形）</w:t>
      </w:r>
    </w:p>
    <w:p>
      <w:pPr>
        <w:keepNext/>
        <w:spacing w:before="60" w:after="60"/>
        <w:jc w:val="center"/>
      </w:pPr>
      <w:r>
        <w:drawing>
          <wp:inline xmlns:a="http://schemas.openxmlformats.org/drawingml/2006/main" xmlns:pic="http://schemas.openxmlformats.org/drawingml/2006/picture">
            <wp:extent cx="5760000" cy="383751"/>
            <wp:docPr id="15" name="Picture 15"/>
            <wp:cNvGraphicFramePr>
              <a:graphicFrameLocks noChangeAspect="1"/>
            </wp:cNvGraphicFramePr>
            <a:graphic>
              <a:graphicData uri="http://schemas.openxmlformats.org/drawingml/2006/picture">
                <pic:pic>
                  <pic:nvPicPr>
                    <pic:cNvPr id="0" name="eq_9.png"/>
                    <pic:cNvPicPr/>
                  </pic:nvPicPr>
                  <pic:blipFill>
                    <a:blip r:embed="rId23"/>
                    <a:stretch>
                      <a:fillRect/>
                    </a:stretch>
                  </pic:blipFill>
                  <pic:spPr>
                    <a:xfrm>
                      <a:off x="0" y="0"/>
                      <a:ext cx="5760000" cy="383751"/>
                    </a:xfrm>
                    <a:prstGeom prst="rect"/>
                  </pic:spPr>
                </pic:pic>
              </a:graphicData>
            </a:graphic>
          </wp:inline>
        </w:drawing>
      </w:r>
    </w:p>
    <w:p>
      <w:pPr>
        <w:keepNext/>
        <w:keepLines/>
        <w:spacing w:before="0" w:after="20"/>
      </w:pPr>
      <w:r>
        <w:rPr>
          <w:rFonts w:ascii="Times New Roman" w:hAnsi="Times New Roman" w:eastAsia="ＭＳ 明朝"/>
          <w:b w:val="0"/>
          <w:sz w:val="16"/>
        </w:rPr>
        <w:t>V_i 評価ギャップ，C_i 資本効率改善，R_i 株主還元，E_i 改革開示，X_i 実行信頼性，Q_i 利益の質，P^Trap_i バリュートラップ罰。設計重み w_V0.20/w_C0.22/w_R0.16/w_E0.17/w_X0.13/w_Q0.12。</w:t>
      </w:r>
    </w:p>
    <w:p>
      <w:pPr>
        <w:spacing w:before="20" w:after="120"/>
        <w:jc w:val="center"/>
      </w:pPr>
      <w:r>
        <w:rPr>
          <w:rFonts w:ascii="ＭＳ ゴシック" w:hAnsi="ＭＳ ゴシック" w:eastAsia="ＭＳ ゴシック"/>
          <w:b/>
          <w:sz w:val="18"/>
        </w:rPr>
        <w:t>図表 II-11　Transformation Moat Score（設計形）</w:t>
      </w:r>
    </w:p>
    <w:p>
      <w:pPr>
        <w:keepNext/>
        <w:keepLines/>
        <w:spacing w:before="120" w:after="0"/>
        <w:shd w:val="clear" w:color="auto" w:fill="2F6D5F"/>
      </w:pPr>
      <w:r>
        <w:rPr>
          <w:rFonts w:ascii="ＭＳ ゴシック" w:hAnsi="ＭＳ ゴシック" w:eastAsia="ＭＳ ゴシック"/>
          <w:b/>
          <w:color w:val="FFFFFF"/>
          <w:sz w:val="19"/>
        </w:rPr>
        <w:t xml:space="preserve">　Transformation Moat Score（partial 実装形）</w:t>
      </w:r>
    </w:p>
    <w:p>
      <w:pPr>
        <w:keepNext/>
        <w:spacing w:before="60" w:after="60"/>
        <w:jc w:val="center"/>
      </w:pPr>
      <w:r>
        <w:drawing>
          <wp:inline xmlns:a="http://schemas.openxmlformats.org/drawingml/2006/main" xmlns:pic="http://schemas.openxmlformats.org/drawingml/2006/picture">
            <wp:extent cx="5760000" cy="343423"/>
            <wp:docPr id="16" name="Picture 16"/>
            <wp:cNvGraphicFramePr>
              <a:graphicFrameLocks noChangeAspect="1"/>
            </wp:cNvGraphicFramePr>
            <a:graphic>
              <a:graphicData uri="http://schemas.openxmlformats.org/drawingml/2006/picture">
                <pic:pic>
                  <pic:nvPicPr>
                    <pic:cNvPr id="0" name="eq_10.png"/>
                    <pic:cNvPicPr/>
                  </pic:nvPicPr>
                  <pic:blipFill>
                    <a:blip r:embed="rId24"/>
                    <a:stretch>
                      <a:fillRect/>
                    </a:stretch>
                  </pic:blipFill>
                  <pic:spPr>
                    <a:xfrm>
                      <a:off x="0" y="0"/>
                      <a:ext cx="5760000" cy="343423"/>
                    </a:xfrm>
                    <a:prstGeom prst="rect"/>
                  </pic:spPr>
                </pic:pic>
              </a:graphicData>
            </a:graphic>
          </wp:inline>
        </w:drawing>
      </w:r>
    </w:p>
    <w:p>
      <w:pPr>
        <w:keepNext/>
        <w:keepLines/>
        <w:spacing w:before="0" w:after="20"/>
      </w:pPr>
      <w:r>
        <w:rPr>
          <w:rFonts w:ascii="Times New Roman" w:hAnsi="Times New Roman" w:eastAsia="ＭＳ 明朝"/>
          <w:b w:val="0"/>
          <w:sz w:val="16"/>
        </w:rPr>
        <w:t>株主還元 R_i・改革開示 E_i の構造化データが入力に無いため，R_i を FCF プロキシ F_i（営業CF−CAPEX&gt;0 で還元余力）で代替，E_i を除外，Phase2 信頼度 Φ_i を加える。[0,100] にクリップ。full 形は構造的に到達不能。</w:t>
      </w:r>
    </w:p>
    <w:p>
      <w:pPr>
        <w:spacing w:before="20" w:after="120"/>
        <w:jc w:val="center"/>
      </w:pPr>
      <w:r>
        <w:rPr>
          <w:rFonts w:ascii="ＭＳ ゴシック" w:hAnsi="ＭＳ ゴシック" w:eastAsia="ＭＳ ゴシック"/>
          <w:b/>
          <w:sz w:val="18"/>
        </w:rPr>
        <w:t>図表 II-12　Transformation Moat Score（partial 実装形）</w:t>
      </w:r>
    </w:p>
    <w:p>
      <w:pPr>
        <w:keepNext/>
        <w:keepLines/>
        <w:spacing w:before="120" w:after="40"/>
        <w:pBdr>
          <w:bottom w:val="dashed" w:sz="12" w:space="3" w:color="2F6D5F"/>
        </w:pBdr>
      </w:pPr>
      <w:r>
        <w:rPr>
          <w:rFonts w:ascii="ＭＳ ゴシック" w:hAnsi="ＭＳ ゴシック" w:eastAsia="ＭＳ ゴシック"/>
          <w:b/>
          <w:color w:val="2F6D5F"/>
          <w:sz w:val="21"/>
        </w:rPr>
        <w:t>3-2．生まれる Moat（Emerging Moat）</w:t>
      </w:r>
    </w:p>
    <w:p>
      <w:pPr>
        <w:spacing w:before="0" w:after="100" w:line="324" w:lineRule="auto"/>
      </w:pPr>
      <w:r>
        <w:rPr>
          <w:rFonts w:ascii="Times New Roman" w:hAnsi="Times New Roman" w:eastAsia="ＭＳ 明朝"/>
          <w:b w:val="0"/>
          <w:sz w:val="19"/>
        </w:rPr>
        <w:t>Emerging Moat とは，AI・データセンター・半導体・電力・光通信・自動化・セキュリティ・業務データ・品質保証といった産業構造変化により新たに形成される競争優位を指す。これは AI テーマ株の選定ではない。 無形資産・イノベーション能力・ボトルネック性・AI 産業基盤接続・データ顧客基盤・信頼安全基盤の 6 要素を式（12）で合成する。証拠ボーナスは最大 +8 に抑え，キーワードのみの言及には 18 点のテーマ過熱ペナルティを課す。AI キーワードに触れるだけで具体的証拠を欠く 577 社はすべて除外・監査記録した。</w:t>
      </w:r>
    </w:p>
    <w:p>
      <w:pPr>
        <w:keepNext/>
        <w:keepLines/>
        <w:spacing w:before="120" w:after="0"/>
        <w:shd w:val="clear" w:color="auto" w:fill="2F6D5F"/>
      </w:pPr>
      <w:r>
        <w:rPr>
          <w:rFonts w:ascii="ＭＳ ゴシック" w:hAnsi="ＭＳ ゴシック" w:eastAsia="ＭＳ ゴシック"/>
          <w:b/>
          <w:color w:val="FFFFFF"/>
          <w:sz w:val="19"/>
        </w:rPr>
        <w:t xml:space="preserve">　Emerging Moat Score（Emerging 産業基盤マップ）</w:t>
      </w:r>
    </w:p>
    <w:p>
      <w:pPr>
        <w:keepNext/>
        <w:spacing w:before="60" w:after="60"/>
        <w:jc w:val="center"/>
      </w:pPr>
      <w:r>
        <w:drawing>
          <wp:inline xmlns:a="http://schemas.openxmlformats.org/drawingml/2006/main" xmlns:pic="http://schemas.openxmlformats.org/drawingml/2006/picture">
            <wp:extent cx="5760000" cy="289884"/>
            <wp:docPr id="17" name="Picture 17"/>
            <wp:cNvGraphicFramePr>
              <a:graphicFrameLocks noChangeAspect="1"/>
            </wp:cNvGraphicFramePr>
            <a:graphic>
              <a:graphicData uri="http://schemas.openxmlformats.org/drawingml/2006/picture">
                <pic:pic>
                  <pic:nvPicPr>
                    <pic:cNvPr id="0" name="eq_11.png"/>
                    <pic:cNvPicPr/>
                  </pic:nvPicPr>
                  <pic:blipFill>
                    <a:blip r:embed="rId25"/>
                    <a:stretch>
                      <a:fillRect/>
                    </a:stretch>
                  </pic:blipFill>
                  <pic:spPr>
                    <a:xfrm>
                      <a:off x="0" y="0"/>
                      <a:ext cx="5760000" cy="289884"/>
                    </a:xfrm>
                    <a:prstGeom prst="rect"/>
                  </pic:spPr>
                </pic:pic>
              </a:graphicData>
            </a:graphic>
          </wp:inline>
        </w:drawing>
      </w:r>
    </w:p>
    <w:p>
      <w:pPr>
        <w:keepNext/>
        <w:keepLines/>
        <w:spacing w:before="0" w:after="20"/>
      </w:pPr>
      <w:r>
        <w:rPr>
          <w:rFonts w:ascii="Times New Roman" w:hAnsi="Times New Roman" w:eastAsia="ＭＳ 明朝"/>
          <w:b w:val="0"/>
          <w:sz w:val="16"/>
        </w:rPr>
        <w:t>I_i 無形資産，N_i イノベーション，B_i ボトルネック性，A_i AI基盤接続，D_i データ顧客基盤，T_i 信頼安全基盤。重み w_I0.18/w_N0.15/w_B0.18/w_A0.22/w_D0.14/w_T0.13。B^Evidence≤8 証拠ボーナス，P^Hype キーワードのみ18点罰，P^Guard 財務ガード罰。</w:t>
      </w:r>
    </w:p>
    <w:p>
      <w:pPr>
        <w:spacing w:before="20" w:after="120"/>
        <w:jc w:val="center"/>
      </w:pPr>
      <w:r>
        <w:rPr>
          <w:rFonts w:ascii="ＭＳ ゴシック" w:hAnsi="ＭＳ ゴシック" w:eastAsia="ＭＳ ゴシック"/>
          <w:b/>
          <w:sz w:val="18"/>
        </w:rPr>
        <w:t>図表 II-13　Emerging Moat Score（Emerging 産業基盤マップ）</w:t>
      </w:r>
    </w:p>
    <w:p>
      <w:pPr>
        <w:keepNext/>
        <w:keepLines/>
        <w:spacing w:before="120" w:after="40"/>
        <w:pBdr>
          <w:bottom w:val="dashed" w:sz="12" w:space="3" w:color="2F6D5F"/>
        </w:pBdr>
      </w:pPr>
      <w:r>
        <w:rPr>
          <w:rFonts w:ascii="ＭＳ ゴシック" w:hAnsi="ＭＳ ゴシック" w:eastAsia="ＭＳ ゴシック"/>
          <w:b/>
          <w:color w:val="2F6D5F"/>
          <w:sz w:val="21"/>
        </w:rPr>
        <w:t>3-3．Evidence Level</w:t>
      </w:r>
    </w:p>
    <w:p>
      <w:pPr>
        <w:spacing w:before="0" w:after="100" w:line="324" w:lineRule="auto"/>
      </w:pPr>
      <w:r>
        <w:rPr>
          <w:rFonts w:ascii="Times New Roman" w:hAnsi="Times New Roman" w:eastAsia="ＭＳ 明朝"/>
          <w:b w:val="0"/>
          <w:sz w:val="19"/>
        </w:rPr>
        <w:t>証拠の強さはスコアと分離して 5 系統で管理する（式13）。Emerging 開示レベルは，キーワードのみ＝Level 1，製品・用途・顧客・投資計画の具体性＝Level 2，売上・受注・CAPEX 等の数量根拠＝Level 3 と定義する。Level 2 以上の 14 社は有価証券報告書・決算説明資料の個別確認によるもので，機械的スクリーニングでは Level 0〜1 までしか到達できない。この非対称性は過小評価リスクとして限界に記す。最終 Evidence Level は役割別に定義し，最終 20 社の分布は Level 3 が 15 社・Level 2 が 4 社・Level 1 が 1 社である。</w:t>
      </w:r>
    </w:p>
    <w:p>
      <w:pPr>
        <w:keepNext/>
        <w:keepLines/>
        <w:spacing w:before="120" w:after="0"/>
        <w:shd w:val="clear" w:color="auto" w:fill="2F6D5F"/>
      </w:pPr>
      <w:r>
        <w:rPr>
          <w:rFonts w:ascii="ＭＳ ゴシック" w:hAnsi="ＭＳ ゴシック" w:eastAsia="ＭＳ ゴシック"/>
          <w:b/>
          <w:color w:val="FFFFFF"/>
          <w:sz w:val="19"/>
        </w:rPr>
        <w:t xml:space="preserve">　最終 Evidence Level（役割別）</w:t>
      </w:r>
    </w:p>
    <w:p>
      <w:pPr>
        <w:keepNext/>
        <w:spacing w:before="60" w:after="60"/>
        <w:jc w:val="center"/>
      </w:pPr>
      <w:r>
        <w:drawing>
          <wp:inline xmlns:a="http://schemas.openxmlformats.org/drawingml/2006/main" xmlns:pic="http://schemas.openxmlformats.org/drawingml/2006/picture">
            <wp:extent cx="5760000" cy="1906974"/>
            <wp:docPr id="18" name="Picture 18"/>
            <wp:cNvGraphicFramePr>
              <a:graphicFrameLocks noChangeAspect="1"/>
            </wp:cNvGraphicFramePr>
            <a:graphic>
              <a:graphicData uri="http://schemas.openxmlformats.org/drawingml/2006/picture">
                <pic:pic>
                  <pic:nvPicPr>
                    <pic:cNvPr id="0" name="eq_12.png"/>
                    <pic:cNvPicPr/>
                  </pic:nvPicPr>
                  <pic:blipFill>
                    <a:blip r:embed="rId26"/>
                    <a:stretch>
                      <a:fillRect/>
                    </a:stretch>
                  </pic:blipFill>
                  <pic:spPr>
                    <a:xfrm>
                      <a:off x="0" y="0"/>
                      <a:ext cx="5760000" cy="1906974"/>
                    </a:xfrm>
                    <a:prstGeom prst="rect"/>
                  </pic:spPr>
                </pic:pic>
              </a:graphicData>
            </a:graphic>
          </wp:inline>
        </w:drawing>
      </w:r>
    </w:p>
    <w:p>
      <w:pPr>
        <w:keepNext/>
        <w:keepLines/>
        <w:spacing w:before="0" w:after="20"/>
      </w:pPr>
      <w:r>
        <w:rPr>
          <w:rFonts w:ascii="Times New Roman" w:hAnsi="Times New Roman" w:eastAsia="ＭＳ 明朝"/>
          <w:b w:val="0"/>
          <w:sz w:val="16"/>
        </w:rPr>
        <w:t>L^TQ 定量証拠，L^TS 株主還元証拠，L^TR 改革開示，L^EM Emerging 開示。Level1=キーワードのみ，2=製品/顧客/投資計画，3=売上/受注/CAPEX 等の数量根拠。</w:t>
      </w:r>
    </w:p>
    <w:p>
      <w:pPr>
        <w:spacing w:before="20" w:after="120"/>
        <w:jc w:val="center"/>
      </w:pPr>
      <w:r>
        <w:rPr>
          <w:rFonts w:ascii="ＭＳ ゴシック" w:hAnsi="ＭＳ ゴシック" w:eastAsia="ＭＳ ゴシック"/>
          <w:b/>
          <w:sz w:val="18"/>
        </w:rPr>
        <w:t>図表 II-14　最終 Evidence Level（役割別）</w:t>
      </w:r>
    </w:p>
    <w:p>
      <w:pPr>
        <w:keepNext/>
        <w:keepLines/>
        <w:spacing w:before="120" w:after="40"/>
        <w:pBdr>
          <w:bottom w:val="dashed" w:sz="12" w:space="3" w:color="2F6D5F"/>
        </w:pBdr>
      </w:pPr>
      <w:r>
        <w:rPr>
          <w:rFonts w:ascii="ＭＳ ゴシック" w:hAnsi="ＭＳ ゴシック" w:eastAsia="ＭＳ ゴシック"/>
          <w:b/>
          <w:color w:val="2F6D5F"/>
          <w:sz w:val="21"/>
        </w:rPr>
        <w:t>3-4．最終 20 社の役割設計</w:t>
      </w:r>
    </w:p>
    <w:p>
      <w:pPr>
        <w:spacing w:before="0" w:after="100" w:line="324" w:lineRule="auto"/>
      </w:pPr>
      <w:r>
        <w:rPr>
          <w:rFonts w:ascii="Times New Roman" w:hAnsi="Times New Roman" w:eastAsia="ＭＳ 明朝"/>
          <w:b w:val="0"/>
          <w:sz w:val="19"/>
        </w:rPr>
        <w:t>Buffett Core 5（守 Top5 固定）・Transformation Core 5・Emerging Core 5・Dual Moat 3（変わる・生まれるの両立，min 式判定）・Bridge / Diversifier 2 の 5 役割で構成する（図表 II-15）。同一業種は 3 社まで，同一テーマは 4 社までとし，テーマ非依存（non_ai）が 10 社と過半を占める。各社の採用は，役割・スコア・証拠・ガード通過を記録した監査証跡と，除外 862 社の理由別リスト（AI キーワードのみ 577・上位互換あり 221・distress/品質 32・バリュートラップ 17・低PBRのみ 15）で反証可能に文書化した。選定後にバックテスト成績による入れ替えは行っていない。</w:t>
      </w:r>
    </w:p>
    <w:p>
      <w:pPr>
        <w:keepNext/>
        <w:keepLines/>
        <w:spacing w:before="120"/>
        <w:jc w:val="center"/>
      </w:pPr>
      <w:r>
        <w:drawing>
          <wp:inline xmlns:a="http://schemas.openxmlformats.org/drawingml/2006/main" xmlns:pic="http://schemas.openxmlformats.org/drawingml/2006/picture">
            <wp:extent cx="5760000" cy="2335454"/>
            <wp:docPr id="19" name="Picture 19"/>
            <wp:cNvGraphicFramePr>
              <a:graphicFrameLocks noChangeAspect="1"/>
            </wp:cNvGraphicFramePr>
            <a:graphic>
              <a:graphicData uri="http://schemas.openxmlformats.org/drawingml/2006/picture">
                <pic:pic>
                  <pic:nvPicPr>
                    <pic:cNvPr id="0" name="phase3_flow.png"/>
                    <pic:cNvPicPr/>
                  </pic:nvPicPr>
                  <pic:blipFill>
                    <a:blip r:embed="rId27"/>
                    <a:stretch>
                      <a:fillRect/>
                    </a:stretch>
                  </pic:blipFill>
                  <pic:spPr>
                    <a:xfrm>
                      <a:off x="0" y="0"/>
                      <a:ext cx="5760000" cy="2335454"/>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II-14b　離：三世代 Moat の構築フロー</w:t>
      </w:r>
    </w:p>
    <w:p>
      <w:pPr>
        <w:spacing w:before="0" w:after="120"/>
        <w:jc w:val="center"/>
      </w:pPr>
      <w:r>
        <w:rPr>
          <w:rFonts w:ascii="Times New Roman" w:hAnsi="Times New Roman" w:eastAsia="ＭＳ 明朝"/>
          <w:b w:val="0"/>
          <w:sz w:val="16"/>
        </w:rPr>
        <w:t>注：変わる／生まれる Moat のスコアと Evidence Level から 5 役割へ、最終20社を構築する。</w:t>
      </w:r>
    </w:p>
    <w:p>
      <w:pPr>
        <w:keepNext/>
        <w:keepLines/>
        <w:spacing w:before="120"/>
        <w:jc w:val="center"/>
      </w:pPr>
      <w:r>
        <w:drawing>
          <wp:inline xmlns:a="http://schemas.openxmlformats.org/drawingml/2006/main" xmlns:pic="http://schemas.openxmlformats.org/drawingml/2006/picture">
            <wp:extent cx="5760000" cy="3154359"/>
            <wp:docPr id="20" name="Picture 20"/>
            <wp:cNvGraphicFramePr>
              <a:graphicFrameLocks noChangeAspect="1"/>
            </wp:cNvGraphicFramePr>
            <a:graphic>
              <a:graphicData uri="http://schemas.openxmlformats.org/drawingml/2006/picture">
                <pic:pic>
                  <pic:nvPicPr>
                    <pic:cNvPr id="0" name="role_matrix.png"/>
                    <pic:cNvPicPr/>
                  </pic:nvPicPr>
                  <pic:blipFill>
                    <a:blip r:embed="rId28"/>
                    <a:stretch>
                      <a:fillRect/>
                    </a:stretch>
                  </pic:blipFill>
                  <pic:spPr>
                    <a:xfrm>
                      <a:off x="0" y="0"/>
                      <a:ext cx="5760000" cy="3154359"/>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II-15　最終20社 役割マトリクス</w:t>
      </w:r>
    </w:p>
    <w:p>
      <w:pPr>
        <w:spacing w:before="0" w:after="120"/>
        <w:jc w:val="center"/>
      </w:pPr>
      <w:r>
        <w:rPr>
          <w:rFonts w:ascii="Times New Roman" w:hAnsi="Times New Roman" w:eastAsia="ＭＳ 明朝"/>
          <w:b w:val="0"/>
          <w:sz w:val="16"/>
        </w:rPr>
        <w:t>注：役割・業種・テーマ・Evidence Level・目標比率。データは allocation_final.csv。</w:t>
      </w:r>
    </w:p>
    <w:p>
      <w:pPr>
        <w:keepNext/>
        <w:keepLines/>
        <w:spacing w:before="120" w:after="40"/>
        <w:pBdr>
          <w:bottom w:val="dashed" w:sz="12" w:space="3" w:color="2F6D5F"/>
        </w:pBdr>
      </w:pPr>
      <w:r>
        <w:rPr>
          <w:rFonts w:ascii="ＭＳ ゴシック" w:hAnsi="ＭＳ ゴシック" w:eastAsia="ＭＳ ゴシック"/>
          <w:b/>
          <w:color w:val="2F6D5F"/>
          <w:sz w:val="21"/>
        </w:rPr>
        <w:t>3-5．スクリーニングの頑健性（アブレーション）</w:t>
      </w:r>
    </w:p>
    <w:p>
      <w:pPr>
        <w:spacing w:before="0" w:after="100" w:line="324" w:lineRule="auto"/>
      </w:pPr>
      <w:r>
        <w:rPr>
          <w:rFonts w:ascii="Times New Roman" w:hAnsi="Times New Roman" w:eastAsia="ＭＳ 明朝"/>
          <w:b w:val="0"/>
          <w:sz w:val="19"/>
        </w:rPr>
        <w:t>選定が単一要素・単一テーマ・後付け最適化に依存しないことを 16 通りのアブレーション（A1〜A16）で構造検査した（図表 II-16）。各変種の選定と最終 20 社の重複数（overlap）を比較する。全ガード適用のベースが最終 20 社を 20/20 で再現することを確認したうえで各変種を実行した。守の単軸（A1 Transformation のみ=12）・破の単軸（A2 Emerging のみ=16）はいずれもベースを完全再現せず，二軸合成が本体であることを示す。最小は A8（Top100 限定=7）で，破で母集団を Top1200 に広げた判断こそが最大の駆動要因である。Value Trap（A4=16）・Theme Hype（A5=13）・Evidence（A3=13）は効くが支配的でなく，Buffett 固定除去（A11=11）は影響が大きい。ai_keyword_only ガードを Emerging 系役割のみに限定した A16=16 は，当該ガードが過度に拘束的でないことを示す。</w:t>
      </w:r>
    </w:p>
    <w:p>
      <w:pPr>
        <w:keepNext/>
        <w:keepLines/>
        <w:spacing w:before="120"/>
        <w:jc w:val="center"/>
      </w:pPr>
      <w:r>
        <w:drawing>
          <wp:inline xmlns:a="http://schemas.openxmlformats.org/drawingml/2006/main" xmlns:pic="http://schemas.openxmlformats.org/drawingml/2006/picture">
            <wp:extent cx="5760000" cy="2688000"/>
            <wp:docPr id="21" name="Picture 21"/>
            <wp:cNvGraphicFramePr>
              <a:graphicFrameLocks noChangeAspect="1"/>
            </wp:cNvGraphicFramePr>
            <a:graphic>
              <a:graphicData uri="http://schemas.openxmlformats.org/drawingml/2006/picture">
                <pic:pic>
                  <pic:nvPicPr>
                    <pic:cNvPr id="0" name="ablation_overlap.png"/>
                    <pic:cNvPicPr/>
                  </pic:nvPicPr>
                  <pic:blipFill>
                    <a:blip r:embed="rId29"/>
                    <a:stretch>
                      <a:fillRect/>
                    </a:stretch>
                  </pic:blipFill>
                  <pic:spPr>
                    <a:xfrm>
                      <a:off x="0" y="0"/>
                      <a:ext cx="5760000" cy="2688000"/>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II-16　アブレーション結果（A1〜A16）</w:t>
      </w:r>
    </w:p>
    <w:p>
      <w:pPr>
        <w:spacing w:before="0" w:after="120"/>
        <w:jc w:val="center"/>
      </w:pPr>
      <w:r>
        <w:rPr>
          <w:rFonts w:ascii="Times New Roman" w:hAnsi="Times New Roman" w:eastAsia="ＭＳ 明朝"/>
          <w:b w:val="0"/>
          <w:sz w:val="16"/>
        </w:rPr>
        <w:t>注：各変種の選定と最終20社の重複数。A8（Top100限定）が最小7。in-sample の構造検査であり性能主張ではない。</w:t>
      </w: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Ⅲ．ポートフォリオの決定・銘柄紹介</w:t>
      </w:r>
    </w:p>
    <w:p>
      <w:pPr>
        <w:spacing w:before="0" w:after="100" w:line="324" w:lineRule="auto"/>
      </w:pPr>
      <w:r>
        <w:rPr>
          <w:rFonts w:ascii="Times New Roman" w:hAnsi="Times New Roman" w:eastAsia="ＭＳ 明朝"/>
          <w:b w:val="0"/>
          <w:sz w:val="19"/>
        </w:rPr>
        <w:t>スクリーニングの結果，20 銘柄への投資が決定した。本章では配分決定・銘柄紹介・パフォーマンス分析を行う。</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1．ポートフォリオ配分決定</w:t>
      </w:r>
    </w:p>
    <w:p>
      <w:pPr>
        <w:spacing w:before="0" w:after="100" w:line="324" w:lineRule="auto"/>
      </w:pPr>
      <w:r>
        <w:rPr>
          <w:rFonts w:ascii="Times New Roman" w:hAnsi="Times New Roman" w:eastAsia="ＭＳ 明朝"/>
          <w:b w:val="0"/>
          <w:sz w:val="19"/>
        </w:rPr>
        <w:t>配分はバックテスト成績ではなく投資仮説（時間軸分散）とリスク制約で決める。役割別予算を Buffett/Transformation/Emerging 各 25%・Dual 15%・Bridge 10% と置き，役割内を逆ボラティリティ×流動性×Evidence×信頼度で傾ける Risk-adjusted Role Allocation（式14）を採用した。単元株調整は式（15）による。基準ケース（単元未満株 L=1，STOCK リーグ規約）で 20 銘柄すべて購入可能，投資額 ¥4,949,198・残現金 ¥50,801（消化率 99.0%）である。最終配分を図表 III-1 に示す。</w:t>
      </w:r>
    </w:p>
    <w:p>
      <w:pPr>
        <w:keepNext/>
        <w:keepLines/>
        <w:spacing w:before="120" w:after="0"/>
        <w:shd w:val="clear" w:color="auto" w:fill="2F6D5F"/>
      </w:pPr>
      <w:r>
        <w:rPr>
          <w:rFonts w:ascii="ＭＳ ゴシック" w:hAnsi="ＭＳ ゴシック" w:eastAsia="ＭＳ ゴシック"/>
          <w:b/>
          <w:color w:val="FFFFFF"/>
          <w:sz w:val="19"/>
        </w:rPr>
        <w:t xml:space="preserve">　Risk-adjusted Role Allocation（採用案）</w:t>
      </w:r>
    </w:p>
    <w:p>
      <w:pPr>
        <w:keepNext/>
        <w:spacing w:before="60" w:after="60"/>
        <w:jc w:val="center"/>
      </w:pPr>
      <w:r>
        <w:drawing>
          <wp:inline xmlns:a="http://schemas.openxmlformats.org/drawingml/2006/main" xmlns:pic="http://schemas.openxmlformats.org/drawingml/2006/picture">
            <wp:extent cx="4343400" cy="677487"/>
            <wp:docPr id="22" name="Picture 22"/>
            <wp:cNvGraphicFramePr>
              <a:graphicFrameLocks noChangeAspect="1"/>
            </wp:cNvGraphicFramePr>
            <a:graphic>
              <a:graphicData uri="http://schemas.openxmlformats.org/drawingml/2006/picture">
                <pic:pic>
                  <pic:nvPicPr>
                    <pic:cNvPr id="0" name="eq_13.png"/>
                    <pic:cNvPicPr/>
                  </pic:nvPicPr>
                  <pic:blipFill>
                    <a:blip r:embed="rId30"/>
                    <a:stretch>
                      <a:fillRect/>
                    </a:stretch>
                  </pic:blipFill>
                  <pic:spPr>
                    <a:xfrm>
                      <a:off x="0" y="0"/>
                      <a:ext cx="4343400" cy="677487"/>
                    </a:xfrm>
                    <a:prstGeom prst="rect"/>
                  </pic:spPr>
                </pic:pic>
              </a:graphicData>
            </a:graphic>
          </wp:inline>
        </w:drawing>
      </w:r>
    </w:p>
    <w:p>
      <w:pPr>
        <w:keepNext/>
        <w:keepLines/>
        <w:spacing w:before="0" w:after="20"/>
      </w:pPr>
      <w:r>
        <w:rPr>
          <w:rFonts w:ascii="Times New Roman" w:hAnsi="Times New Roman" w:eastAsia="ＭＳ 明朝"/>
          <w:b w:val="0"/>
          <w:sz w:val="16"/>
        </w:rPr>
        <w:t>r(i) 役割，B_r 役割予算（Buffett/Trans/Emerging 0.25，Dual 0.15，Bridge 0.10）。ρ_i は逆ボラ×流動性 _i×Evidence 係数 e_i×信頼度 c_i。ω_i&gt;0.08 は 8% に制限し同役割内で再配分。リターン予測は不使用。</w:t>
      </w:r>
    </w:p>
    <w:p>
      <w:pPr>
        <w:spacing w:before="20" w:after="120"/>
        <w:jc w:val="center"/>
      </w:pPr>
      <w:r>
        <w:rPr>
          <w:rFonts w:ascii="ＭＳ ゴシック" w:hAnsi="ＭＳ ゴシック" w:eastAsia="ＭＳ ゴシック"/>
          <w:b/>
          <w:sz w:val="18"/>
        </w:rPr>
        <w:t>図表 III-0a　Risk-adjusted Role Allocation（採用案）</w:t>
      </w:r>
    </w:p>
    <w:p>
      <w:pPr>
        <w:keepNext/>
        <w:keepLines/>
        <w:spacing w:before="120" w:after="0"/>
        <w:shd w:val="clear" w:color="auto" w:fill="2F6D5F"/>
      </w:pPr>
      <w:r>
        <w:rPr>
          <w:rFonts w:ascii="ＭＳ ゴシック" w:hAnsi="ＭＳ ゴシック" w:eastAsia="ＭＳ ゴシック"/>
          <w:b/>
          <w:color w:val="FFFFFF"/>
          <w:sz w:val="19"/>
        </w:rPr>
        <w:t xml:space="preserve">　単元株調整購入株数</w:t>
      </w:r>
    </w:p>
    <w:p>
      <w:pPr>
        <w:keepNext/>
        <w:spacing w:before="60" w:after="60"/>
        <w:jc w:val="center"/>
      </w:pPr>
      <w:r>
        <w:drawing>
          <wp:inline xmlns:a="http://schemas.openxmlformats.org/drawingml/2006/main" xmlns:pic="http://schemas.openxmlformats.org/drawingml/2006/picture">
            <wp:extent cx="1246909" cy="515389"/>
            <wp:docPr id="23" name="Picture 23"/>
            <wp:cNvGraphicFramePr>
              <a:graphicFrameLocks noChangeAspect="1"/>
            </wp:cNvGraphicFramePr>
            <a:graphic>
              <a:graphicData uri="http://schemas.openxmlformats.org/drawingml/2006/picture">
                <pic:pic>
                  <pic:nvPicPr>
                    <pic:cNvPr id="0" name="eq_14.png"/>
                    <pic:cNvPicPr/>
                  </pic:nvPicPr>
                  <pic:blipFill>
                    <a:blip r:embed="rId31"/>
                    <a:stretch>
                      <a:fillRect/>
                    </a:stretch>
                  </pic:blipFill>
                  <pic:spPr>
                    <a:xfrm>
                      <a:off x="0" y="0"/>
                      <a:ext cx="1246909" cy="515389"/>
                    </a:xfrm>
                    <a:prstGeom prst="rect"/>
                  </pic:spPr>
                </pic:pic>
              </a:graphicData>
            </a:graphic>
          </wp:inline>
        </w:drawing>
      </w:r>
    </w:p>
    <w:p>
      <w:pPr>
        <w:keepNext/>
        <w:keepLines/>
        <w:spacing w:before="0" w:after="20"/>
      </w:pPr>
      <w:r>
        <w:rPr>
          <w:rFonts w:ascii="Times New Roman" w:hAnsi="Times New Roman" w:eastAsia="ＭＳ 明朝"/>
          <w:b w:val="0"/>
          <w:sz w:val="16"/>
        </w:rPr>
        <w:t>q_i 購入株数，L_i 売買単位，B 総予算（500万円），ω_i 目標比率，P_i 株価。基準 L_i=1（単元未満株），感度 L_i=100（実単元では9社購入不可）。</w:t>
      </w:r>
    </w:p>
    <w:p>
      <w:pPr>
        <w:spacing w:before="20" w:after="120"/>
        <w:jc w:val="center"/>
      </w:pPr>
      <w:r>
        <w:rPr>
          <w:rFonts w:ascii="ＭＳ ゴシック" w:hAnsi="ＭＳ ゴシック" w:eastAsia="ＭＳ ゴシック"/>
          <w:b/>
          <w:sz w:val="18"/>
        </w:rPr>
        <w:t>図表 III-0b　単元株調整購入株数</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794"/>
            <w:shd w:val="clear" w:color="auto" w:fill="2F6D5F"/>
          </w:tcPr>
          <w:p>
            <w:pPr>
              <w:spacing w:after="0"/>
            </w:pPr>
            <w:r/>
            <w:r>
              <w:rPr>
                <w:rFonts w:ascii="ＭＳ ゴシック" w:hAnsi="ＭＳ ゴシック" w:eastAsia="ＭＳ ゴシック"/>
                <w:b/>
                <w:color w:val="FFFFFF"/>
                <w:sz w:val="18"/>
              </w:rPr>
              <w:t>コード</w:t>
            </w:r>
          </w:p>
        </w:tc>
        <w:tc>
          <w:tcPr>
            <w:tcW w:type="dxa" w:w="2268"/>
            <w:shd w:val="clear" w:color="auto" w:fill="2F6D5F"/>
          </w:tcPr>
          <w:p>
            <w:pPr>
              <w:spacing w:after="0"/>
            </w:pPr>
            <w:r/>
            <w:r>
              <w:rPr>
                <w:rFonts w:ascii="ＭＳ ゴシック" w:hAnsi="ＭＳ ゴシック" w:eastAsia="ＭＳ ゴシック"/>
                <w:b/>
                <w:color w:val="FFFFFF"/>
                <w:sz w:val="18"/>
              </w:rPr>
              <w:t>企業名</w:t>
            </w:r>
          </w:p>
        </w:tc>
        <w:tc>
          <w:tcPr>
            <w:tcW w:type="dxa" w:w="1701"/>
            <w:shd w:val="clear" w:color="auto" w:fill="2F6D5F"/>
          </w:tcPr>
          <w:p>
            <w:pPr>
              <w:spacing w:after="0"/>
            </w:pPr>
            <w:r/>
            <w:r>
              <w:rPr>
                <w:rFonts w:ascii="ＭＳ ゴシック" w:hAnsi="ＭＳ ゴシック" w:eastAsia="ＭＳ ゴシック"/>
                <w:b/>
                <w:color w:val="FFFFFF"/>
                <w:sz w:val="18"/>
              </w:rPr>
              <w:t>役割</w:t>
            </w:r>
          </w:p>
        </w:tc>
        <w:tc>
          <w:tcPr>
            <w:tcW w:type="dxa" w:w="1474"/>
            <w:shd w:val="clear" w:color="auto" w:fill="2F6D5F"/>
          </w:tcPr>
          <w:p>
            <w:pPr>
              <w:spacing w:after="0"/>
            </w:pPr>
            <w:r/>
            <w:r>
              <w:rPr>
                <w:rFonts w:ascii="ＭＳ ゴシック" w:hAnsi="ＭＳ ゴシック" w:eastAsia="ＭＳ ゴシック"/>
                <w:b/>
                <w:color w:val="FFFFFF"/>
                <w:sz w:val="18"/>
              </w:rPr>
              <w:t>テーマ</w:t>
            </w:r>
          </w:p>
        </w:tc>
        <w:tc>
          <w:tcPr>
            <w:tcW w:type="dxa" w:w="907"/>
            <w:shd w:val="clear" w:color="auto" w:fill="2F6D5F"/>
          </w:tcPr>
          <w:p>
            <w:pPr>
              <w:spacing w:after="0"/>
            </w:pPr>
            <w:r/>
            <w:r>
              <w:rPr>
                <w:rFonts w:ascii="ＭＳ ゴシック" w:hAnsi="ＭＳ ゴシック" w:eastAsia="ＭＳ ゴシック"/>
                <w:b/>
                <w:color w:val="FFFFFF"/>
                <w:sz w:val="18"/>
              </w:rPr>
              <w:t>目標比率</w:t>
            </w:r>
          </w:p>
        </w:tc>
        <w:tc>
          <w:tcPr>
            <w:tcW w:type="dxa" w:w="907"/>
            <w:shd w:val="clear" w:color="auto" w:fill="2F6D5F"/>
          </w:tcPr>
          <w:p>
            <w:pPr>
              <w:spacing w:after="0"/>
            </w:pPr>
            <w:r/>
            <w:r>
              <w:rPr>
                <w:rFonts w:ascii="ＭＳ ゴシック" w:hAnsi="ＭＳ ゴシック" w:eastAsia="ＭＳ ゴシック"/>
                <w:b/>
                <w:color w:val="FFFFFF"/>
                <w:sz w:val="18"/>
              </w:rPr>
              <w:t>株数(L=1)</w:t>
            </w:r>
          </w:p>
        </w:tc>
        <w:tc>
          <w:tcPr>
            <w:tcW w:type="dxa" w:w="1474"/>
            <w:shd w:val="clear" w:color="auto" w:fill="2F6D5F"/>
          </w:tcPr>
          <w:p>
            <w:pPr>
              <w:spacing w:after="0"/>
            </w:pPr>
            <w:r/>
            <w:r>
              <w:rPr>
                <w:rFonts w:ascii="ＭＳ ゴシック" w:hAnsi="ＭＳ ゴシック" w:eastAsia="ＭＳ ゴシック"/>
                <w:b/>
                <w:color w:val="FFFFFF"/>
                <w:sz w:val="18"/>
              </w:rPr>
              <w:t>購入金額(L=1)</w:t>
            </w:r>
          </w:p>
        </w:tc>
      </w:tr>
      <w:tr>
        <w:tc>
          <w:tcPr>
            <w:tcW w:type="dxa" w:w="794"/>
          </w:tcPr>
          <w:p>
            <w:pPr>
              <w:spacing w:after="0"/>
            </w:pPr>
            <w:r/>
            <w:r>
              <w:rPr>
                <w:rFonts w:ascii="Times New Roman" w:hAnsi="Times New Roman" w:eastAsia="ＭＳ 明朝"/>
                <w:b w:val="0"/>
                <w:sz w:val="17"/>
              </w:rPr>
              <w:t>9470</w:t>
            </w:r>
          </w:p>
        </w:tc>
        <w:tc>
          <w:tcPr>
            <w:tcW w:type="dxa" w:w="2268"/>
          </w:tcPr>
          <w:p>
            <w:pPr>
              <w:spacing w:after="0"/>
            </w:pPr>
            <w:r/>
            <w:r>
              <w:rPr>
                <w:rFonts w:ascii="Times New Roman" w:hAnsi="Times New Roman" w:eastAsia="ＭＳ 明朝"/>
                <w:b w:val="0"/>
                <w:sz w:val="17"/>
              </w:rPr>
              <w:t>GAKKEN HOLDINGS CO</w:t>
            </w:r>
          </w:p>
        </w:tc>
        <w:tc>
          <w:tcPr>
            <w:tcW w:type="dxa" w:w="1701"/>
          </w:tcPr>
          <w:p>
            <w:pPr>
              <w:spacing w:after="0"/>
            </w:pPr>
            <w:r/>
            <w:r>
              <w:rPr>
                <w:rFonts w:ascii="Times New Roman" w:hAnsi="Times New Roman" w:eastAsia="ＭＳ 明朝"/>
                <w:b w:val="0"/>
                <w:sz w:val="17"/>
              </w:rPr>
              <w:t>Buffett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6.88%</w:t>
            </w:r>
          </w:p>
        </w:tc>
        <w:tc>
          <w:tcPr>
            <w:tcW w:type="dxa" w:w="907"/>
          </w:tcPr>
          <w:p>
            <w:pPr>
              <w:spacing w:after="0"/>
            </w:pPr>
            <w:r/>
            <w:r>
              <w:rPr>
                <w:rFonts w:ascii="Times New Roman" w:hAnsi="Times New Roman" w:eastAsia="ＭＳ 明朝"/>
                <w:b w:val="0"/>
                <w:sz w:val="17"/>
              </w:rPr>
              <w:t>365</w:t>
            </w:r>
          </w:p>
        </w:tc>
        <w:tc>
          <w:tcPr>
            <w:tcW w:type="dxa" w:w="1474"/>
          </w:tcPr>
          <w:p>
            <w:pPr>
              <w:spacing w:after="0"/>
            </w:pPr>
            <w:r/>
            <w:r>
              <w:rPr>
                <w:rFonts w:ascii="Times New Roman" w:hAnsi="Times New Roman" w:eastAsia="ＭＳ 明朝"/>
                <w:b w:val="0"/>
                <w:sz w:val="17"/>
              </w:rPr>
              <w:t>¥343,465</w:t>
            </w:r>
          </w:p>
        </w:tc>
      </w:tr>
      <w:tr>
        <w:tc>
          <w:tcPr>
            <w:tcW w:type="dxa" w:w="794"/>
          </w:tcPr>
          <w:p>
            <w:pPr>
              <w:spacing w:after="0"/>
            </w:pPr>
            <w:r/>
            <w:r>
              <w:rPr>
                <w:rFonts w:ascii="Times New Roman" w:hAnsi="Times New Roman" w:eastAsia="ＭＳ 明朝"/>
                <w:b w:val="0"/>
                <w:sz w:val="17"/>
              </w:rPr>
              <w:t>3539</w:t>
            </w:r>
          </w:p>
        </w:tc>
        <w:tc>
          <w:tcPr>
            <w:tcW w:type="dxa" w:w="2268"/>
          </w:tcPr>
          <w:p>
            <w:pPr>
              <w:spacing w:after="0"/>
            </w:pPr>
            <w:r/>
            <w:r>
              <w:rPr>
                <w:rFonts w:ascii="Times New Roman" w:hAnsi="Times New Roman" w:eastAsia="ＭＳ 明朝"/>
                <w:b w:val="0"/>
                <w:sz w:val="17"/>
              </w:rPr>
              <w:t>JM HOLDINGS CO.,LT</w:t>
            </w:r>
          </w:p>
        </w:tc>
        <w:tc>
          <w:tcPr>
            <w:tcW w:type="dxa" w:w="1701"/>
          </w:tcPr>
          <w:p>
            <w:pPr>
              <w:spacing w:after="0"/>
            </w:pPr>
            <w:r/>
            <w:r>
              <w:rPr>
                <w:rFonts w:ascii="Times New Roman" w:hAnsi="Times New Roman" w:eastAsia="ＭＳ 明朝"/>
                <w:b w:val="0"/>
                <w:sz w:val="17"/>
              </w:rPr>
              <w:t>Buffett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5.58%</w:t>
            </w:r>
          </w:p>
        </w:tc>
        <w:tc>
          <w:tcPr>
            <w:tcW w:type="dxa" w:w="907"/>
          </w:tcPr>
          <w:p>
            <w:pPr>
              <w:spacing w:after="0"/>
            </w:pPr>
            <w:r/>
            <w:r>
              <w:rPr>
                <w:rFonts w:ascii="Times New Roman" w:hAnsi="Times New Roman" w:eastAsia="ＭＳ 明朝"/>
                <w:b w:val="0"/>
                <w:sz w:val="17"/>
              </w:rPr>
              <w:t>223</w:t>
            </w:r>
          </w:p>
        </w:tc>
        <w:tc>
          <w:tcPr>
            <w:tcW w:type="dxa" w:w="1474"/>
          </w:tcPr>
          <w:p>
            <w:pPr>
              <w:spacing w:after="0"/>
            </w:pPr>
            <w:r/>
            <w:r>
              <w:rPr>
                <w:rFonts w:ascii="Times New Roman" w:hAnsi="Times New Roman" w:eastAsia="ＭＳ 明朝"/>
                <w:b w:val="0"/>
                <w:sz w:val="17"/>
              </w:rPr>
              <w:t>¥278,304</w:t>
            </w:r>
          </w:p>
        </w:tc>
      </w:tr>
      <w:tr>
        <w:tc>
          <w:tcPr>
            <w:tcW w:type="dxa" w:w="794"/>
          </w:tcPr>
          <w:p>
            <w:pPr>
              <w:spacing w:after="0"/>
            </w:pPr>
            <w:r/>
            <w:r>
              <w:rPr>
                <w:rFonts w:ascii="Times New Roman" w:hAnsi="Times New Roman" w:eastAsia="ＭＳ 明朝"/>
                <w:b w:val="0"/>
                <w:sz w:val="17"/>
              </w:rPr>
              <w:t>6430</w:t>
            </w:r>
          </w:p>
        </w:tc>
        <w:tc>
          <w:tcPr>
            <w:tcW w:type="dxa" w:w="2268"/>
          </w:tcPr>
          <w:p>
            <w:pPr>
              <w:spacing w:after="0"/>
            </w:pPr>
            <w:r/>
            <w:r>
              <w:rPr>
                <w:rFonts w:ascii="Times New Roman" w:hAnsi="Times New Roman" w:eastAsia="ＭＳ 明朝"/>
                <w:b w:val="0"/>
                <w:sz w:val="17"/>
              </w:rPr>
              <w:t>DAIKOKU DENKI CO.,</w:t>
            </w:r>
          </w:p>
        </w:tc>
        <w:tc>
          <w:tcPr>
            <w:tcW w:type="dxa" w:w="1701"/>
          </w:tcPr>
          <w:p>
            <w:pPr>
              <w:spacing w:after="0"/>
            </w:pPr>
            <w:r/>
            <w:r>
              <w:rPr>
                <w:rFonts w:ascii="Times New Roman" w:hAnsi="Times New Roman" w:eastAsia="ＭＳ 明朝"/>
                <w:b w:val="0"/>
                <w:sz w:val="17"/>
              </w:rPr>
              <w:t>Buffett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5.43%</w:t>
            </w:r>
          </w:p>
        </w:tc>
        <w:tc>
          <w:tcPr>
            <w:tcW w:type="dxa" w:w="907"/>
          </w:tcPr>
          <w:p>
            <w:pPr>
              <w:spacing w:after="0"/>
            </w:pPr>
            <w:r/>
            <w:r>
              <w:rPr>
                <w:rFonts w:ascii="Times New Roman" w:hAnsi="Times New Roman" w:eastAsia="ＭＳ 明朝"/>
                <w:b w:val="0"/>
                <w:sz w:val="17"/>
              </w:rPr>
              <w:t>130</w:t>
            </w:r>
          </w:p>
        </w:tc>
        <w:tc>
          <w:tcPr>
            <w:tcW w:type="dxa" w:w="1474"/>
          </w:tcPr>
          <w:p>
            <w:pPr>
              <w:spacing w:after="0"/>
            </w:pPr>
            <w:r/>
            <w:r>
              <w:rPr>
                <w:rFonts w:ascii="Times New Roman" w:hAnsi="Times New Roman" w:eastAsia="ＭＳ 明朝"/>
                <w:b w:val="0"/>
                <w:sz w:val="17"/>
              </w:rPr>
              <w:t>¥271,050</w:t>
            </w:r>
          </w:p>
        </w:tc>
      </w:tr>
      <w:tr>
        <w:tc>
          <w:tcPr>
            <w:tcW w:type="dxa" w:w="794"/>
          </w:tcPr>
          <w:p>
            <w:pPr>
              <w:spacing w:after="0"/>
            </w:pPr>
            <w:r/>
            <w:r>
              <w:rPr>
                <w:rFonts w:ascii="Times New Roman" w:hAnsi="Times New Roman" w:eastAsia="ＭＳ 明朝"/>
                <w:b w:val="0"/>
                <w:sz w:val="17"/>
              </w:rPr>
              <w:t>4350</w:t>
            </w:r>
          </w:p>
        </w:tc>
        <w:tc>
          <w:tcPr>
            <w:tcW w:type="dxa" w:w="2268"/>
          </w:tcPr>
          <w:p>
            <w:pPr>
              <w:spacing w:after="0"/>
            </w:pPr>
            <w:r/>
            <w:r>
              <w:rPr>
                <w:rFonts w:ascii="Times New Roman" w:hAnsi="Times New Roman" w:eastAsia="ＭＳ 明朝"/>
                <w:b w:val="0"/>
                <w:sz w:val="17"/>
              </w:rPr>
              <w:t>MEDICAL SYSTEM NET</w:t>
            </w:r>
          </w:p>
        </w:tc>
        <w:tc>
          <w:tcPr>
            <w:tcW w:type="dxa" w:w="1701"/>
          </w:tcPr>
          <w:p>
            <w:pPr>
              <w:spacing w:after="0"/>
            </w:pPr>
            <w:r/>
            <w:r>
              <w:rPr>
                <w:rFonts w:ascii="Times New Roman" w:hAnsi="Times New Roman" w:eastAsia="ＭＳ 明朝"/>
                <w:b w:val="0"/>
                <w:sz w:val="17"/>
              </w:rPr>
              <w:t>Buffett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4.21%</w:t>
            </w:r>
          </w:p>
        </w:tc>
        <w:tc>
          <w:tcPr>
            <w:tcW w:type="dxa" w:w="907"/>
          </w:tcPr>
          <w:p>
            <w:pPr>
              <w:spacing w:after="0"/>
            </w:pPr>
            <w:r/>
            <w:r>
              <w:rPr>
                <w:rFonts w:ascii="Times New Roman" w:hAnsi="Times New Roman" w:eastAsia="ＭＳ 明朝"/>
                <w:b w:val="0"/>
                <w:sz w:val="17"/>
              </w:rPr>
              <w:t>409</w:t>
            </w:r>
          </w:p>
        </w:tc>
        <w:tc>
          <w:tcPr>
            <w:tcW w:type="dxa" w:w="1474"/>
          </w:tcPr>
          <w:p>
            <w:pPr>
              <w:spacing w:after="0"/>
            </w:pPr>
            <w:r/>
            <w:r>
              <w:rPr>
                <w:rFonts w:ascii="Times New Roman" w:hAnsi="Times New Roman" w:eastAsia="ＭＳ 明朝"/>
                <w:b w:val="0"/>
                <w:sz w:val="17"/>
              </w:rPr>
              <w:t>¥210,226</w:t>
            </w:r>
          </w:p>
        </w:tc>
      </w:tr>
      <w:tr>
        <w:tc>
          <w:tcPr>
            <w:tcW w:type="dxa" w:w="794"/>
          </w:tcPr>
          <w:p>
            <w:pPr>
              <w:spacing w:after="0"/>
            </w:pPr>
            <w:r/>
            <w:r>
              <w:rPr>
                <w:rFonts w:ascii="Times New Roman" w:hAnsi="Times New Roman" w:eastAsia="ＭＳ 明朝"/>
                <w:b w:val="0"/>
                <w:sz w:val="17"/>
              </w:rPr>
              <w:t>7803</w:t>
            </w:r>
          </w:p>
        </w:tc>
        <w:tc>
          <w:tcPr>
            <w:tcW w:type="dxa" w:w="2268"/>
          </w:tcPr>
          <w:p>
            <w:pPr>
              <w:spacing w:after="0"/>
            </w:pPr>
            <w:r/>
            <w:r>
              <w:rPr>
                <w:rFonts w:ascii="Times New Roman" w:hAnsi="Times New Roman" w:eastAsia="ＭＳ 明朝"/>
                <w:b w:val="0"/>
                <w:sz w:val="17"/>
              </w:rPr>
              <w:t>Bushiroad Inc.</w:t>
            </w:r>
          </w:p>
        </w:tc>
        <w:tc>
          <w:tcPr>
            <w:tcW w:type="dxa" w:w="1701"/>
          </w:tcPr>
          <w:p>
            <w:pPr>
              <w:spacing w:after="0"/>
            </w:pPr>
            <w:r/>
            <w:r>
              <w:rPr>
                <w:rFonts w:ascii="Times New Roman" w:hAnsi="Times New Roman" w:eastAsia="ＭＳ 明朝"/>
                <w:b w:val="0"/>
                <w:sz w:val="17"/>
              </w:rPr>
              <w:t>Buffett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2.90%</w:t>
            </w:r>
          </w:p>
        </w:tc>
        <w:tc>
          <w:tcPr>
            <w:tcW w:type="dxa" w:w="907"/>
          </w:tcPr>
          <w:p>
            <w:pPr>
              <w:spacing w:after="0"/>
            </w:pPr>
            <w:r/>
            <w:r>
              <w:rPr>
                <w:rFonts w:ascii="Times New Roman" w:hAnsi="Times New Roman" w:eastAsia="ＭＳ 明朝"/>
                <w:b w:val="0"/>
                <w:sz w:val="17"/>
              </w:rPr>
              <w:t>562</w:t>
            </w:r>
          </w:p>
        </w:tc>
        <w:tc>
          <w:tcPr>
            <w:tcW w:type="dxa" w:w="1474"/>
          </w:tcPr>
          <w:p>
            <w:pPr>
              <w:spacing w:after="0"/>
            </w:pPr>
            <w:r/>
            <w:r>
              <w:rPr>
                <w:rFonts w:ascii="Times New Roman" w:hAnsi="Times New Roman" w:eastAsia="ＭＳ 明朝"/>
                <w:b w:val="0"/>
                <w:sz w:val="17"/>
              </w:rPr>
              <w:t>¥144,996</w:t>
            </w:r>
          </w:p>
        </w:tc>
      </w:tr>
      <w:tr>
        <w:tc>
          <w:tcPr>
            <w:tcW w:type="dxa" w:w="794"/>
          </w:tcPr>
          <w:p>
            <w:pPr>
              <w:spacing w:after="0"/>
            </w:pPr>
            <w:r/>
            <w:r>
              <w:rPr>
                <w:rFonts w:ascii="Times New Roman" w:hAnsi="Times New Roman" w:eastAsia="ＭＳ 明朝"/>
                <w:b w:val="0"/>
                <w:sz w:val="17"/>
              </w:rPr>
              <w:t>5902</w:t>
            </w:r>
          </w:p>
        </w:tc>
        <w:tc>
          <w:tcPr>
            <w:tcW w:type="dxa" w:w="2268"/>
          </w:tcPr>
          <w:p>
            <w:pPr>
              <w:spacing w:after="0"/>
            </w:pPr>
            <w:r/>
            <w:r>
              <w:rPr>
                <w:rFonts w:ascii="Times New Roman" w:hAnsi="Times New Roman" w:eastAsia="ＭＳ 明朝"/>
                <w:b w:val="0"/>
                <w:sz w:val="17"/>
              </w:rPr>
              <w:t>HOKKAN HOLDINGS LI</w:t>
            </w:r>
          </w:p>
        </w:tc>
        <w:tc>
          <w:tcPr>
            <w:tcW w:type="dxa" w:w="1701"/>
          </w:tcPr>
          <w:p>
            <w:pPr>
              <w:spacing w:after="0"/>
            </w:pPr>
            <w:r/>
            <w:r>
              <w:rPr>
                <w:rFonts w:ascii="Times New Roman" w:hAnsi="Times New Roman" w:eastAsia="ＭＳ 明朝"/>
                <w:b w:val="0"/>
                <w:sz w:val="17"/>
              </w:rPr>
              <w:t>Transformation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6.70%</w:t>
            </w:r>
          </w:p>
        </w:tc>
        <w:tc>
          <w:tcPr>
            <w:tcW w:type="dxa" w:w="907"/>
          </w:tcPr>
          <w:p>
            <w:pPr>
              <w:spacing w:after="0"/>
            </w:pPr>
            <w:r/>
            <w:r>
              <w:rPr>
                <w:rFonts w:ascii="Times New Roman" w:hAnsi="Times New Roman" w:eastAsia="ＭＳ 明朝"/>
                <w:b w:val="0"/>
                <w:sz w:val="17"/>
              </w:rPr>
              <w:t>150</w:t>
            </w:r>
          </w:p>
        </w:tc>
        <w:tc>
          <w:tcPr>
            <w:tcW w:type="dxa" w:w="1474"/>
          </w:tcPr>
          <w:p>
            <w:pPr>
              <w:spacing w:after="0"/>
            </w:pPr>
            <w:r/>
            <w:r>
              <w:rPr>
                <w:rFonts w:ascii="Times New Roman" w:hAnsi="Times New Roman" w:eastAsia="ＭＳ 明朝"/>
                <w:b w:val="0"/>
                <w:sz w:val="17"/>
              </w:rPr>
              <w:t>¥333,000</w:t>
            </w:r>
          </w:p>
        </w:tc>
      </w:tr>
      <w:tr>
        <w:tc>
          <w:tcPr>
            <w:tcW w:type="dxa" w:w="794"/>
          </w:tcPr>
          <w:p>
            <w:pPr>
              <w:spacing w:after="0"/>
            </w:pPr>
            <w:r/>
            <w:r>
              <w:rPr>
                <w:rFonts w:ascii="Times New Roman" w:hAnsi="Times New Roman" w:eastAsia="ＭＳ 明朝"/>
                <w:b w:val="0"/>
                <w:sz w:val="17"/>
              </w:rPr>
              <w:t>9828</w:t>
            </w:r>
          </w:p>
        </w:tc>
        <w:tc>
          <w:tcPr>
            <w:tcW w:type="dxa" w:w="2268"/>
          </w:tcPr>
          <w:p>
            <w:pPr>
              <w:spacing w:after="0"/>
            </w:pPr>
            <w:r/>
            <w:r>
              <w:rPr>
                <w:rFonts w:ascii="Times New Roman" w:hAnsi="Times New Roman" w:eastAsia="ＭＳ 明朝"/>
                <w:b w:val="0"/>
                <w:sz w:val="17"/>
              </w:rPr>
              <w:t>Genki Global Dinin</w:t>
            </w:r>
          </w:p>
        </w:tc>
        <w:tc>
          <w:tcPr>
            <w:tcW w:type="dxa" w:w="1701"/>
          </w:tcPr>
          <w:p>
            <w:pPr>
              <w:spacing w:after="0"/>
            </w:pPr>
            <w:r/>
            <w:r>
              <w:rPr>
                <w:rFonts w:ascii="Times New Roman" w:hAnsi="Times New Roman" w:eastAsia="ＭＳ 明朝"/>
                <w:b w:val="0"/>
                <w:sz w:val="17"/>
              </w:rPr>
              <w:t>Transformation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5.50%</w:t>
            </w:r>
          </w:p>
        </w:tc>
        <w:tc>
          <w:tcPr>
            <w:tcW w:type="dxa" w:w="907"/>
          </w:tcPr>
          <w:p>
            <w:pPr>
              <w:spacing w:after="0"/>
            </w:pPr>
            <w:r/>
            <w:r>
              <w:rPr>
                <w:rFonts w:ascii="Times New Roman" w:hAnsi="Times New Roman" w:eastAsia="ＭＳ 明朝"/>
                <w:b w:val="0"/>
                <w:sz w:val="17"/>
              </w:rPr>
              <w:t>99</w:t>
            </w:r>
          </w:p>
        </w:tc>
        <w:tc>
          <w:tcPr>
            <w:tcW w:type="dxa" w:w="1474"/>
          </w:tcPr>
          <w:p>
            <w:pPr>
              <w:spacing w:after="0"/>
            </w:pPr>
            <w:r/>
            <w:r>
              <w:rPr>
                <w:rFonts w:ascii="Times New Roman" w:hAnsi="Times New Roman" w:eastAsia="ＭＳ 明朝"/>
                <w:b w:val="0"/>
                <w:sz w:val="17"/>
              </w:rPr>
              <w:t>¥272,646</w:t>
            </w:r>
          </w:p>
        </w:tc>
      </w:tr>
      <w:tr>
        <w:tc>
          <w:tcPr>
            <w:tcW w:type="dxa" w:w="794"/>
          </w:tcPr>
          <w:p>
            <w:pPr>
              <w:spacing w:after="0"/>
            </w:pPr>
            <w:r/>
            <w:r>
              <w:rPr>
                <w:rFonts w:ascii="Times New Roman" w:hAnsi="Times New Roman" w:eastAsia="ＭＳ 明朝"/>
                <w:b w:val="0"/>
                <w:sz w:val="17"/>
              </w:rPr>
              <w:t>8037</w:t>
            </w:r>
          </w:p>
        </w:tc>
        <w:tc>
          <w:tcPr>
            <w:tcW w:type="dxa" w:w="2268"/>
          </w:tcPr>
          <w:p>
            <w:pPr>
              <w:spacing w:after="0"/>
            </w:pPr>
            <w:r/>
            <w:r>
              <w:rPr>
                <w:rFonts w:ascii="Times New Roman" w:hAnsi="Times New Roman" w:eastAsia="ＭＳ 明朝"/>
                <w:b w:val="0"/>
                <w:sz w:val="17"/>
              </w:rPr>
              <w:t>KAMEI CORPORATION</w:t>
            </w:r>
          </w:p>
        </w:tc>
        <w:tc>
          <w:tcPr>
            <w:tcW w:type="dxa" w:w="1701"/>
          </w:tcPr>
          <w:p>
            <w:pPr>
              <w:spacing w:after="0"/>
            </w:pPr>
            <w:r/>
            <w:r>
              <w:rPr>
                <w:rFonts w:ascii="Times New Roman" w:hAnsi="Times New Roman" w:eastAsia="ＭＳ 明朝"/>
                <w:b w:val="0"/>
                <w:sz w:val="17"/>
              </w:rPr>
              <w:t>Transformation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4.84%</w:t>
            </w:r>
          </w:p>
        </w:tc>
        <w:tc>
          <w:tcPr>
            <w:tcW w:type="dxa" w:w="907"/>
          </w:tcPr>
          <w:p>
            <w:pPr>
              <w:spacing w:after="0"/>
            </w:pPr>
            <w:r/>
            <w:r>
              <w:rPr>
                <w:rFonts w:ascii="Times New Roman" w:hAnsi="Times New Roman" w:eastAsia="ＭＳ 明朝"/>
                <w:b w:val="0"/>
                <w:sz w:val="17"/>
              </w:rPr>
              <w:t>69</w:t>
            </w:r>
          </w:p>
        </w:tc>
        <w:tc>
          <w:tcPr>
            <w:tcW w:type="dxa" w:w="1474"/>
          </w:tcPr>
          <w:p>
            <w:pPr>
              <w:spacing w:after="0"/>
            </w:pPr>
            <w:r/>
            <w:r>
              <w:rPr>
                <w:rFonts w:ascii="Times New Roman" w:hAnsi="Times New Roman" w:eastAsia="ＭＳ 明朝"/>
                <w:b w:val="0"/>
                <w:sz w:val="17"/>
              </w:rPr>
              <w:t>¥238,740</w:t>
            </w:r>
          </w:p>
        </w:tc>
      </w:tr>
      <w:tr>
        <w:tc>
          <w:tcPr>
            <w:tcW w:type="dxa" w:w="794"/>
          </w:tcPr>
          <w:p>
            <w:pPr>
              <w:spacing w:after="0"/>
            </w:pPr>
            <w:r/>
            <w:r>
              <w:rPr>
                <w:rFonts w:ascii="Times New Roman" w:hAnsi="Times New Roman" w:eastAsia="ＭＳ 明朝"/>
                <w:b w:val="0"/>
                <w:sz w:val="17"/>
              </w:rPr>
              <w:t>3863</w:t>
            </w:r>
          </w:p>
        </w:tc>
        <w:tc>
          <w:tcPr>
            <w:tcW w:type="dxa" w:w="2268"/>
          </w:tcPr>
          <w:p>
            <w:pPr>
              <w:spacing w:after="0"/>
            </w:pPr>
            <w:r/>
            <w:r>
              <w:rPr>
                <w:rFonts w:ascii="Times New Roman" w:hAnsi="Times New Roman" w:eastAsia="ＭＳ 明朝"/>
                <w:b w:val="0"/>
                <w:sz w:val="17"/>
              </w:rPr>
              <w:t>Nippon Paper Indus</w:t>
            </w:r>
          </w:p>
        </w:tc>
        <w:tc>
          <w:tcPr>
            <w:tcW w:type="dxa" w:w="1701"/>
          </w:tcPr>
          <w:p>
            <w:pPr>
              <w:spacing w:after="0"/>
            </w:pPr>
            <w:r/>
            <w:r>
              <w:rPr>
                <w:rFonts w:ascii="Times New Roman" w:hAnsi="Times New Roman" w:eastAsia="ＭＳ 明朝"/>
                <w:b w:val="0"/>
                <w:sz w:val="17"/>
              </w:rPr>
              <w:t>Transformation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4.28%</w:t>
            </w:r>
          </w:p>
        </w:tc>
        <w:tc>
          <w:tcPr>
            <w:tcW w:type="dxa" w:w="907"/>
          </w:tcPr>
          <w:p>
            <w:pPr>
              <w:spacing w:after="0"/>
            </w:pPr>
            <w:r/>
            <w:r>
              <w:rPr>
                <w:rFonts w:ascii="Times New Roman" w:hAnsi="Times New Roman" w:eastAsia="ＭＳ 明朝"/>
                <w:b w:val="0"/>
                <w:sz w:val="17"/>
              </w:rPr>
              <w:t>174</w:t>
            </w:r>
          </w:p>
        </w:tc>
        <w:tc>
          <w:tcPr>
            <w:tcW w:type="dxa" w:w="1474"/>
          </w:tcPr>
          <w:p>
            <w:pPr>
              <w:spacing w:after="0"/>
            </w:pPr>
            <w:r/>
            <w:r>
              <w:rPr>
                <w:rFonts w:ascii="Times New Roman" w:hAnsi="Times New Roman" w:eastAsia="ＭＳ 明朝"/>
                <w:b w:val="0"/>
                <w:sz w:val="17"/>
              </w:rPr>
              <w:t>¥212,976</w:t>
            </w:r>
          </w:p>
        </w:tc>
      </w:tr>
      <w:tr>
        <w:tc>
          <w:tcPr>
            <w:tcW w:type="dxa" w:w="794"/>
          </w:tcPr>
          <w:p>
            <w:pPr>
              <w:spacing w:after="0"/>
            </w:pPr>
            <w:r/>
            <w:r>
              <w:rPr>
                <w:rFonts w:ascii="Times New Roman" w:hAnsi="Times New Roman" w:eastAsia="ＭＳ 明朝"/>
                <w:b w:val="0"/>
                <w:sz w:val="17"/>
              </w:rPr>
              <w:t>5233</w:t>
            </w:r>
          </w:p>
        </w:tc>
        <w:tc>
          <w:tcPr>
            <w:tcW w:type="dxa" w:w="2268"/>
          </w:tcPr>
          <w:p>
            <w:pPr>
              <w:spacing w:after="0"/>
            </w:pPr>
            <w:r/>
            <w:r>
              <w:rPr>
                <w:rFonts w:ascii="Times New Roman" w:hAnsi="Times New Roman" w:eastAsia="ＭＳ 明朝"/>
                <w:b w:val="0"/>
                <w:sz w:val="17"/>
              </w:rPr>
              <w:t>TAIHEIYO CEMENT CO</w:t>
            </w:r>
          </w:p>
        </w:tc>
        <w:tc>
          <w:tcPr>
            <w:tcW w:type="dxa" w:w="1701"/>
          </w:tcPr>
          <w:p>
            <w:pPr>
              <w:spacing w:after="0"/>
            </w:pPr>
            <w:r/>
            <w:r>
              <w:rPr>
                <w:rFonts w:ascii="Times New Roman" w:hAnsi="Times New Roman" w:eastAsia="ＭＳ 明朝"/>
                <w:b w:val="0"/>
                <w:sz w:val="17"/>
              </w:rPr>
              <w:t>Transformation Core</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3.68%</w:t>
            </w:r>
          </w:p>
        </w:tc>
        <w:tc>
          <w:tcPr>
            <w:tcW w:type="dxa" w:w="907"/>
          </w:tcPr>
          <w:p>
            <w:pPr>
              <w:spacing w:after="0"/>
            </w:pPr>
            <w:r/>
            <w:r>
              <w:rPr>
                <w:rFonts w:ascii="Times New Roman" w:hAnsi="Times New Roman" w:eastAsia="ＭＳ 明朝"/>
                <w:b w:val="0"/>
                <w:sz w:val="17"/>
              </w:rPr>
              <w:t>41</w:t>
            </w:r>
          </w:p>
        </w:tc>
        <w:tc>
          <w:tcPr>
            <w:tcW w:type="dxa" w:w="1474"/>
          </w:tcPr>
          <w:p>
            <w:pPr>
              <w:spacing w:after="0"/>
            </w:pPr>
            <w:r/>
            <w:r>
              <w:rPr>
                <w:rFonts w:ascii="Times New Roman" w:hAnsi="Times New Roman" w:eastAsia="ＭＳ 明朝"/>
                <w:b w:val="0"/>
                <w:sz w:val="17"/>
              </w:rPr>
              <w:t>¥182,778</w:t>
            </w:r>
          </w:p>
        </w:tc>
      </w:tr>
      <w:tr>
        <w:tc>
          <w:tcPr>
            <w:tcW w:type="dxa" w:w="794"/>
          </w:tcPr>
          <w:p>
            <w:pPr>
              <w:spacing w:after="0"/>
            </w:pPr>
            <w:r/>
            <w:r>
              <w:rPr>
                <w:rFonts w:ascii="Times New Roman" w:hAnsi="Times New Roman" w:eastAsia="ＭＳ 明朝"/>
                <w:b w:val="0"/>
                <w:sz w:val="17"/>
              </w:rPr>
              <w:t>6368</w:t>
            </w:r>
          </w:p>
        </w:tc>
        <w:tc>
          <w:tcPr>
            <w:tcW w:type="dxa" w:w="2268"/>
          </w:tcPr>
          <w:p>
            <w:pPr>
              <w:spacing w:after="0"/>
            </w:pPr>
            <w:r/>
            <w:r>
              <w:rPr>
                <w:rFonts w:ascii="Times New Roman" w:hAnsi="Times New Roman" w:eastAsia="ＭＳ 明朝"/>
                <w:b w:val="0"/>
                <w:sz w:val="17"/>
              </w:rPr>
              <w:t>ORGANO CORPORATION</w:t>
            </w:r>
          </w:p>
        </w:tc>
        <w:tc>
          <w:tcPr>
            <w:tcW w:type="dxa" w:w="1701"/>
          </w:tcPr>
          <w:p>
            <w:pPr>
              <w:spacing w:after="0"/>
            </w:pPr>
            <w:r/>
            <w:r>
              <w:rPr>
                <w:rFonts w:ascii="Times New Roman" w:hAnsi="Times New Roman" w:eastAsia="ＭＳ 明朝"/>
                <w:b w:val="0"/>
                <w:sz w:val="17"/>
              </w:rPr>
              <w:t>Emerging Core</w:t>
            </w:r>
          </w:p>
        </w:tc>
        <w:tc>
          <w:tcPr>
            <w:tcW w:type="dxa" w:w="1474"/>
          </w:tcPr>
          <w:p>
            <w:pPr>
              <w:spacing w:after="0"/>
            </w:pPr>
            <w:r/>
            <w:r>
              <w:rPr>
                <w:rFonts w:ascii="Times New Roman" w:hAnsi="Times New Roman" w:eastAsia="ＭＳ 明朝"/>
                <w:b w:val="0"/>
                <w:sz w:val="17"/>
              </w:rPr>
              <w:t>semiconductor</w:t>
            </w:r>
          </w:p>
        </w:tc>
        <w:tc>
          <w:tcPr>
            <w:tcW w:type="dxa" w:w="907"/>
          </w:tcPr>
          <w:p>
            <w:pPr>
              <w:spacing w:after="0"/>
            </w:pPr>
            <w:r/>
            <w:r>
              <w:rPr>
                <w:rFonts w:ascii="Times New Roman" w:hAnsi="Times New Roman" w:eastAsia="ＭＳ 明朝"/>
                <w:b w:val="0"/>
                <w:sz w:val="17"/>
              </w:rPr>
              <w:t>6.91%</w:t>
            </w:r>
          </w:p>
        </w:tc>
        <w:tc>
          <w:tcPr>
            <w:tcW w:type="dxa" w:w="907"/>
          </w:tcPr>
          <w:p>
            <w:pPr>
              <w:spacing w:after="0"/>
            </w:pPr>
            <w:r/>
            <w:r>
              <w:rPr>
                <w:rFonts w:ascii="Times New Roman" w:hAnsi="Times New Roman" w:eastAsia="ＭＳ 明朝"/>
                <w:b w:val="0"/>
                <w:sz w:val="17"/>
              </w:rPr>
              <w:t>21</w:t>
            </w:r>
          </w:p>
        </w:tc>
        <w:tc>
          <w:tcPr>
            <w:tcW w:type="dxa" w:w="1474"/>
          </w:tcPr>
          <w:p>
            <w:pPr>
              <w:spacing w:after="0"/>
            </w:pPr>
            <w:r/>
            <w:r>
              <w:rPr>
                <w:rFonts w:ascii="Times New Roman" w:hAnsi="Times New Roman" w:eastAsia="ＭＳ 明朝"/>
                <w:b w:val="0"/>
                <w:sz w:val="17"/>
              </w:rPr>
              <w:t>¥330,750</w:t>
            </w:r>
          </w:p>
        </w:tc>
      </w:tr>
      <w:tr>
        <w:tc>
          <w:tcPr>
            <w:tcW w:type="dxa" w:w="794"/>
          </w:tcPr>
          <w:p>
            <w:pPr>
              <w:spacing w:after="0"/>
            </w:pPr>
            <w:r/>
            <w:r>
              <w:rPr>
                <w:rFonts w:ascii="Times New Roman" w:hAnsi="Times New Roman" w:eastAsia="ＭＳ 明朝"/>
                <w:b w:val="0"/>
                <w:sz w:val="17"/>
              </w:rPr>
              <w:t>6526</w:t>
            </w:r>
          </w:p>
        </w:tc>
        <w:tc>
          <w:tcPr>
            <w:tcW w:type="dxa" w:w="2268"/>
          </w:tcPr>
          <w:p>
            <w:pPr>
              <w:spacing w:after="0"/>
            </w:pPr>
            <w:r/>
            <w:r>
              <w:rPr>
                <w:rFonts w:ascii="Times New Roman" w:hAnsi="Times New Roman" w:eastAsia="ＭＳ 明朝"/>
                <w:b w:val="0"/>
                <w:sz w:val="17"/>
              </w:rPr>
              <w:t>Socionext Inc.</w:t>
            </w:r>
          </w:p>
        </w:tc>
        <w:tc>
          <w:tcPr>
            <w:tcW w:type="dxa" w:w="1701"/>
          </w:tcPr>
          <w:p>
            <w:pPr>
              <w:spacing w:after="0"/>
            </w:pPr>
            <w:r/>
            <w:r>
              <w:rPr>
                <w:rFonts w:ascii="Times New Roman" w:hAnsi="Times New Roman" w:eastAsia="ＭＳ 明朝"/>
                <w:b w:val="0"/>
                <w:sz w:val="17"/>
              </w:rPr>
              <w:t>Emerging Core</w:t>
            </w:r>
          </w:p>
        </w:tc>
        <w:tc>
          <w:tcPr>
            <w:tcW w:type="dxa" w:w="1474"/>
          </w:tcPr>
          <w:p>
            <w:pPr>
              <w:spacing w:after="0"/>
            </w:pPr>
            <w:r/>
            <w:r>
              <w:rPr>
                <w:rFonts w:ascii="Times New Roman" w:hAnsi="Times New Roman" w:eastAsia="ＭＳ 明朝"/>
                <w:b w:val="0"/>
                <w:sz w:val="17"/>
              </w:rPr>
              <w:t>semiconductor</w:t>
            </w:r>
          </w:p>
        </w:tc>
        <w:tc>
          <w:tcPr>
            <w:tcW w:type="dxa" w:w="907"/>
          </w:tcPr>
          <w:p>
            <w:pPr>
              <w:spacing w:after="0"/>
            </w:pPr>
            <w:r/>
            <w:r>
              <w:rPr>
                <w:rFonts w:ascii="Times New Roman" w:hAnsi="Times New Roman" w:eastAsia="ＭＳ 明朝"/>
                <w:b w:val="0"/>
                <w:sz w:val="17"/>
              </w:rPr>
              <w:t>4.90%</w:t>
            </w:r>
          </w:p>
        </w:tc>
        <w:tc>
          <w:tcPr>
            <w:tcW w:type="dxa" w:w="907"/>
          </w:tcPr>
          <w:p>
            <w:pPr>
              <w:spacing w:after="0"/>
            </w:pPr>
            <w:r/>
            <w:r>
              <w:rPr>
                <w:rFonts w:ascii="Times New Roman" w:hAnsi="Times New Roman" w:eastAsia="ＭＳ 明朝"/>
                <w:b w:val="0"/>
                <w:sz w:val="17"/>
              </w:rPr>
              <w:t>85</w:t>
            </w:r>
          </w:p>
        </w:tc>
        <w:tc>
          <w:tcPr>
            <w:tcW w:type="dxa" w:w="1474"/>
          </w:tcPr>
          <w:p>
            <w:pPr>
              <w:spacing w:after="0"/>
            </w:pPr>
            <w:r/>
            <w:r>
              <w:rPr>
                <w:rFonts w:ascii="Times New Roman" w:hAnsi="Times New Roman" w:eastAsia="ＭＳ 明朝"/>
                <w:b w:val="0"/>
                <w:sz w:val="17"/>
              </w:rPr>
              <w:t>¥243,270</w:t>
            </w:r>
          </w:p>
        </w:tc>
      </w:tr>
      <w:tr>
        <w:tc>
          <w:tcPr>
            <w:tcW w:type="dxa" w:w="794"/>
          </w:tcPr>
          <w:p>
            <w:pPr>
              <w:spacing w:after="0"/>
            </w:pPr>
            <w:r/>
            <w:r>
              <w:rPr>
                <w:rFonts w:ascii="Times New Roman" w:hAnsi="Times New Roman" w:eastAsia="ＭＳ 明朝"/>
                <w:b w:val="0"/>
                <w:sz w:val="17"/>
              </w:rPr>
              <w:t>6920</w:t>
            </w:r>
          </w:p>
        </w:tc>
        <w:tc>
          <w:tcPr>
            <w:tcW w:type="dxa" w:w="2268"/>
          </w:tcPr>
          <w:p>
            <w:pPr>
              <w:spacing w:after="0"/>
            </w:pPr>
            <w:r/>
            <w:r>
              <w:rPr>
                <w:rFonts w:ascii="Times New Roman" w:hAnsi="Times New Roman" w:eastAsia="ＭＳ 明朝"/>
                <w:b w:val="0"/>
                <w:sz w:val="17"/>
              </w:rPr>
              <w:t>Lasertec Corporati</w:t>
            </w:r>
          </w:p>
        </w:tc>
        <w:tc>
          <w:tcPr>
            <w:tcW w:type="dxa" w:w="1701"/>
          </w:tcPr>
          <w:p>
            <w:pPr>
              <w:spacing w:after="0"/>
            </w:pPr>
            <w:r/>
            <w:r>
              <w:rPr>
                <w:rFonts w:ascii="Times New Roman" w:hAnsi="Times New Roman" w:eastAsia="ＭＳ 明朝"/>
                <w:b w:val="0"/>
                <w:sz w:val="17"/>
              </w:rPr>
              <w:t>Emerging Core</w:t>
            </w:r>
          </w:p>
        </w:tc>
        <w:tc>
          <w:tcPr>
            <w:tcW w:type="dxa" w:w="1474"/>
          </w:tcPr>
          <w:p>
            <w:pPr>
              <w:spacing w:after="0"/>
            </w:pPr>
            <w:r/>
            <w:r>
              <w:rPr>
                <w:rFonts w:ascii="Times New Roman" w:hAnsi="Times New Roman" w:eastAsia="ＭＳ 明朝"/>
                <w:b w:val="0"/>
                <w:sz w:val="17"/>
              </w:rPr>
              <w:t>quality_assurance</w:t>
            </w:r>
          </w:p>
        </w:tc>
        <w:tc>
          <w:tcPr>
            <w:tcW w:type="dxa" w:w="907"/>
          </w:tcPr>
          <w:p>
            <w:pPr>
              <w:spacing w:after="0"/>
            </w:pPr>
            <w:r/>
            <w:r>
              <w:rPr>
                <w:rFonts w:ascii="Times New Roman" w:hAnsi="Times New Roman" w:eastAsia="ＭＳ 明朝"/>
                <w:b w:val="0"/>
                <w:sz w:val="17"/>
              </w:rPr>
              <w:t>4.82%</w:t>
            </w:r>
          </w:p>
        </w:tc>
        <w:tc>
          <w:tcPr>
            <w:tcW w:type="dxa" w:w="907"/>
          </w:tcPr>
          <w:p>
            <w:pPr>
              <w:spacing w:after="0"/>
            </w:pPr>
            <w:r/>
            <w:r>
              <w:rPr>
                <w:rFonts w:ascii="Times New Roman" w:hAnsi="Times New Roman" w:eastAsia="ＭＳ 明朝"/>
                <w:b w:val="0"/>
                <w:sz w:val="17"/>
              </w:rPr>
              <w:t>6</w:t>
            </w:r>
          </w:p>
        </w:tc>
        <w:tc>
          <w:tcPr>
            <w:tcW w:type="dxa" w:w="1474"/>
          </w:tcPr>
          <w:p>
            <w:pPr>
              <w:spacing w:after="0"/>
            </w:pPr>
            <w:r/>
            <w:r>
              <w:rPr>
                <w:rFonts w:ascii="Times New Roman" w:hAnsi="Times New Roman" w:eastAsia="ＭＳ 明朝"/>
                <w:b w:val="0"/>
                <w:sz w:val="17"/>
              </w:rPr>
              <w:t>¥230,280</w:t>
            </w:r>
          </w:p>
        </w:tc>
      </w:tr>
      <w:tr>
        <w:tc>
          <w:tcPr>
            <w:tcW w:type="dxa" w:w="794"/>
          </w:tcPr>
          <w:p>
            <w:pPr>
              <w:spacing w:after="0"/>
            </w:pPr>
            <w:r/>
            <w:r>
              <w:rPr>
                <w:rFonts w:ascii="Times New Roman" w:hAnsi="Times New Roman" w:eastAsia="ＭＳ 明朝"/>
                <w:b w:val="0"/>
                <w:sz w:val="17"/>
              </w:rPr>
              <w:t>6315</w:t>
            </w:r>
          </w:p>
        </w:tc>
        <w:tc>
          <w:tcPr>
            <w:tcW w:type="dxa" w:w="2268"/>
          </w:tcPr>
          <w:p>
            <w:pPr>
              <w:spacing w:after="0"/>
            </w:pPr>
            <w:r/>
            <w:r>
              <w:rPr>
                <w:rFonts w:ascii="Times New Roman" w:hAnsi="Times New Roman" w:eastAsia="ＭＳ 明朝"/>
                <w:b w:val="0"/>
                <w:sz w:val="17"/>
              </w:rPr>
              <w:t>TOWA CORPORATION</w:t>
            </w:r>
          </w:p>
        </w:tc>
        <w:tc>
          <w:tcPr>
            <w:tcW w:type="dxa" w:w="1701"/>
          </w:tcPr>
          <w:p>
            <w:pPr>
              <w:spacing w:after="0"/>
            </w:pPr>
            <w:r/>
            <w:r>
              <w:rPr>
                <w:rFonts w:ascii="Times New Roman" w:hAnsi="Times New Roman" w:eastAsia="ＭＳ 明朝"/>
                <w:b w:val="0"/>
                <w:sz w:val="17"/>
              </w:rPr>
              <w:t>Emerging Core</w:t>
            </w:r>
          </w:p>
        </w:tc>
        <w:tc>
          <w:tcPr>
            <w:tcW w:type="dxa" w:w="1474"/>
          </w:tcPr>
          <w:p>
            <w:pPr>
              <w:spacing w:after="0"/>
            </w:pPr>
            <w:r/>
            <w:r>
              <w:rPr>
                <w:rFonts w:ascii="Times New Roman" w:hAnsi="Times New Roman" w:eastAsia="ＭＳ 明朝"/>
                <w:b w:val="0"/>
                <w:sz w:val="17"/>
              </w:rPr>
              <w:t>semiconductor</w:t>
            </w:r>
          </w:p>
        </w:tc>
        <w:tc>
          <w:tcPr>
            <w:tcW w:type="dxa" w:w="907"/>
          </w:tcPr>
          <w:p>
            <w:pPr>
              <w:spacing w:after="0"/>
            </w:pPr>
            <w:r/>
            <w:r>
              <w:rPr>
                <w:rFonts w:ascii="Times New Roman" w:hAnsi="Times New Roman" w:eastAsia="ＭＳ 明朝"/>
                <w:b w:val="0"/>
                <w:sz w:val="17"/>
              </w:rPr>
              <w:t>4.35%</w:t>
            </w:r>
          </w:p>
        </w:tc>
        <w:tc>
          <w:tcPr>
            <w:tcW w:type="dxa" w:w="907"/>
          </w:tcPr>
          <w:p>
            <w:pPr>
              <w:spacing w:after="0"/>
            </w:pPr>
            <w:r/>
            <w:r>
              <w:rPr>
                <w:rFonts w:ascii="Times New Roman" w:hAnsi="Times New Roman" w:eastAsia="ＭＳ 明朝"/>
                <w:b w:val="0"/>
                <w:sz w:val="17"/>
              </w:rPr>
              <w:t>75</w:t>
            </w:r>
          </w:p>
        </w:tc>
        <w:tc>
          <w:tcPr>
            <w:tcW w:type="dxa" w:w="1474"/>
          </w:tcPr>
          <w:p>
            <w:pPr>
              <w:spacing w:after="0"/>
            </w:pPr>
            <w:r/>
            <w:r>
              <w:rPr>
                <w:rFonts w:ascii="Times New Roman" w:hAnsi="Times New Roman" w:eastAsia="ＭＳ 明朝"/>
                <w:b w:val="0"/>
                <w:sz w:val="17"/>
              </w:rPr>
              <w:t>¥216,600</w:t>
            </w:r>
          </w:p>
        </w:tc>
      </w:tr>
      <w:tr>
        <w:tc>
          <w:tcPr>
            <w:tcW w:type="dxa" w:w="794"/>
          </w:tcPr>
          <w:p>
            <w:pPr>
              <w:spacing w:after="0"/>
            </w:pPr>
            <w:r/>
            <w:r>
              <w:rPr>
                <w:rFonts w:ascii="Times New Roman" w:hAnsi="Times New Roman" w:eastAsia="ＭＳ 明朝"/>
                <w:b w:val="0"/>
                <w:sz w:val="17"/>
              </w:rPr>
              <w:t>5803</w:t>
            </w:r>
          </w:p>
        </w:tc>
        <w:tc>
          <w:tcPr>
            <w:tcW w:type="dxa" w:w="2268"/>
          </w:tcPr>
          <w:p>
            <w:pPr>
              <w:spacing w:after="0"/>
            </w:pPr>
            <w:r/>
            <w:r>
              <w:rPr>
                <w:rFonts w:ascii="Times New Roman" w:hAnsi="Times New Roman" w:eastAsia="ＭＳ 明朝"/>
                <w:b w:val="0"/>
                <w:sz w:val="17"/>
              </w:rPr>
              <w:t>Fujikura Ltd.</w:t>
            </w:r>
          </w:p>
        </w:tc>
        <w:tc>
          <w:tcPr>
            <w:tcW w:type="dxa" w:w="1701"/>
          </w:tcPr>
          <w:p>
            <w:pPr>
              <w:spacing w:after="0"/>
            </w:pPr>
            <w:r/>
            <w:r>
              <w:rPr>
                <w:rFonts w:ascii="Times New Roman" w:hAnsi="Times New Roman" w:eastAsia="ＭＳ 明朝"/>
                <w:b w:val="0"/>
                <w:sz w:val="17"/>
              </w:rPr>
              <w:t>Emerging Core</w:t>
            </w:r>
          </w:p>
        </w:tc>
        <w:tc>
          <w:tcPr>
            <w:tcW w:type="dxa" w:w="1474"/>
          </w:tcPr>
          <w:p>
            <w:pPr>
              <w:spacing w:after="0"/>
            </w:pPr>
            <w:r/>
            <w:r>
              <w:rPr>
                <w:rFonts w:ascii="Times New Roman" w:hAnsi="Times New Roman" w:eastAsia="ＭＳ 明朝"/>
                <w:b w:val="0"/>
                <w:sz w:val="17"/>
              </w:rPr>
              <w:t>optical_communication</w:t>
            </w:r>
          </w:p>
        </w:tc>
        <w:tc>
          <w:tcPr>
            <w:tcW w:type="dxa" w:w="907"/>
          </w:tcPr>
          <w:p>
            <w:pPr>
              <w:spacing w:after="0"/>
            </w:pPr>
            <w:r/>
            <w:r>
              <w:rPr>
                <w:rFonts w:ascii="Times New Roman" w:hAnsi="Times New Roman" w:eastAsia="ＭＳ 明朝"/>
                <w:b w:val="0"/>
                <w:sz w:val="17"/>
              </w:rPr>
              <w:t>4.02%</w:t>
            </w:r>
          </w:p>
        </w:tc>
        <w:tc>
          <w:tcPr>
            <w:tcW w:type="dxa" w:w="907"/>
          </w:tcPr>
          <w:p>
            <w:pPr>
              <w:spacing w:after="0"/>
            </w:pPr>
            <w:r/>
            <w:r>
              <w:rPr>
                <w:rFonts w:ascii="Times New Roman" w:hAnsi="Times New Roman" w:eastAsia="ＭＳ 明朝"/>
                <w:b w:val="0"/>
                <w:sz w:val="17"/>
              </w:rPr>
              <w:t>42</w:t>
            </w:r>
          </w:p>
        </w:tc>
        <w:tc>
          <w:tcPr>
            <w:tcW w:type="dxa" w:w="1474"/>
          </w:tcPr>
          <w:p>
            <w:pPr>
              <w:spacing w:after="0"/>
            </w:pPr>
            <w:r/>
            <w:r>
              <w:rPr>
                <w:rFonts w:ascii="Times New Roman" w:hAnsi="Times New Roman" w:eastAsia="ＭＳ 明朝"/>
                <w:b w:val="0"/>
                <w:sz w:val="17"/>
              </w:rPr>
              <w:t>¥196,434</w:t>
            </w:r>
          </w:p>
        </w:tc>
      </w:tr>
      <w:tr>
        <w:tc>
          <w:tcPr>
            <w:tcW w:type="dxa" w:w="794"/>
          </w:tcPr>
          <w:p>
            <w:pPr>
              <w:spacing w:after="0"/>
            </w:pPr>
            <w:r/>
            <w:r>
              <w:rPr>
                <w:rFonts w:ascii="Times New Roman" w:hAnsi="Times New Roman" w:eastAsia="ＭＳ 明朝"/>
                <w:b w:val="0"/>
                <w:sz w:val="17"/>
              </w:rPr>
              <w:t>9474</w:t>
            </w:r>
          </w:p>
        </w:tc>
        <w:tc>
          <w:tcPr>
            <w:tcW w:type="dxa" w:w="2268"/>
          </w:tcPr>
          <w:p>
            <w:pPr>
              <w:spacing w:after="0"/>
            </w:pPr>
            <w:r/>
            <w:r>
              <w:rPr>
                <w:rFonts w:ascii="Times New Roman" w:hAnsi="Times New Roman" w:eastAsia="ＭＳ 明朝"/>
                <w:b w:val="0"/>
                <w:sz w:val="17"/>
              </w:rPr>
              <w:t>ZENRIN CO.,LTD.</w:t>
            </w:r>
          </w:p>
        </w:tc>
        <w:tc>
          <w:tcPr>
            <w:tcW w:type="dxa" w:w="1701"/>
          </w:tcPr>
          <w:p>
            <w:pPr>
              <w:spacing w:after="0"/>
            </w:pPr>
            <w:r/>
            <w:r>
              <w:rPr>
                <w:rFonts w:ascii="Times New Roman" w:hAnsi="Times New Roman" w:eastAsia="ＭＳ 明朝"/>
                <w:b w:val="0"/>
                <w:sz w:val="17"/>
              </w:rPr>
              <w:t>Dual Moat</w:t>
            </w:r>
          </w:p>
        </w:tc>
        <w:tc>
          <w:tcPr>
            <w:tcW w:type="dxa" w:w="1474"/>
          </w:tcPr>
          <w:p>
            <w:pPr>
              <w:spacing w:after="0"/>
            </w:pPr>
            <w:r/>
            <w:r>
              <w:rPr>
                <w:rFonts w:ascii="Times New Roman" w:hAnsi="Times New Roman" w:eastAsia="ＭＳ 明朝"/>
                <w:b w:val="0"/>
                <w:sz w:val="17"/>
              </w:rPr>
              <w:t>business_data</w:t>
            </w:r>
          </w:p>
        </w:tc>
        <w:tc>
          <w:tcPr>
            <w:tcW w:type="dxa" w:w="907"/>
          </w:tcPr>
          <w:p>
            <w:pPr>
              <w:spacing w:after="0"/>
            </w:pPr>
            <w:r/>
            <w:r>
              <w:rPr>
                <w:rFonts w:ascii="Times New Roman" w:hAnsi="Times New Roman" w:eastAsia="ＭＳ 明朝"/>
                <w:b w:val="0"/>
                <w:sz w:val="17"/>
              </w:rPr>
              <w:t>7.46%</w:t>
            </w:r>
          </w:p>
        </w:tc>
        <w:tc>
          <w:tcPr>
            <w:tcW w:type="dxa" w:w="907"/>
          </w:tcPr>
          <w:p>
            <w:pPr>
              <w:spacing w:after="0"/>
            </w:pPr>
            <w:r/>
            <w:r>
              <w:rPr>
                <w:rFonts w:ascii="Times New Roman" w:hAnsi="Times New Roman" w:eastAsia="ＭＳ 明朝"/>
                <w:b w:val="0"/>
                <w:sz w:val="17"/>
              </w:rPr>
              <w:t>428</w:t>
            </w:r>
          </w:p>
        </w:tc>
        <w:tc>
          <w:tcPr>
            <w:tcW w:type="dxa" w:w="1474"/>
          </w:tcPr>
          <w:p>
            <w:pPr>
              <w:spacing w:after="0"/>
            </w:pPr>
            <w:r/>
            <w:r>
              <w:rPr>
                <w:rFonts w:ascii="Times New Roman" w:hAnsi="Times New Roman" w:eastAsia="ＭＳ 明朝"/>
                <w:b w:val="0"/>
                <w:sz w:val="17"/>
              </w:rPr>
              <w:t>¥372,360</w:t>
            </w:r>
          </w:p>
        </w:tc>
      </w:tr>
      <w:tr>
        <w:tc>
          <w:tcPr>
            <w:tcW w:type="dxa" w:w="794"/>
          </w:tcPr>
          <w:p>
            <w:pPr>
              <w:spacing w:after="0"/>
            </w:pPr>
            <w:r/>
            <w:r>
              <w:rPr>
                <w:rFonts w:ascii="Times New Roman" w:hAnsi="Times New Roman" w:eastAsia="ＭＳ 明朝"/>
                <w:b w:val="0"/>
                <w:sz w:val="17"/>
              </w:rPr>
              <w:t>6841</w:t>
            </w:r>
          </w:p>
        </w:tc>
        <w:tc>
          <w:tcPr>
            <w:tcW w:type="dxa" w:w="2268"/>
          </w:tcPr>
          <w:p>
            <w:pPr>
              <w:spacing w:after="0"/>
            </w:pPr>
            <w:r/>
            <w:r>
              <w:rPr>
                <w:rFonts w:ascii="Times New Roman" w:hAnsi="Times New Roman" w:eastAsia="ＭＳ 明朝"/>
                <w:b w:val="0"/>
                <w:sz w:val="17"/>
              </w:rPr>
              <w:t xml:space="preserve">YOKOGAWA ELECTRIC </w:t>
            </w:r>
          </w:p>
        </w:tc>
        <w:tc>
          <w:tcPr>
            <w:tcW w:type="dxa" w:w="1701"/>
          </w:tcPr>
          <w:p>
            <w:pPr>
              <w:spacing w:after="0"/>
            </w:pPr>
            <w:r/>
            <w:r>
              <w:rPr>
                <w:rFonts w:ascii="Times New Roman" w:hAnsi="Times New Roman" w:eastAsia="ＭＳ 明朝"/>
                <w:b w:val="0"/>
                <w:sz w:val="17"/>
              </w:rPr>
              <w:t>Dual Moat</w:t>
            </w:r>
          </w:p>
        </w:tc>
        <w:tc>
          <w:tcPr>
            <w:tcW w:type="dxa" w:w="1474"/>
          </w:tcPr>
          <w:p>
            <w:pPr>
              <w:spacing w:after="0"/>
            </w:pPr>
            <w:r/>
            <w:r>
              <w:rPr>
                <w:rFonts w:ascii="Times New Roman" w:hAnsi="Times New Roman" w:eastAsia="ＭＳ 明朝"/>
                <w:b w:val="0"/>
                <w:sz w:val="17"/>
              </w:rPr>
              <w:t>factory_automation</w:t>
            </w:r>
          </w:p>
        </w:tc>
        <w:tc>
          <w:tcPr>
            <w:tcW w:type="dxa" w:w="907"/>
          </w:tcPr>
          <w:p>
            <w:pPr>
              <w:spacing w:after="0"/>
            </w:pPr>
            <w:r/>
            <w:r>
              <w:rPr>
                <w:rFonts w:ascii="Times New Roman" w:hAnsi="Times New Roman" w:eastAsia="ＭＳ 明朝"/>
                <w:b w:val="0"/>
                <w:sz w:val="17"/>
              </w:rPr>
              <w:t>4.55%</w:t>
            </w:r>
          </w:p>
        </w:tc>
        <w:tc>
          <w:tcPr>
            <w:tcW w:type="dxa" w:w="907"/>
          </w:tcPr>
          <w:p>
            <w:pPr>
              <w:spacing w:after="0"/>
            </w:pPr>
            <w:r/>
            <w:r>
              <w:rPr>
                <w:rFonts w:ascii="Times New Roman" w:hAnsi="Times New Roman" w:eastAsia="ＭＳ 明朝"/>
                <w:b w:val="0"/>
                <w:sz w:val="17"/>
              </w:rPr>
              <w:t>44</w:t>
            </w:r>
          </w:p>
        </w:tc>
        <w:tc>
          <w:tcPr>
            <w:tcW w:type="dxa" w:w="1474"/>
          </w:tcPr>
          <w:p>
            <w:pPr>
              <w:spacing w:after="0"/>
            </w:pPr>
            <w:r/>
            <w:r>
              <w:rPr>
                <w:rFonts w:ascii="Times New Roman" w:hAnsi="Times New Roman" w:eastAsia="ＭＳ 明朝"/>
                <w:b w:val="0"/>
                <w:sz w:val="17"/>
              </w:rPr>
              <w:t>¥223,388</w:t>
            </w:r>
          </w:p>
        </w:tc>
      </w:tr>
      <w:tr>
        <w:tc>
          <w:tcPr>
            <w:tcW w:type="dxa" w:w="794"/>
          </w:tcPr>
          <w:p>
            <w:pPr>
              <w:spacing w:after="0"/>
            </w:pPr>
            <w:r/>
            <w:r>
              <w:rPr>
                <w:rFonts w:ascii="Times New Roman" w:hAnsi="Times New Roman" w:eastAsia="ＭＳ 明朝"/>
                <w:b w:val="0"/>
                <w:sz w:val="17"/>
              </w:rPr>
              <w:t>3697</w:t>
            </w:r>
          </w:p>
        </w:tc>
        <w:tc>
          <w:tcPr>
            <w:tcW w:type="dxa" w:w="2268"/>
          </w:tcPr>
          <w:p>
            <w:pPr>
              <w:spacing w:after="0"/>
            </w:pPr>
            <w:r/>
            <w:r>
              <w:rPr>
                <w:rFonts w:ascii="Times New Roman" w:hAnsi="Times New Roman" w:eastAsia="ＭＳ 明朝"/>
                <w:b w:val="0"/>
                <w:sz w:val="17"/>
              </w:rPr>
              <w:t>SHIFT Inc.</w:t>
            </w:r>
          </w:p>
        </w:tc>
        <w:tc>
          <w:tcPr>
            <w:tcW w:type="dxa" w:w="1701"/>
          </w:tcPr>
          <w:p>
            <w:pPr>
              <w:spacing w:after="0"/>
            </w:pPr>
            <w:r/>
            <w:r>
              <w:rPr>
                <w:rFonts w:ascii="Times New Roman" w:hAnsi="Times New Roman" w:eastAsia="ＭＳ 明朝"/>
                <w:b w:val="0"/>
                <w:sz w:val="17"/>
              </w:rPr>
              <w:t>Dual Moat</w:t>
            </w:r>
          </w:p>
        </w:tc>
        <w:tc>
          <w:tcPr>
            <w:tcW w:type="dxa" w:w="1474"/>
          </w:tcPr>
          <w:p>
            <w:pPr>
              <w:spacing w:after="0"/>
            </w:pPr>
            <w:r/>
            <w:r>
              <w:rPr>
                <w:rFonts w:ascii="Times New Roman" w:hAnsi="Times New Roman" w:eastAsia="ＭＳ 明朝"/>
                <w:b w:val="0"/>
                <w:sz w:val="17"/>
              </w:rPr>
              <w:t>quality_assurance</w:t>
            </w:r>
          </w:p>
        </w:tc>
        <w:tc>
          <w:tcPr>
            <w:tcW w:type="dxa" w:w="907"/>
          </w:tcPr>
          <w:p>
            <w:pPr>
              <w:spacing w:after="0"/>
            </w:pPr>
            <w:r/>
            <w:r>
              <w:rPr>
                <w:rFonts w:ascii="Times New Roman" w:hAnsi="Times New Roman" w:eastAsia="ＭＳ 明朝"/>
                <w:b w:val="0"/>
                <w:sz w:val="17"/>
              </w:rPr>
              <w:t>2.99%</w:t>
            </w:r>
          </w:p>
        </w:tc>
        <w:tc>
          <w:tcPr>
            <w:tcW w:type="dxa" w:w="907"/>
          </w:tcPr>
          <w:p>
            <w:pPr>
              <w:spacing w:after="0"/>
            </w:pPr>
            <w:r/>
            <w:r>
              <w:rPr>
                <w:rFonts w:ascii="Times New Roman" w:hAnsi="Times New Roman" w:eastAsia="ＭＳ 明朝"/>
                <w:b w:val="0"/>
                <w:sz w:val="17"/>
              </w:rPr>
              <w:t>205</w:t>
            </w:r>
          </w:p>
        </w:tc>
        <w:tc>
          <w:tcPr>
            <w:tcW w:type="dxa" w:w="1474"/>
          </w:tcPr>
          <w:p>
            <w:pPr>
              <w:spacing w:after="0"/>
            </w:pPr>
            <w:r/>
            <w:r>
              <w:rPr>
                <w:rFonts w:ascii="Times New Roman" w:hAnsi="Times New Roman" w:eastAsia="ＭＳ 明朝"/>
                <w:b w:val="0"/>
                <w:sz w:val="17"/>
              </w:rPr>
              <w:t>¥149,076</w:t>
            </w:r>
          </w:p>
        </w:tc>
      </w:tr>
      <w:tr>
        <w:tc>
          <w:tcPr>
            <w:tcW w:type="dxa" w:w="794"/>
          </w:tcPr>
          <w:p>
            <w:pPr>
              <w:spacing w:after="0"/>
            </w:pPr>
            <w:r/>
            <w:r>
              <w:rPr>
                <w:rFonts w:ascii="Times New Roman" w:hAnsi="Times New Roman" w:eastAsia="ＭＳ 明朝"/>
                <w:b w:val="0"/>
                <w:sz w:val="17"/>
              </w:rPr>
              <w:t>2112</w:t>
            </w:r>
          </w:p>
        </w:tc>
        <w:tc>
          <w:tcPr>
            <w:tcW w:type="dxa" w:w="2268"/>
          </w:tcPr>
          <w:p>
            <w:pPr>
              <w:spacing w:after="0"/>
            </w:pPr>
            <w:r/>
            <w:r>
              <w:rPr>
                <w:rFonts w:ascii="Times New Roman" w:hAnsi="Times New Roman" w:eastAsia="ＭＳ 明朝"/>
                <w:b w:val="0"/>
                <w:sz w:val="17"/>
              </w:rPr>
              <w:t>Ensuiko Sugar Refi</w:t>
            </w:r>
          </w:p>
        </w:tc>
        <w:tc>
          <w:tcPr>
            <w:tcW w:type="dxa" w:w="1701"/>
          </w:tcPr>
          <w:p>
            <w:pPr>
              <w:spacing w:after="0"/>
            </w:pPr>
            <w:r/>
            <w:r>
              <w:rPr>
                <w:rFonts w:ascii="Times New Roman" w:hAnsi="Times New Roman" w:eastAsia="ＭＳ 明朝"/>
                <w:b w:val="0"/>
                <w:sz w:val="17"/>
              </w:rPr>
              <w:t>Bridge / Diversifier</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6.40%</w:t>
            </w:r>
          </w:p>
        </w:tc>
        <w:tc>
          <w:tcPr>
            <w:tcW w:type="dxa" w:w="907"/>
          </w:tcPr>
          <w:p>
            <w:pPr>
              <w:spacing w:after="0"/>
            </w:pPr>
            <w:r/>
            <w:r>
              <w:rPr>
                <w:rFonts w:ascii="Times New Roman" w:hAnsi="Times New Roman" w:eastAsia="ＭＳ 明朝"/>
                <w:b w:val="0"/>
                <w:sz w:val="17"/>
              </w:rPr>
              <w:t>749</w:t>
            </w:r>
          </w:p>
        </w:tc>
        <w:tc>
          <w:tcPr>
            <w:tcW w:type="dxa" w:w="1474"/>
          </w:tcPr>
          <w:p>
            <w:pPr>
              <w:spacing w:after="0"/>
            </w:pPr>
            <w:r/>
            <w:r>
              <w:rPr>
                <w:rFonts w:ascii="Times New Roman" w:hAnsi="Times New Roman" w:eastAsia="ＭＳ 明朝"/>
                <w:b w:val="0"/>
                <w:sz w:val="17"/>
              </w:rPr>
              <w:t>¥319,823</w:t>
            </w:r>
          </w:p>
        </w:tc>
      </w:tr>
      <w:tr>
        <w:tc>
          <w:tcPr>
            <w:tcW w:type="dxa" w:w="794"/>
          </w:tcPr>
          <w:p>
            <w:pPr>
              <w:spacing w:after="0"/>
            </w:pPr>
            <w:r/>
            <w:r>
              <w:rPr>
                <w:rFonts w:ascii="Times New Roman" w:hAnsi="Times New Roman" w:eastAsia="ＭＳ 明朝"/>
                <w:b w:val="0"/>
                <w:sz w:val="17"/>
              </w:rPr>
              <w:t>3089</w:t>
            </w:r>
          </w:p>
        </w:tc>
        <w:tc>
          <w:tcPr>
            <w:tcW w:type="dxa" w:w="2268"/>
          </w:tcPr>
          <w:p>
            <w:pPr>
              <w:spacing w:after="0"/>
            </w:pPr>
            <w:r/>
            <w:r>
              <w:rPr>
                <w:rFonts w:ascii="Times New Roman" w:hAnsi="Times New Roman" w:eastAsia="ＭＳ 明朝"/>
                <w:b w:val="0"/>
                <w:sz w:val="17"/>
              </w:rPr>
              <w:t>Techno Alpha Co.,L</w:t>
            </w:r>
          </w:p>
        </w:tc>
        <w:tc>
          <w:tcPr>
            <w:tcW w:type="dxa" w:w="1701"/>
          </w:tcPr>
          <w:p>
            <w:pPr>
              <w:spacing w:after="0"/>
            </w:pPr>
            <w:r/>
            <w:r>
              <w:rPr>
                <w:rFonts w:ascii="Times New Roman" w:hAnsi="Times New Roman" w:eastAsia="ＭＳ 明朝"/>
                <w:b w:val="0"/>
                <w:sz w:val="17"/>
              </w:rPr>
              <w:t>Bridge / Diversifier</w:t>
            </w:r>
          </w:p>
        </w:tc>
        <w:tc>
          <w:tcPr>
            <w:tcW w:type="dxa" w:w="1474"/>
          </w:tcPr>
          <w:p>
            <w:pPr>
              <w:spacing w:after="0"/>
            </w:pPr>
            <w:r/>
            <w:r>
              <w:rPr>
                <w:rFonts w:ascii="Times New Roman" w:hAnsi="Times New Roman" w:eastAsia="ＭＳ 明朝"/>
                <w:b w:val="0"/>
                <w:sz w:val="17"/>
              </w:rPr>
              <w:t>non_ai</w:t>
            </w:r>
          </w:p>
        </w:tc>
        <w:tc>
          <w:tcPr>
            <w:tcW w:type="dxa" w:w="907"/>
          </w:tcPr>
          <w:p>
            <w:pPr>
              <w:spacing w:after="0"/>
            </w:pPr>
            <w:r/>
            <w:r>
              <w:rPr>
                <w:rFonts w:ascii="Times New Roman" w:hAnsi="Times New Roman" w:eastAsia="ＭＳ 明朝"/>
                <w:b w:val="0"/>
                <w:sz w:val="17"/>
              </w:rPr>
              <w:t>3.60%</w:t>
            </w:r>
          </w:p>
        </w:tc>
        <w:tc>
          <w:tcPr>
            <w:tcW w:type="dxa" w:w="907"/>
          </w:tcPr>
          <w:p>
            <w:pPr>
              <w:spacing w:after="0"/>
            </w:pPr>
            <w:r/>
            <w:r>
              <w:rPr>
                <w:rFonts w:ascii="Times New Roman" w:hAnsi="Times New Roman" w:eastAsia="ＭＳ 明朝"/>
                <w:b w:val="0"/>
                <w:sz w:val="17"/>
              </w:rPr>
              <w:t>143</w:t>
            </w:r>
          </w:p>
        </w:tc>
        <w:tc>
          <w:tcPr>
            <w:tcW w:type="dxa" w:w="1474"/>
          </w:tcPr>
          <w:p>
            <w:pPr>
              <w:spacing w:after="0"/>
            </w:pPr>
            <w:r/>
            <w:r>
              <w:rPr>
                <w:rFonts w:ascii="Times New Roman" w:hAnsi="Times New Roman" w:eastAsia="ＭＳ 明朝"/>
                <w:b w:val="0"/>
                <w:sz w:val="17"/>
              </w:rPr>
              <w:t>¥179,036</w:t>
            </w:r>
          </w:p>
        </w:tc>
      </w:tr>
    </w:tbl>
    <w:p>
      <w:pPr>
        <w:spacing w:before="20" w:after="120"/>
        <w:jc w:val="center"/>
      </w:pPr>
      <w:r>
        <w:rPr>
          <w:rFonts w:ascii="ＭＳ ゴシック" w:hAnsi="ＭＳ ゴシック" w:eastAsia="ＭＳ ゴシック"/>
          <w:b/>
          <w:sz w:val="18"/>
        </w:rPr>
        <w:t>図表 III-1　投資企業ポートフォリオ（配分案C・単元未満株 L=1 基準）</w:t>
      </w:r>
    </w:p>
    <w:p>
      <w:pPr>
        <w:spacing w:before="0" w:after="120"/>
      </w:pPr>
      <w:r>
        <w:rPr>
          <w:rFonts w:ascii="Times New Roman" w:hAnsi="Times New Roman" w:eastAsia="ＭＳ 明朝"/>
          <w:b w:val="0"/>
          <w:sz w:val="16"/>
        </w:rPr>
        <w:t>注：総予算 500 万円、投資額 ¥4,949,198、残現金 ¥50,801（消化率 99.0%）。L=100（実単元）では株価の高い 9 社が購入不可となり消化率 46.7%（本文注2）。</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2．銘柄紹介</w:t>
      </w:r>
    </w:p>
    <w:p>
      <w:pPr>
        <w:spacing w:before="0" w:after="100" w:line="324" w:lineRule="auto"/>
      </w:pPr>
      <w:r>
        <w:rPr>
          <w:rFonts w:ascii="Times New Roman" w:hAnsi="Times New Roman" w:eastAsia="ＭＳ 明朝"/>
          <w:b w:val="0"/>
          <w:sz w:val="19"/>
        </w:rPr>
        <w:t>選定 20 社について，企業概要・役割（完成／変わる／生まれる Moat）・Moat の根拠を紹介する。以下は記入テンプレートである（左列はスクリーニング結果から自動記入。企業概要と Moat の根拠は提出者が各社 IR・有価証券報告書等に基づき記入）。</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2F6D5F"/>
          </w:tcPr>
          <w:p>
            <w:pPr>
              <w:spacing w:after="0"/>
            </w:pPr>
            <w:r/>
            <w:r>
              <w:rPr>
                <w:rFonts w:ascii="ＭＳ ゴシック" w:hAnsi="ＭＳ ゴシック" w:eastAsia="ＭＳ ゴシック"/>
                <w:b/>
                <w:color w:val="FFFFFF"/>
                <w:sz w:val="18"/>
              </w:rPr>
              <w:t>企業名（コード）／業種／役割・テーマ</w:t>
            </w:r>
          </w:p>
        </w:tc>
        <w:tc>
          <w:tcPr>
            <w:tcW w:type="dxa" w:w="3402"/>
            <w:shd w:val="clear" w:color="auto" w:fill="2F6D5F"/>
          </w:tcPr>
          <w:p>
            <w:pPr>
              <w:spacing w:after="0"/>
            </w:pPr>
            <w:r/>
            <w:r>
              <w:rPr>
                <w:rFonts w:ascii="ＭＳ ゴシック" w:hAnsi="ＭＳ ゴシック" w:eastAsia="ＭＳ ゴシック"/>
                <w:b/>
                <w:color w:val="FFFFFF"/>
                <w:sz w:val="18"/>
              </w:rPr>
              <w:t>企業概要（記入）</w:t>
            </w:r>
          </w:p>
        </w:tc>
        <w:tc>
          <w:tcPr>
            <w:tcW w:type="dxa" w:w="3742"/>
            <w:shd w:val="clear" w:color="auto" w:fill="2F6D5F"/>
          </w:tcPr>
          <w:p>
            <w:pPr>
              <w:spacing w:after="0"/>
            </w:pPr>
            <w:r/>
            <w:r>
              <w:rPr>
                <w:rFonts w:ascii="ＭＳ ゴシック" w:hAnsi="ＭＳ ゴシック" w:eastAsia="ＭＳ ゴシック"/>
                <w:b/>
                <w:color w:val="FFFFFF"/>
                <w:sz w:val="18"/>
              </w:rPr>
              <w:t>Moat の根拠：変わる／生まれる（記入）</w:t>
            </w:r>
          </w:p>
        </w:tc>
      </w:tr>
      <w:tr>
        <w:tc>
          <w:tcPr>
            <w:tcW w:type="dxa" w:w="2381"/>
            <w:shd w:val="clear" w:color="auto" w:fill="DCE8E4"/>
          </w:tcPr>
          <w:p>
            <w:pPr>
              <w:spacing w:after="0"/>
            </w:pPr>
            <w:r/>
            <w:r>
              <w:rPr>
                <w:rFonts w:ascii="ＭＳ ゴシック" w:hAnsi="ＭＳ ゴシック" w:eastAsia="ＭＳ ゴシック"/>
                <w:b/>
                <w:color w:val="2F6D5F"/>
                <w:sz w:val="17"/>
              </w:rPr>
              <w:t>GAKKEN HOLDINGS CO.,（9470）</w:t>
            </w:r>
          </w:p>
          <w:p>
            <w:pPr>
              <w:spacing w:after="0"/>
            </w:pPr>
            <w:r>
              <w:rPr>
                <w:rFonts w:ascii="Times New Roman" w:hAnsi="Times New Roman" w:eastAsia="ＭＳ 明朝"/>
                <w:b w:val="0"/>
                <w:sz w:val="16"/>
              </w:rPr>
              <w:t>Information &amp; Communication</w:t>
            </w:r>
          </w:p>
          <w:p>
            <w:pPr>
              <w:spacing w:after="0"/>
            </w:pPr>
            <w:r>
              <w:rPr>
                <w:rFonts w:ascii="Times New Roman" w:hAnsi="Times New Roman" w:eastAsia="ＭＳ 明朝"/>
                <w:b w:val="0"/>
                <w:sz w:val="16"/>
              </w:rPr>
              <w:t>Buffett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JM HOLDINGS CO.,LTD.（3539）</w:t>
            </w:r>
          </w:p>
          <w:p>
            <w:pPr>
              <w:spacing w:after="0"/>
            </w:pPr>
            <w:r>
              <w:rPr>
                <w:rFonts w:ascii="Times New Roman" w:hAnsi="Times New Roman" w:eastAsia="ＭＳ 明朝"/>
                <w:b w:val="0"/>
                <w:sz w:val="16"/>
              </w:rPr>
              <w:t>Retail Trade</w:t>
            </w:r>
          </w:p>
          <w:p>
            <w:pPr>
              <w:spacing w:after="0"/>
            </w:pPr>
            <w:r>
              <w:rPr>
                <w:rFonts w:ascii="Times New Roman" w:hAnsi="Times New Roman" w:eastAsia="ＭＳ 明朝"/>
                <w:b w:val="0"/>
                <w:sz w:val="16"/>
              </w:rPr>
              <w:t>Buffett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DAIKOKU DENKI CO.,LT（6430）</w:t>
            </w:r>
          </w:p>
          <w:p>
            <w:pPr>
              <w:spacing w:after="0"/>
            </w:pPr>
            <w:r>
              <w:rPr>
                <w:rFonts w:ascii="Times New Roman" w:hAnsi="Times New Roman" w:eastAsia="ＭＳ 明朝"/>
                <w:b w:val="0"/>
                <w:sz w:val="16"/>
              </w:rPr>
              <w:t>Machinery</w:t>
            </w:r>
          </w:p>
          <w:p>
            <w:pPr>
              <w:spacing w:after="0"/>
            </w:pPr>
            <w:r>
              <w:rPr>
                <w:rFonts w:ascii="Times New Roman" w:hAnsi="Times New Roman" w:eastAsia="ＭＳ 明朝"/>
                <w:b w:val="0"/>
                <w:sz w:val="16"/>
              </w:rPr>
              <w:t>Buffett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MEDICAL SYSTEM NETWO（4350）</w:t>
            </w:r>
          </w:p>
          <w:p>
            <w:pPr>
              <w:spacing w:after="0"/>
            </w:pPr>
            <w:r>
              <w:rPr>
                <w:rFonts w:ascii="Times New Roman" w:hAnsi="Times New Roman" w:eastAsia="ＭＳ 明朝"/>
                <w:b w:val="0"/>
                <w:sz w:val="16"/>
              </w:rPr>
              <w:t>Retail Trade</w:t>
            </w:r>
          </w:p>
          <w:p>
            <w:pPr>
              <w:spacing w:after="0"/>
            </w:pPr>
            <w:r>
              <w:rPr>
                <w:rFonts w:ascii="Times New Roman" w:hAnsi="Times New Roman" w:eastAsia="ＭＳ 明朝"/>
                <w:b w:val="0"/>
                <w:sz w:val="16"/>
              </w:rPr>
              <w:t>Buffett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Bushiroad Inc.（7803）</w:t>
            </w:r>
          </w:p>
          <w:p>
            <w:pPr>
              <w:spacing w:after="0"/>
            </w:pPr>
            <w:r>
              <w:rPr>
                <w:rFonts w:ascii="Times New Roman" w:hAnsi="Times New Roman" w:eastAsia="ＭＳ 明朝"/>
                <w:b w:val="0"/>
                <w:sz w:val="16"/>
              </w:rPr>
              <w:t>Other Products</w:t>
            </w:r>
          </w:p>
          <w:p>
            <w:pPr>
              <w:spacing w:after="0"/>
            </w:pPr>
            <w:r>
              <w:rPr>
                <w:rFonts w:ascii="Times New Roman" w:hAnsi="Times New Roman" w:eastAsia="ＭＳ 明朝"/>
                <w:b w:val="0"/>
                <w:sz w:val="16"/>
              </w:rPr>
              <w:t>Buffett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HOKKAN HOLDINGS LIMI（5902）</w:t>
            </w:r>
          </w:p>
          <w:p>
            <w:pPr>
              <w:spacing w:after="0"/>
            </w:pPr>
            <w:r>
              <w:rPr>
                <w:rFonts w:ascii="Times New Roman" w:hAnsi="Times New Roman" w:eastAsia="ＭＳ 明朝"/>
                <w:b w:val="0"/>
                <w:sz w:val="16"/>
              </w:rPr>
              <w:t>Metal Products</w:t>
            </w:r>
          </w:p>
          <w:p>
            <w:pPr>
              <w:spacing w:after="0"/>
            </w:pPr>
            <w:r>
              <w:rPr>
                <w:rFonts w:ascii="Times New Roman" w:hAnsi="Times New Roman" w:eastAsia="ＭＳ 明朝"/>
                <w:b w:val="0"/>
                <w:sz w:val="16"/>
              </w:rPr>
              <w:t>Transformation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Genki Global Dining （9828）</w:t>
            </w:r>
          </w:p>
          <w:p>
            <w:pPr>
              <w:spacing w:after="0"/>
            </w:pPr>
            <w:r>
              <w:rPr>
                <w:rFonts w:ascii="Times New Roman" w:hAnsi="Times New Roman" w:eastAsia="ＭＳ 明朝"/>
                <w:b w:val="0"/>
                <w:sz w:val="16"/>
              </w:rPr>
              <w:t>Retail Trade</w:t>
            </w:r>
          </w:p>
          <w:p>
            <w:pPr>
              <w:spacing w:after="0"/>
            </w:pPr>
            <w:r>
              <w:rPr>
                <w:rFonts w:ascii="Times New Roman" w:hAnsi="Times New Roman" w:eastAsia="ＭＳ 明朝"/>
                <w:b w:val="0"/>
                <w:sz w:val="16"/>
              </w:rPr>
              <w:t>Transformation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KAMEI CORPORATION（8037）</w:t>
            </w:r>
          </w:p>
          <w:p>
            <w:pPr>
              <w:spacing w:after="0"/>
            </w:pPr>
            <w:r>
              <w:rPr>
                <w:rFonts w:ascii="Times New Roman" w:hAnsi="Times New Roman" w:eastAsia="ＭＳ 明朝"/>
                <w:b w:val="0"/>
                <w:sz w:val="16"/>
              </w:rPr>
              <w:t>Wholesale Trade</w:t>
            </w:r>
          </w:p>
          <w:p>
            <w:pPr>
              <w:spacing w:after="0"/>
            </w:pPr>
            <w:r>
              <w:rPr>
                <w:rFonts w:ascii="Times New Roman" w:hAnsi="Times New Roman" w:eastAsia="ＭＳ 明朝"/>
                <w:b w:val="0"/>
                <w:sz w:val="16"/>
              </w:rPr>
              <w:t>Transformation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Nippon Paper Industr（3863）</w:t>
            </w:r>
          </w:p>
          <w:p>
            <w:pPr>
              <w:spacing w:after="0"/>
            </w:pPr>
            <w:r>
              <w:rPr>
                <w:rFonts w:ascii="Times New Roman" w:hAnsi="Times New Roman" w:eastAsia="ＭＳ 明朝"/>
                <w:b w:val="0"/>
                <w:sz w:val="16"/>
              </w:rPr>
              <w:t>Pulp and Paper</w:t>
            </w:r>
          </w:p>
          <w:p>
            <w:pPr>
              <w:spacing w:after="0"/>
            </w:pPr>
            <w:r>
              <w:rPr>
                <w:rFonts w:ascii="Times New Roman" w:hAnsi="Times New Roman" w:eastAsia="ＭＳ 明朝"/>
                <w:b w:val="0"/>
                <w:sz w:val="16"/>
              </w:rPr>
              <w:t>Transformation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TAIHEIYO CEMENT CORP（5233）</w:t>
            </w:r>
          </w:p>
          <w:p>
            <w:pPr>
              <w:spacing w:after="0"/>
            </w:pPr>
            <w:r>
              <w:rPr>
                <w:rFonts w:ascii="Times New Roman" w:hAnsi="Times New Roman" w:eastAsia="ＭＳ 明朝"/>
                <w:b w:val="0"/>
                <w:sz w:val="16"/>
              </w:rPr>
              <w:t>Glass and Ceramics Products</w:t>
            </w:r>
          </w:p>
          <w:p>
            <w:pPr>
              <w:spacing w:after="0"/>
            </w:pPr>
            <w:r>
              <w:rPr>
                <w:rFonts w:ascii="Times New Roman" w:hAnsi="Times New Roman" w:eastAsia="ＭＳ 明朝"/>
                <w:b w:val="0"/>
                <w:sz w:val="16"/>
              </w:rPr>
              <w:t>Transformation Core／non_ai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ORGANO CORPORATION（6368）</w:t>
            </w:r>
          </w:p>
          <w:p>
            <w:pPr>
              <w:spacing w:after="0"/>
            </w:pPr>
            <w:r>
              <w:rPr>
                <w:rFonts w:ascii="Times New Roman" w:hAnsi="Times New Roman" w:eastAsia="ＭＳ 明朝"/>
                <w:b w:val="0"/>
                <w:sz w:val="16"/>
              </w:rPr>
              <w:t>Machinery</w:t>
            </w:r>
          </w:p>
          <w:p>
            <w:pPr>
              <w:spacing w:after="0"/>
            </w:pPr>
            <w:r>
              <w:rPr>
                <w:rFonts w:ascii="Times New Roman" w:hAnsi="Times New Roman" w:eastAsia="ＭＳ 明朝"/>
                <w:b w:val="0"/>
                <w:sz w:val="16"/>
              </w:rPr>
              <w:t>Emerging Core／semiconductor</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Socionext Inc.（6526）</w:t>
            </w:r>
          </w:p>
          <w:p>
            <w:pPr>
              <w:spacing w:after="0"/>
            </w:pPr>
            <w:r>
              <w:rPr>
                <w:rFonts w:ascii="Times New Roman" w:hAnsi="Times New Roman" w:eastAsia="ＭＳ 明朝"/>
                <w:b w:val="0"/>
                <w:sz w:val="16"/>
              </w:rPr>
              <w:t>Electric Appliances</w:t>
            </w:r>
          </w:p>
          <w:p>
            <w:pPr>
              <w:spacing w:after="0"/>
            </w:pPr>
            <w:r>
              <w:rPr>
                <w:rFonts w:ascii="Times New Roman" w:hAnsi="Times New Roman" w:eastAsia="ＭＳ 明朝"/>
                <w:b w:val="0"/>
                <w:sz w:val="16"/>
              </w:rPr>
              <w:t>Emerging Core／semiconductor</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Lasertec Corporation（6920）</w:t>
            </w:r>
          </w:p>
          <w:p>
            <w:pPr>
              <w:spacing w:after="0"/>
            </w:pPr>
            <w:r>
              <w:rPr>
                <w:rFonts w:ascii="Times New Roman" w:hAnsi="Times New Roman" w:eastAsia="ＭＳ 明朝"/>
                <w:b w:val="0"/>
                <w:sz w:val="16"/>
              </w:rPr>
              <w:t>Electric Appliances</w:t>
            </w:r>
          </w:p>
          <w:p>
            <w:pPr>
              <w:spacing w:after="0"/>
            </w:pPr>
            <w:r>
              <w:rPr>
                <w:rFonts w:ascii="Times New Roman" w:hAnsi="Times New Roman" w:eastAsia="ＭＳ 明朝"/>
                <w:b w:val="0"/>
                <w:sz w:val="16"/>
              </w:rPr>
              <w:t>Emerging Core／quality_assurance</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TOWA CORPORATION（6315）</w:t>
            </w:r>
          </w:p>
          <w:p>
            <w:pPr>
              <w:spacing w:after="0"/>
            </w:pPr>
            <w:r>
              <w:rPr>
                <w:rFonts w:ascii="Times New Roman" w:hAnsi="Times New Roman" w:eastAsia="ＭＳ 明朝"/>
                <w:b w:val="0"/>
                <w:sz w:val="16"/>
              </w:rPr>
              <w:t>Machinery</w:t>
            </w:r>
          </w:p>
          <w:p>
            <w:pPr>
              <w:spacing w:after="0"/>
            </w:pPr>
            <w:r>
              <w:rPr>
                <w:rFonts w:ascii="Times New Roman" w:hAnsi="Times New Roman" w:eastAsia="ＭＳ 明朝"/>
                <w:b w:val="0"/>
                <w:sz w:val="16"/>
              </w:rPr>
              <w:t>Emerging Core／semiconductor</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Fujikura Ltd.（5803）</w:t>
            </w:r>
          </w:p>
          <w:p>
            <w:pPr>
              <w:spacing w:after="0"/>
            </w:pPr>
            <w:r>
              <w:rPr>
                <w:rFonts w:ascii="Times New Roman" w:hAnsi="Times New Roman" w:eastAsia="ＭＳ 明朝"/>
                <w:b w:val="0"/>
                <w:sz w:val="16"/>
              </w:rPr>
              <w:t>Nonferrous Metals</w:t>
            </w:r>
          </w:p>
          <w:p>
            <w:pPr>
              <w:spacing w:after="0"/>
            </w:pPr>
            <w:r>
              <w:rPr>
                <w:rFonts w:ascii="Times New Roman" w:hAnsi="Times New Roman" w:eastAsia="ＭＳ 明朝"/>
                <w:b w:val="0"/>
                <w:sz w:val="16"/>
              </w:rPr>
              <w:t>Emerging Core／optical_communication</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ZENRIN CO.,LTD.（9474）</w:t>
            </w:r>
          </w:p>
          <w:p>
            <w:pPr>
              <w:spacing w:after="0"/>
            </w:pPr>
            <w:r>
              <w:rPr>
                <w:rFonts w:ascii="Times New Roman" w:hAnsi="Times New Roman" w:eastAsia="ＭＳ 明朝"/>
                <w:b w:val="0"/>
                <w:sz w:val="16"/>
              </w:rPr>
              <w:t>Information &amp; Communication</w:t>
            </w:r>
          </w:p>
          <w:p>
            <w:pPr>
              <w:spacing w:after="0"/>
            </w:pPr>
            <w:r>
              <w:rPr>
                <w:rFonts w:ascii="Times New Roman" w:hAnsi="Times New Roman" w:eastAsia="ＭＳ 明朝"/>
                <w:b w:val="0"/>
                <w:sz w:val="16"/>
              </w:rPr>
              <w:t>Dual Moat／business_data</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YOKOGAWA ELECTRIC CO（6841）</w:t>
            </w:r>
          </w:p>
          <w:p>
            <w:pPr>
              <w:spacing w:after="0"/>
            </w:pPr>
            <w:r>
              <w:rPr>
                <w:rFonts w:ascii="Times New Roman" w:hAnsi="Times New Roman" w:eastAsia="ＭＳ 明朝"/>
                <w:b w:val="0"/>
                <w:sz w:val="16"/>
              </w:rPr>
              <w:t>Electric Appliances</w:t>
            </w:r>
          </w:p>
          <w:p>
            <w:pPr>
              <w:spacing w:after="0"/>
            </w:pPr>
            <w:r>
              <w:rPr>
                <w:rFonts w:ascii="Times New Roman" w:hAnsi="Times New Roman" w:eastAsia="ＭＳ 明朝"/>
                <w:b w:val="0"/>
                <w:sz w:val="16"/>
              </w:rPr>
              <w:t>Dual Moat／factory_automation</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SHIFT Inc.（3697）</w:t>
            </w:r>
          </w:p>
          <w:p>
            <w:pPr>
              <w:spacing w:after="0"/>
            </w:pPr>
            <w:r>
              <w:rPr>
                <w:rFonts w:ascii="Times New Roman" w:hAnsi="Times New Roman" w:eastAsia="ＭＳ 明朝"/>
                <w:b w:val="0"/>
                <w:sz w:val="16"/>
              </w:rPr>
              <w:t>Information &amp; Communication</w:t>
            </w:r>
          </w:p>
          <w:p>
            <w:pPr>
              <w:spacing w:after="0"/>
            </w:pPr>
            <w:r>
              <w:rPr>
                <w:rFonts w:ascii="Times New Roman" w:hAnsi="Times New Roman" w:eastAsia="ＭＳ 明朝"/>
                <w:b w:val="0"/>
                <w:sz w:val="16"/>
              </w:rPr>
              <w:t>Dual Moat／quality_assurance</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Ensuiko Sugar Refini（2112）</w:t>
            </w:r>
          </w:p>
          <w:p>
            <w:pPr>
              <w:spacing w:after="0"/>
            </w:pPr>
            <w:r>
              <w:rPr>
                <w:rFonts w:ascii="Times New Roman" w:hAnsi="Times New Roman" w:eastAsia="ＭＳ 明朝"/>
                <w:b w:val="0"/>
                <w:sz w:val="16"/>
              </w:rPr>
              <w:t>Foods</w:t>
            </w:r>
          </w:p>
          <w:p>
            <w:pPr>
              <w:spacing w:after="0"/>
            </w:pPr>
            <w:r>
              <w:rPr>
                <w:rFonts w:ascii="Times New Roman" w:hAnsi="Times New Roman" w:eastAsia="ＭＳ 明朝"/>
                <w:b w:val="0"/>
                <w:sz w:val="16"/>
              </w:rPr>
              <w:t>Bridge / Diversifier／non_ai</w:t>
            </w:r>
          </w:p>
        </w:tc>
        <w:tc>
          <w:tcPr>
            <w:tcW w:type="dxa" w:w="3402"/>
          </w:tcPr>
          <w:p>
            <w:pPr>
              <w:spacing w:after="0"/>
            </w:pPr>
            <w:r/>
          </w:p>
        </w:tc>
        <w:tc>
          <w:tcPr>
            <w:tcW w:type="dxa" w:w="3742"/>
          </w:tcPr>
          <w:p>
            <w:pPr>
              <w:spacing w:after="0"/>
            </w:pPr>
            <w:r/>
          </w:p>
        </w:tc>
      </w:tr>
      <w:tr>
        <w:tc>
          <w:tcPr>
            <w:tcW w:type="dxa" w:w="2381"/>
            <w:shd w:val="clear" w:color="auto" w:fill="DCE8E4"/>
          </w:tcPr>
          <w:p>
            <w:pPr>
              <w:spacing w:after="0"/>
            </w:pPr>
            <w:r/>
            <w:r>
              <w:rPr>
                <w:rFonts w:ascii="ＭＳ ゴシック" w:hAnsi="ＭＳ ゴシック" w:eastAsia="ＭＳ ゴシック"/>
                <w:b/>
                <w:color w:val="2F6D5F"/>
                <w:sz w:val="17"/>
              </w:rPr>
              <w:t>Techno Alpha Co.,Ltd（3089）</w:t>
            </w:r>
          </w:p>
          <w:p>
            <w:pPr>
              <w:spacing w:after="0"/>
            </w:pPr>
            <w:r>
              <w:rPr>
                <w:rFonts w:ascii="Times New Roman" w:hAnsi="Times New Roman" w:eastAsia="ＭＳ 明朝"/>
                <w:b w:val="0"/>
                <w:sz w:val="16"/>
              </w:rPr>
              <w:t>Wholesale Trade</w:t>
            </w:r>
          </w:p>
          <w:p>
            <w:pPr>
              <w:spacing w:after="0"/>
            </w:pPr>
            <w:r>
              <w:rPr>
                <w:rFonts w:ascii="Times New Roman" w:hAnsi="Times New Roman" w:eastAsia="ＭＳ 明朝"/>
                <w:b w:val="0"/>
                <w:sz w:val="16"/>
              </w:rPr>
              <w:t>Bridge / Diversifier／non_ai</w:t>
            </w:r>
          </w:p>
        </w:tc>
        <w:tc>
          <w:tcPr>
            <w:tcW w:type="dxa" w:w="3402"/>
          </w:tcPr>
          <w:p>
            <w:pPr>
              <w:spacing w:after="0"/>
            </w:pPr>
            <w:r/>
          </w:p>
        </w:tc>
        <w:tc>
          <w:tcPr>
            <w:tcW w:type="dxa" w:w="3742"/>
          </w:tcPr>
          <w:p>
            <w:pPr>
              <w:spacing w:after="0"/>
            </w:pPr>
            <w:r/>
          </w:p>
        </w:tc>
      </w:tr>
    </w:tbl>
    <w:p>
      <w:pPr>
        <w:spacing w:before="20" w:after="120"/>
        <w:jc w:val="center"/>
      </w:pPr>
      <w:r>
        <w:rPr>
          <w:rFonts w:ascii="ＭＳ ゴシック" w:hAnsi="ＭＳ ゴシック" w:eastAsia="ＭＳ ゴシック"/>
          <w:b/>
          <w:sz w:val="18"/>
        </w:rPr>
        <w:t>図表 III-2　銘柄紹介（記入テンプレート：左列は自動記入、右2列を提出者が記入）</w:t>
      </w:r>
    </w:p>
    <w:p>
      <w:pPr>
        <w:keepNext/>
        <w:keepLines/>
        <w:spacing w:before="160" w:after="60"/>
        <w:shd w:val="clear" w:color="auto" w:fill="DCE8E4"/>
        <w:pBdr>
          <w:left w:val="single" w:sz="30" w:space="3" w:color="2F6D5F"/>
        </w:pBdr>
      </w:pPr>
      <w:r>
        <w:rPr>
          <w:rFonts w:ascii="ＭＳ ゴシック" w:hAnsi="ＭＳ ゴシック" w:eastAsia="ＭＳ ゴシック"/>
          <w:b/>
          <w:color w:val="2F6D5F"/>
          <w:sz w:val="22"/>
        </w:rPr>
        <w:t xml:space="preserve">　3．パフォーマンスの分析</w:t>
      </w:r>
    </w:p>
    <w:p>
      <w:pPr>
        <w:spacing w:before="0" w:after="100" w:line="324" w:lineRule="auto"/>
      </w:pPr>
      <w:r>
        <w:rPr>
          <w:rFonts w:ascii="Times New Roman" w:hAnsi="Times New Roman" w:eastAsia="ＭＳ 明朝"/>
          <w:b w:val="0"/>
          <w:sz w:val="19"/>
        </w:rPr>
        <w:t>フレーミング（重要）：本ポートフォリオは 2026-06 時点のデータで構築されており，あらゆる履歴シミュレーションは構造上 in-sample である。以下の数値はリスク特性の確認であって将来リターンの予測や優位性の主張ではない。ベンチマークは TOPIX プロキシ（1306.T）と日経225（^N225）を用い，1306.T の未調整 1:10 分割（2026-03-30）は補正した（注1）。</w:t>
      </w:r>
    </w:p>
    <w:p>
      <w:pPr>
        <w:spacing w:before="0" w:after="100" w:line="324" w:lineRule="auto"/>
      </w:pPr>
      <w:r>
        <w:rPr>
          <w:rFonts w:ascii="Times New Roman" w:hAnsi="Times New Roman" w:eastAsia="ＭＳ 明朝"/>
          <w:b w:val="0"/>
          <w:sz w:val="19"/>
        </w:rPr>
        <w:t>主要なリスク指標の定義を式（図表 III-2a〜III-2d）に示す。3 年（in-sample）で年率リターン +30.8%（TOPIX +24.1%・日経 +32.8%），ボラティリティ 21.9%，最大ドローダウン −24.9%（TOPIX −23.3%），β 0.925，Sharpe 1.41，Sortino 1.62，Jensen α +7.3%/年，Information Ratio +0.445 であった。</w:t>
      </w:r>
    </w:p>
    <w:p>
      <w:pPr>
        <w:keepNext/>
        <w:keepLines/>
        <w:spacing w:before="120" w:after="0"/>
        <w:shd w:val="clear" w:color="auto" w:fill="2F6D5F"/>
      </w:pPr>
      <w:r>
        <w:rPr>
          <w:rFonts w:ascii="ＭＳ ゴシック" w:hAnsi="ＭＳ ゴシック" w:eastAsia="ＭＳ ゴシック"/>
          <w:b/>
          <w:color w:val="FFFFFF"/>
          <w:sz w:val="19"/>
        </w:rPr>
        <w:t xml:space="preserve">　Sharpe Ratio（Sharpe, 1966, 1994）</w:t>
      </w:r>
    </w:p>
    <w:p>
      <w:pPr>
        <w:keepNext/>
        <w:spacing w:before="60" w:after="60"/>
        <w:jc w:val="center"/>
      </w:pPr>
      <w:r>
        <w:drawing>
          <wp:inline xmlns:a="http://schemas.openxmlformats.org/drawingml/2006/main" xmlns:pic="http://schemas.openxmlformats.org/drawingml/2006/picture">
            <wp:extent cx="1479665" cy="482138"/>
            <wp:docPr id="24" name="Picture 24"/>
            <wp:cNvGraphicFramePr>
              <a:graphicFrameLocks noChangeAspect="1"/>
            </wp:cNvGraphicFramePr>
            <a:graphic>
              <a:graphicData uri="http://schemas.openxmlformats.org/drawingml/2006/picture">
                <pic:pic>
                  <pic:nvPicPr>
                    <pic:cNvPr id="0" name="eq_15.png"/>
                    <pic:cNvPicPr/>
                  </pic:nvPicPr>
                  <pic:blipFill>
                    <a:blip r:embed="rId32"/>
                    <a:stretch>
                      <a:fillRect/>
                    </a:stretch>
                  </pic:blipFill>
                  <pic:spPr>
                    <a:xfrm>
                      <a:off x="0" y="0"/>
                      <a:ext cx="1479665" cy="482138"/>
                    </a:xfrm>
                    <a:prstGeom prst="rect"/>
                  </pic:spPr>
                </pic:pic>
              </a:graphicData>
            </a:graphic>
          </wp:inline>
        </w:drawing>
      </w:r>
    </w:p>
    <w:p>
      <w:pPr>
        <w:keepNext/>
        <w:keepLines/>
        <w:spacing w:before="0" w:after="20"/>
      </w:pPr>
      <w:r>
        <w:rPr>
          <w:rFonts w:ascii="Times New Roman" w:hAnsi="Times New Roman" w:eastAsia="ＭＳ 明朝"/>
          <w:b w:val="0"/>
          <w:sz w:val="16"/>
        </w:rPr>
        <w:t>r_p：年率ポートフォリオ収益，r_f：無リスク金利（本研究では約 0），σ_p：年率ボラティリティ。</w:t>
      </w:r>
    </w:p>
    <w:p>
      <w:pPr>
        <w:spacing w:before="20" w:after="120"/>
        <w:jc w:val="center"/>
      </w:pPr>
      <w:r>
        <w:rPr>
          <w:rFonts w:ascii="ＭＳ ゴシック" w:hAnsi="ＭＳ ゴシック" w:eastAsia="ＭＳ ゴシック"/>
          <w:b/>
          <w:sz w:val="18"/>
        </w:rPr>
        <w:t>図表 III-2a　Sharpe Ratio（Sharpe, 1966, 1994）</w:t>
      </w:r>
    </w:p>
    <w:p>
      <w:pPr>
        <w:keepNext/>
        <w:keepLines/>
        <w:spacing w:before="120" w:after="0"/>
        <w:shd w:val="clear" w:color="auto" w:fill="2F6D5F"/>
      </w:pPr>
      <w:r>
        <w:rPr>
          <w:rFonts w:ascii="ＭＳ ゴシック" w:hAnsi="ＭＳ ゴシック" w:eastAsia="ＭＳ ゴシック"/>
          <w:b/>
          <w:color w:val="FFFFFF"/>
          <w:sz w:val="19"/>
        </w:rPr>
        <w:t xml:space="preserve">　Maximum Drawdown</w:t>
      </w:r>
    </w:p>
    <w:p>
      <w:pPr>
        <w:keepNext/>
        <w:spacing w:before="60" w:after="60"/>
        <w:jc w:val="center"/>
      </w:pPr>
      <w:r>
        <w:drawing>
          <wp:inline xmlns:a="http://schemas.openxmlformats.org/drawingml/2006/main" xmlns:pic="http://schemas.openxmlformats.org/drawingml/2006/picture">
            <wp:extent cx="2360814" cy="602672"/>
            <wp:docPr id="25" name="Picture 25"/>
            <wp:cNvGraphicFramePr>
              <a:graphicFrameLocks noChangeAspect="1"/>
            </wp:cNvGraphicFramePr>
            <a:graphic>
              <a:graphicData uri="http://schemas.openxmlformats.org/drawingml/2006/picture">
                <pic:pic>
                  <pic:nvPicPr>
                    <pic:cNvPr id="0" name="eq_16.png"/>
                    <pic:cNvPicPr/>
                  </pic:nvPicPr>
                  <pic:blipFill>
                    <a:blip r:embed="rId33"/>
                    <a:stretch>
                      <a:fillRect/>
                    </a:stretch>
                  </pic:blipFill>
                  <pic:spPr>
                    <a:xfrm>
                      <a:off x="0" y="0"/>
                      <a:ext cx="2360814" cy="602672"/>
                    </a:xfrm>
                    <a:prstGeom prst="rect"/>
                  </pic:spPr>
                </pic:pic>
              </a:graphicData>
            </a:graphic>
          </wp:inline>
        </w:drawing>
      </w:r>
    </w:p>
    <w:p>
      <w:pPr>
        <w:keepNext/>
        <w:keepLines/>
        <w:spacing w:before="0" w:after="20"/>
      </w:pPr>
      <w:r>
        <w:rPr>
          <w:rFonts w:ascii="Times New Roman" w:hAnsi="Times New Roman" w:eastAsia="ＭＳ 明朝"/>
          <w:b w:val="0"/>
          <w:sz w:val="16"/>
        </w:rPr>
        <w:t>C_t：時点 t の累積指数。ピークからの最大下落率。</w:t>
      </w:r>
    </w:p>
    <w:p>
      <w:pPr>
        <w:spacing w:before="20" w:after="120"/>
        <w:jc w:val="center"/>
      </w:pPr>
      <w:r>
        <w:rPr>
          <w:rFonts w:ascii="ＭＳ ゴシック" w:hAnsi="ＭＳ ゴシック" w:eastAsia="ＭＳ ゴシック"/>
          <w:b/>
          <w:sz w:val="18"/>
        </w:rPr>
        <w:t>図表 III-2b　Maximum Drawdown</w:t>
      </w:r>
    </w:p>
    <w:p>
      <w:pPr>
        <w:keepNext/>
        <w:keepLines/>
        <w:spacing w:before="120" w:after="0"/>
        <w:shd w:val="clear" w:color="auto" w:fill="2F6D5F"/>
      </w:pPr>
      <w:r>
        <w:rPr>
          <w:rFonts w:ascii="ＭＳ ゴシック" w:hAnsi="ＭＳ ゴシック" w:eastAsia="ＭＳ ゴシック"/>
          <w:b/>
          <w:color w:val="FFFFFF"/>
          <w:sz w:val="19"/>
        </w:rPr>
        <w:t xml:space="preserve">　Jensen's α（Jensen, 1968）</w:t>
      </w:r>
    </w:p>
    <w:p>
      <w:pPr>
        <w:keepNext/>
        <w:spacing w:before="60" w:after="60"/>
        <w:jc w:val="center"/>
      </w:pPr>
      <w:r>
        <w:drawing>
          <wp:inline xmlns:a="http://schemas.openxmlformats.org/drawingml/2006/main" xmlns:pic="http://schemas.openxmlformats.org/drawingml/2006/picture">
            <wp:extent cx="3025832" cy="536170"/>
            <wp:docPr id="26" name="Picture 26"/>
            <wp:cNvGraphicFramePr>
              <a:graphicFrameLocks noChangeAspect="1"/>
            </wp:cNvGraphicFramePr>
            <a:graphic>
              <a:graphicData uri="http://schemas.openxmlformats.org/drawingml/2006/picture">
                <pic:pic>
                  <pic:nvPicPr>
                    <pic:cNvPr id="0" name="eq_17.png"/>
                    <pic:cNvPicPr/>
                  </pic:nvPicPr>
                  <pic:blipFill>
                    <a:blip r:embed="rId34"/>
                    <a:stretch>
                      <a:fillRect/>
                    </a:stretch>
                  </pic:blipFill>
                  <pic:spPr>
                    <a:xfrm>
                      <a:off x="0" y="0"/>
                      <a:ext cx="3025832" cy="536170"/>
                    </a:xfrm>
                    <a:prstGeom prst="rect"/>
                  </pic:spPr>
                </pic:pic>
              </a:graphicData>
            </a:graphic>
          </wp:inline>
        </w:drawing>
      </w:r>
    </w:p>
    <w:p>
      <w:pPr>
        <w:keepNext/>
        <w:keepLines/>
        <w:spacing w:before="0" w:after="20"/>
      </w:pPr>
      <w:r>
        <w:rPr>
          <w:rFonts w:ascii="Times New Roman" w:hAnsi="Times New Roman" w:eastAsia="ＭＳ 明朝"/>
          <w:b w:val="0"/>
          <w:sz w:val="16"/>
        </w:rPr>
        <w:t>r_m：TOPIX プロキシ収益。_p で説明されない超過収益が α_p。</w:t>
      </w:r>
    </w:p>
    <w:p>
      <w:pPr>
        <w:spacing w:before="20" w:after="120"/>
        <w:jc w:val="center"/>
      </w:pPr>
      <w:r>
        <w:rPr>
          <w:rFonts w:ascii="ＭＳ ゴシック" w:hAnsi="ＭＳ ゴシック" w:eastAsia="ＭＳ ゴシック"/>
          <w:b/>
          <w:sz w:val="18"/>
        </w:rPr>
        <w:t>図表 III-2c　Jensen's α（Jensen, 1968）</w:t>
      </w:r>
    </w:p>
    <w:p>
      <w:pPr>
        <w:keepNext/>
        <w:keepLines/>
        <w:spacing w:before="120" w:after="0"/>
        <w:shd w:val="clear" w:color="auto" w:fill="2F6D5F"/>
      </w:pPr>
      <w:r>
        <w:rPr>
          <w:rFonts w:ascii="ＭＳ ゴシック" w:hAnsi="ＭＳ ゴシック" w:eastAsia="ＭＳ ゴシック"/>
          <w:b/>
          <w:color w:val="FFFFFF"/>
          <w:sz w:val="19"/>
        </w:rPr>
        <w:t xml:space="preserve">　Herfindahl–Hirschman Index（集中度）</w:t>
      </w:r>
    </w:p>
    <w:p>
      <w:pPr>
        <w:keepNext/>
        <w:spacing w:before="60" w:after="60"/>
        <w:jc w:val="center"/>
      </w:pPr>
      <w:r>
        <w:drawing>
          <wp:inline xmlns:a="http://schemas.openxmlformats.org/drawingml/2006/main" xmlns:pic="http://schemas.openxmlformats.org/drawingml/2006/picture">
            <wp:extent cx="1941021" cy="631767"/>
            <wp:docPr id="27" name="Picture 27"/>
            <wp:cNvGraphicFramePr>
              <a:graphicFrameLocks noChangeAspect="1"/>
            </wp:cNvGraphicFramePr>
            <a:graphic>
              <a:graphicData uri="http://schemas.openxmlformats.org/drawingml/2006/picture">
                <pic:pic>
                  <pic:nvPicPr>
                    <pic:cNvPr id="0" name="eq_18.png"/>
                    <pic:cNvPicPr/>
                  </pic:nvPicPr>
                  <pic:blipFill>
                    <a:blip r:embed="rId35"/>
                    <a:stretch>
                      <a:fillRect/>
                    </a:stretch>
                  </pic:blipFill>
                  <pic:spPr>
                    <a:xfrm>
                      <a:off x="0" y="0"/>
                      <a:ext cx="1941021" cy="631767"/>
                    </a:xfrm>
                    <a:prstGeom prst="rect"/>
                  </pic:spPr>
                </pic:pic>
              </a:graphicData>
            </a:graphic>
          </wp:inline>
        </w:drawing>
      </w:r>
    </w:p>
    <w:p>
      <w:pPr>
        <w:keepNext/>
        <w:keepLines/>
        <w:spacing w:before="0" w:after="20"/>
      </w:pPr>
      <w:r>
        <w:rPr>
          <w:rFonts w:ascii="Times New Roman" w:hAnsi="Times New Roman" w:eastAsia="ＭＳ 明朝"/>
          <w:b w:val="0"/>
          <w:sz w:val="16"/>
        </w:rPr>
        <w:t>g：銘柄・業種・テーマの各グループ。値が大きいほど集中。本研究では銘柄 0.053・業種 0.123・テーマ 0.402。</w:t>
      </w:r>
    </w:p>
    <w:p>
      <w:pPr>
        <w:spacing w:before="20" w:after="120"/>
        <w:jc w:val="center"/>
      </w:pPr>
      <w:r>
        <w:rPr>
          <w:rFonts w:ascii="ＭＳ ゴシック" w:hAnsi="ＭＳ ゴシック" w:eastAsia="ＭＳ ゴシック"/>
          <w:b/>
          <w:sz w:val="18"/>
        </w:rPr>
        <w:t>図表 III-2d　Herfindahl–Hirschman Index（集中度）</w:t>
      </w:r>
    </w:p>
    <w:p>
      <w:pPr>
        <w:spacing w:before="0" w:after="100" w:line="324" w:lineRule="auto"/>
      </w:pPr>
      <w:r>
        <w:rPr>
          <w:rFonts w:ascii="Times New Roman" w:hAnsi="Times New Roman" w:eastAsia="ＭＳ 明朝"/>
          <w:b w:val="0"/>
          <w:sz w:val="19"/>
        </w:rPr>
        <w:t>一方，直近 1 年では Information Ratio が −0.405（負）であり，ベンチマーク超過を作れていない。3 年と 1 年で符号が反転する事実を隠さず提示し，性能を主張しない立場を明確にする。集中度は HHI で銘柄 0.053・業種 0.123・テーマ 0.402 で，テーマ HHI の高さをテーマ集中リスクとして開示する。役割別寄与は Emerging Core が支配的（+1.78%pt），Buffett Core はほぼゼロ（+0.02%pt）で，Buffett Core が「リターン源」ではなく「安定土台」を担う設計と一致する。Leave-one-out ではどの 1 社を除いてもボラは 0.210〜0.229 に収まり単一銘柄依存はない。除外変種では AI 基盤テーマ除外でリターン半減（+17.5%），低 PBR 除外でボラ 35.5%・MDD −44.5% に悪化し，Value 名がリスク緩衝として機能することが確認された。ドローダウンと役割寄与を図表 III-3・III-4 に示す。</w:t>
      </w:r>
    </w:p>
    <w:p>
      <w:pPr>
        <w:keepNext/>
        <w:keepLines/>
        <w:spacing w:before="120"/>
        <w:jc w:val="center"/>
      </w:pPr>
      <w:r>
        <w:drawing>
          <wp:inline xmlns:a="http://schemas.openxmlformats.org/drawingml/2006/main" xmlns:pic="http://schemas.openxmlformats.org/drawingml/2006/picture">
            <wp:extent cx="5760000" cy="4320000"/>
            <wp:docPr id="28" name="Picture 28"/>
            <wp:cNvGraphicFramePr>
              <a:graphicFrameLocks noChangeAspect="1"/>
            </wp:cNvGraphicFramePr>
            <a:graphic>
              <a:graphicData uri="http://schemas.openxmlformats.org/drawingml/2006/picture">
                <pic:pic>
                  <pic:nvPicPr>
                    <pic:cNvPr id="0" name="drawdown_chart.png"/>
                    <pic:cNvPicPr/>
                  </pic:nvPicPr>
                  <pic:blipFill>
                    <a:blip r:embed="rId36"/>
                    <a:stretch>
                      <a:fillRect/>
                    </a:stretch>
                  </pic:blipFill>
                  <pic:spPr>
                    <a:xfrm>
                      <a:off x="0" y="0"/>
                      <a:ext cx="5760000" cy="4320000"/>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III-3　ドローダウン（3年 in-sample）</w:t>
      </w:r>
    </w:p>
    <w:p>
      <w:pPr>
        <w:spacing w:before="0" w:after="120"/>
        <w:jc w:val="center"/>
      </w:pPr>
      <w:r>
        <w:rPr>
          <w:rFonts w:ascii="Times New Roman" w:hAnsi="Times New Roman" w:eastAsia="ＭＳ 明朝"/>
          <w:b w:val="0"/>
          <w:sz w:val="16"/>
        </w:rPr>
        <w:t>注：性能主張ではなくリスク特性の確認。1306.T は分割補正済み。</w:t>
      </w:r>
    </w:p>
    <w:p>
      <w:pPr>
        <w:keepNext/>
        <w:keepLines/>
        <w:spacing w:before="120"/>
        <w:jc w:val="center"/>
      </w:pPr>
      <w:r>
        <w:drawing>
          <wp:inline xmlns:a="http://schemas.openxmlformats.org/drawingml/2006/main" xmlns:pic="http://schemas.openxmlformats.org/drawingml/2006/picture">
            <wp:extent cx="5760000" cy="3291429"/>
            <wp:docPr id="29" name="Picture 29"/>
            <wp:cNvGraphicFramePr>
              <a:graphicFrameLocks noChangeAspect="1"/>
            </wp:cNvGraphicFramePr>
            <a:graphic>
              <a:graphicData uri="http://schemas.openxmlformats.org/drawingml/2006/picture">
                <pic:pic>
                  <pic:nvPicPr>
                    <pic:cNvPr id="0" name="role_contribution.png"/>
                    <pic:cNvPicPr/>
                  </pic:nvPicPr>
                  <pic:blipFill>
                    <a:blip r:embed="rId37"/>
                    <a:stretch>
                      <a:fillRect/>
                    </a:stretch>
                  </pic:blipFill>
                  <pic:spPr>
                    <a:xfrm>
                      <a:off x="0" y="0"/>
                      <a:ext cx="5760000" cy="3291429"/>
                    </a:xfrm>
                    <a:prstGeom prst="rect"/>
                  </pic:spPr>
                </pic:pic>
              </a:graphicData>
            </a:graphic>
          </wp:inline>
        </w:drawing>
      </w:r>
    </w:p>
    <w:p>
      <w:pPr>
        <w:keepNext/>
        <w:keepLines/>
        <w:spacing w:before="20" w:after="20"/>
        <w:jc w:val="center"/>
      </w:pPr>
      <w:r>
        <w:rPr>
          <w:rFonts w:ascii="ＭＳ ゴシック" w:hAnsi="ＭＳ ゴシック" w:eastAsia="ＭＳ ゴシック"/>
          <w:b/>
          <w:sz w:val="18"/>
        </w:rPr>
        <w:t>図表 III-4　役割別寄与（3年 in-sample）</w:t>
      </w:r>
    </w:p>
    <w:p>
      <w:pPr>
        <w:spacing w:before="0" w:after="120"/>
        <w:jc w:val="center"/>
      </w:pPr>
      <w:r>
        <w:rPr>
          <w:rFonts w:ascii="Times New Roman" w:hAnsi="Times New Roman" w:eastAsia="ＭＳ 明朝"/>
          <w:b w:val="0"/>
          <w:sz w:val="16"/>
        </w:rPr>
        <w:t>注：Emerging Core が支配的，Buffett Core は安定土台。</w:t>
      </w:r>
    </w:p>
    <w:p>
      <w:pPr>
        <w:spacing w:before="0" w:after="100" w:line="324" w:lineRule="auto"/>
      </w:pPr>
      <w:r>
        <w:rPr>
          <w:rFonts w:ascii="Times New Roman" w:hAnsi="Times New Roman" w:eastAsia="ＭＳ 明朝"/>
          <w:b w:val="0"/>
          <w:sz w:val="19"/>
        </w:rPr>
        <w:t>主なリスク・限界：①Future Moat 偏重，②AI テーマ過熱（テーマ HHI 0.402），③Transformation のバリュートラップ，④開示不足による過小・過大評価（Emerging Level 2 以上は 14 社の手作業精査に依存），⑤流動性，⑥業種集中，⑦小型株，⑧単元株調整による配分歪み（L=100 で 9 社購入不可），⑨バックテスト過信（1 年 IR 負を引用），⑩独自合成式の恣意性（±20% 感度で反論）。全区間 in-sample であることと 1 年 IR が負であることを，性能を誇張しないために明記する。</w:t>
      </w: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Ⅳ．インタビュー・アンケート</w:t>
      </w:r>
    </w:p>
    <w:p>
      <w:pPr>
        <w:spacing w:before="0" w:after="100" w:line="324" w:lineRule="auto"/>
      </w:pPr>
      <w:r>
        <w:rPr>
          <w:rFonts w:ascii="Times New Roman" w:hAnsi="Times New Roman" w:eastAsia="ＭＳ 明朝"/>
          <w:b w:val="0"/>
          <w:sz w:val="19"/>
        </w:rPr>
        <w:t>私たちのスクリーニングが実態を反映しているかを確かめるため，投資対象企業にインタビュー・アンケートを行う。以下は記入テンプレートである（質問内容・企業・回答は提出者が記入）。</w:t>
      </w:r>
    </w:p>
    <w:p>
      <w:pPr>
        <w:spacing w:before="80" w:after="40"/>
        <w:shd w:val="clear" w:color="auto" w:fill="DCE8E4"/>
        <w:pBdr>
          <w:left w:val="single" w:sz="30" w:space="3" w:color="2F6D5F"/>
        </w:pBdr>
      </w:pPr>
      <w:r>
        <w:rPr>
          <w:rFonts w:ascii="ＭＳ ゴシック" w:hAnsi="ＭＳ ゴシック" w:eastAsia="ＭＳ ゴシック"/>
          <w:b/>
          <w:color w:val="2F6D5F"/>
          <w:sz w:val="20"/>
        </w:rPr>
        <w:t xml:space="preserve">　ご質問内容（記入）</w:t>
      </w:r>
    </w:p>
    <w:p>
      <w:pPr>
        <w:spacing w:before="0" w:after="20"/>
        <w:ind w:left="280" w:hanging="280"/>
      </w:pPr>
      <w:r>
        <w:rPr>
          <w:rFonts w:ascii="Times New Roman" w:hAnsi="Times New Roman" w:eastAsia="ＭＳ 明朝"/>
          <w:b w:val="0"/>
          <w:sz w:val="18"/>
        </w:rPr>
        <w:t>1．［質問1を記入］</w:t>
      </w:r>
    </w:p>
    <w:p>
      <w:pPr>
        <w:spacing w:before="0" w:after="20"/>
        <w:ind w:left="280" w:hanging="280"/>
      </w:pPr>
      <w:r>
        <w:rPr>
          <w:rFonts w:ascii="Times New Roman" w:hAnsi="Times New Roman" w:eastAsia="ＭＳ 明朝"/>
          <w:b w:val="0"/>
          <w:sz w:val="18"/>
        </w:rPr>
        <w:t>2．［質問2を記入］</w:t>
      </w:r>
    </w:p>
    <w:p>
      <w:pPr>
        <w:spacing w:before="0" w:after="20"/>
        <w:ind w:left="280" w:hanging="280"/>
      </w:pPr>
      <w:r>
        <w:rPr>
          <w:rFonts w:ascii="Times New Roman" w:hAnsi="Times New Roman" w:eastAsia="ＭＳ 明朝"/>
          <w:b w:val="0"/>
          <w:sz w:val="18"/>
        </w:rPr>
        <w:t>3．［質問3を記入］</w:t>
      </w:r>
    </w:p>
    <w:p>
      <w:pPr>
        <w:spacing w:before="40" w:after="80"/>
      </w:pPr>
      <w:r>
        <w:rPr>
          <w:rFonts w:ascii="Times New Roman" w:hAnsi="Times New Roman" w:eastAsia="ＭＳ 明朝"/>
          <w:b w:val="0"/>
          <w:sz w:val="16"/>
        </w:rPr>
        <w:t>（下記は投資対象企業ごとの記入枠。インタビューは 2〜4 社を目安に記入。ZOOM 等の実施日時・担当者・参加者を記す。）</w:t>
      </w:r>
    </w:p>
    <w:tbl>
      <w:tblPr>
        <w:tblStyle w:val="TableGrid"/>
        <w:tblW w:type="auto" w:w="0"/>
        <w:jc w:val="center"/>
        <w:tblLook w:firstColumn="1" w:firstRow="1" w:lastColumn="0" w:lastRow="0" w:noHBand="0" w:noVBand="1" w:val="04A0"/>
      </w:tblPr>
      <w:tblGrid>
        <w:gridCol w:w="4819"/>
        <w:gridCol w:w="4819"/>
      </w:tblGrid>
      <w:tr>
        <w:tc>
          <w:tcPr>
            <w:tcW w:type="dxa" w:w="1587"/>
            <w:gridSpan w:val="2"/>
            <w:shd w:val="clear" w:color="auto" w:fill="2F6D5F"/>
          </w:tcPr>
          <w:p>
            <w:pPr>
              <w:spacing w:after="0"/>
            </w:pPr>
            <w:r/>
            <w:r>
              <w:rPr>
                <w:rFonts w:ascii="ＭＳ ゴシック" w:hAnsi="ＭＳ ゴシック" w:eastAsia="ＭＳ ゴシック"/>
                <w:b/>
                <w:color w:val="FFFFFF"/>
                <w:sz w:val="19"/>
              </w:rPr>
              <w:t>企業名（記入）</w:t>
            </w:r>
          </w:p>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日時</w:t>
            </w:r>
          </w:p>
        </w:tc>
        <w:tc>
          <w:tcPr>
            <w:tcW w:type="dxa" w:w="4819"/>
          </w:tcPr>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ご担当者様</w:t>
            </w:r>
          </w:p>
        </w:tc>
        <w:tc>
          <w:tcPr>
            <w:tcW w:type="dxa" w:w="4819"/>
          </w:tcPr>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参加者</w:t>
            </w:r>
          </w:p>
        </w:tc>
        <w:tc>
          <w:tcPr>
            <w:tcW w:type="dxa" w:w="4819"/>
          </w:tcPr>
          <w:p>
            <w:pPr>
              <w:spacing w:after="0"/>
            </w:pPr>
            <w:r/>
          </w:p>
        </w:tc>
      </w:tr>
    </w:tbl>
    <w:p>
      <w:pPr>
        <w:spacing w:before="0" w:after="20"/>
        <w:ind w:left="280" w:hanging="280"/>
      </w:pPr>
      <w:r>
        <w:rPr>
          <w:rFonts w:ascii="Times New Roman" w:hAnsi="Times New Roman" w:eastAsia="ＭＳ 明朝"/>
          <w:b w:val="0"/>
          <w:sz w:val="18"/>
        </w:rPr>
        <w:t>1．［回答を記入］</w:t>
      </w:r>
    </w:p>
    <w:p>
      <w:pPr>
        <w:spacing w:before="0" w:after="20"/>
        <w:ind w:left="280" w:hanging="280"/>
      </w:pPr>
      <w:r>
        <w:rPr>
          <w:rFonts w:ascii="Times New Roman" w:hAnsi="Times New Roman" w:eastAsia="ＭＳ 明朝"/>
          <w:b w:val="0"/>
          <w:sz w:val="18"/>
        </w:rPr>
        <w:t>2．［回答を記入］</w:t>
      </w:r>
    </w:p>
    <w:p>
      <w:pPr>
        <w:spacing w:before="0" w:after="20"/>
        <w:ind w:left="280" w:hanging="280"/>
      </w:pPr>
      <w:r>
        <w:rPr>
          <w:rFonts w:ascii="Times New Roman" w:hAnsi="Times New Roman" w:eastAsia="ＭＳ 明朝"/>
          <w:b w:val="0"/>
          <w:sz w:val="18"/>
        </w:rPr>
        <w:t>3．［回答を記入］</w:t>
      </w:r>
    </w:p>
    <w:p>
      <w:pPr>
        <w:spacing w:before="0" w:after="80"/>
      </w:pPr>
    </w:p>
    <w:tbl>
      <w:tblPr>
        <w:tblStyle w:val="TableGrid"/>
        <w:tblW w:type="auto" w:w="0"/>
        <w:jc w:val="center"/>
        <w:tblLook w:firstColumn="1" w:firstRow="1" w:lastColumn="0" w:lastRow="0" w:noHBand="0" w:noVBand="1" w:val="04A0"/>
      </w:tblPr>
      <w:tblGrid>
        <w:gridCol w:w="4819"/>
        <w:gridCol w:w="4819"/>
      </w:tblGrid>
      <w:tr>
        <w:tc>
          <w:tcPr>
            <w:tcW w:type="dxa" w:w="1587"/>
            <w:gridSpan w:val="2"/>
            <w:shd w:val="clear" w:color="auto" w:fill="2F6D5F"/>
          </w:tcPr>
          <w:p>
            <w:pPr>
              <w:spacing w:after="0"/>
            </w:pPr>
            <w:r/>
            <w:r>
              <w:rPr>
                <w:rFonts w:ascii="ＭＳ ゴシック" w:hAnsi="ＭＳ ゴシック" w:eastAsia="ＭＳ ゴシック"/>
                <w:b/>
                <w:color w:val="FFFFFF"/>
                <w:sz w:val="19"/>
              </w:rPr>
              <w:t>企業名（記入）</w:t>
            </w:r>
          </w:p>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日時</w:t>
            </w:r>
          </w:p>
        </w:tc>
        <w:tc>
          <w:tcPr>
            <w:tcW w:type="dxa" w:w="4819"/>
          </w:tcPr>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ご担当者様</w:t>
            </w:r>
          </w:p>
        </w:tc>
        <w:tc>
          <w:tcPr>
            <w:tcW w:type="dxa" w:w="4819"/>
          </w:tcPr>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参加者</w:t>
            </w:r>
          </w:p>
        </w:tc>
        <w:tc>
          <w:tcPr>
            <w:tcW w:type="dxa" w:w="4819"/>
          </w:tcPr>
          <w:p>
            <w:pPr>
              <w:spacing w:after="0"/>
            </w:pPr>
            <w:r/>
          </w:p>
        </w:tc>
      </w:tr>
    </w:tbl>
    <w:p>
      <w:pPr>
        <w:spacing w:before="0" w:after="20"/>
        <w:ind w:left="280" w:hanging="280"/>
      </w:pPr>
      <w:r>
        <w:rPr>
          <w:rFonts w:ascii="Times New Roman" w:hAnsi="Times New Roman" w:eastAsia="ＭＳ 明朝"/>
          <w:b w:val="0"/>
          <w:sz w:val="18"/>
        </w:rPr>
        <w:t>1．［回答を記入］</w:t>
      </w:r>
    </w:p>
    <w:p>
      <w:pPr>
        <w:spacing w:before="0" w:after="20"/>
        <w:ind w:left="280" w:hanging="280"/>
      </w:pPr>
      <w:r>
        <w:rPr>
          <w:rFonts w:ascii="Times New Roman" w:hAnsi="Times New Roman" w:eastAsia="ＭＳ 明朝"/>
          <w:b w:val="0"/>
          <w:sz w:val="18"/>
        </w:rPr>
        <w:t>2．［回答を記入］</w:t>
      </w:r>
    </w:p>
    <w:p>
      <w:pPr>
        <w:spacing w:before="0" w:after="20"/>
        <w:ind w:left="280" w:hanging="280"/>
      </w:pPr>
      <w:r>
        <w:rPr>
          <w:rFonts w:ascii="Times New Roman" w:hAnsi="Times New Roman" w:eastAsia="ＭＳ 明朝"/>
          <w:b w:val="0"/>
          <w:sz w:val="18"/>
        </w:rPr>
        <w:t>3．［回答を記入］</w:t>
      </w:r>
    </w:p>
    <w:p>
      <w:pPr>
        <w:spacing w:before="0" w:after="80"/>
      </w:pPr>
    </w:p>
    <w:tbl>
      <w:tblPr>
        <w:tblStyle w:val="TableGrid"/>
        <w:tblW w:type="auto" w:w="0"/>
        <w:jc w:val="center"/>
        <w:tblLook w:firstColumn="1" w:firstRow="1" w:lastColumn="0" w:lastRow="0" w:noHBand="0" w:noVBand="1" w:val="04A0"/>
      </w:tblPr>
      <w:tblGrid>
        <w:gridCol w:w="4819"/>
        <w:gridCol w:w="4819"/>
      </w:tblGrid>
      <w:tr>
        <w:tc>
          <w:tcPr>
            <w:tcW w:type="dxa" w:w="1587"/>
            <w:gridSpan w:val="2"/>
            <w:shd w:val="clear" w:color="auto" w:fill="2F6D5F"/>
          </w:tcPr>
          <w:p>
            <w:pPr>
              <w:spacing w:after="0"/>
            </w:pPr>
            <w:r/>
            <w:r>
              <w:rPr>
                <w:rFonts w:ascii="ＭＳ ゴシック" w:hAnsi="ＭＳ ゴシック" w:eastAsia="ＭＳ ゴシック"/>
                <w:b/>
                <w:color w:val="FFFFFF"/>
                <w:sz w:val="19"/>
              </w:rPr>
              <w:t>企業名（記入）</w:t>
            </w:r>
          </w:p>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日時</w:t>
            </w:r>
          </w:p>
        </w:tc>
        <w:tc>
          <w:tcPr>
            <w:tcW w:type="dxa" w:w="4819"/>
          </w:tcPr>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ご担当者様</w:t>
            </w:r>
          </w:p>
        </w:tc>
        <w:tc>
          <w:tcPr>
            <w:tcW w:type="dxa" w:w="4819"/>
          </w:tcPr>
          <w:p>
            <w:pPr>
              <w:spacing w:after="0"/>
            </w:pPr>
            <w:r/>
          </w:p>
        </w:tc>
      </w:tr>
      <w:tr>
        <w:tc>
          <w:tcPr>
            <w:tcW w:type="dxa" w:w="1587"/>
            <w:shd w:val="clear" w:color="auto" w:fill="DCE8E4"/>
          </w:tcPr>
          <w:p>
            <w:pPr>
              <w:spacing w:after="0"/>
            </w:pPr>
            <w:r/>
            <w:r>
              <w:rPr>
                <w:rFonts w:ascii="ＭＳ ゴシック" w:hAnsi="ＭＳ ゴシック" w:eastAsia="ＭＳ ゴシック"/>
                <w:b/>
                <w:color w:val="2F6D5F"/>
                <w:sz w:val="18"/>
              </w:rPr>
              <w:t>参加者</w:t>
            </w:r>
          </w:p>
        </w:tc>
        <w:tc>
          <w:tcPr>
            <w:tcW w:type="dxa" w:w="4819"/>
          </w:tcPr>
          <w:p>
            <w:pPr>
              <w:spacing w:after="0"/>
            </w:pPr>
            <w:r/>
          </w:p>
        </w:tc>
      </w:tr>
    </w:tbl>
    <w:p>
      <w:pPr>
        <w:spacing w:before="0" w:after="20"/>
        <w:ind w:left="280" w:hanging="280"/>
      </w:pPr>
      <w:r>
        <w:rPr>
          <w:rFonts w:ascii="Times New Roman" w:hAnsi="Times New Roman" w:eastAsia="ＭＳ 明朝"/>
          <w:b w:val="0"/>
          <w:sz w:val="18"/>
        </w:rPr>
        <w:t>1．［回答を記入］</w:t>
      </w:r>
    </w:p>
    <w:p>
      <w:pPr>
        <w:spacing w:before="0" w:after="20"/>
        <w:ind w:left="280" w:hanging="280"/>
      </w:pPr>
      <w:r>
        <w:rPr>
          <w:rFonts w:ascii="Times New Roman" w:hAnsi="Times New Roman" w:eastAsia="ＭＳ 明朝"/>
          <w:b w:val="0"/>
          <w:sz w:val="18"/>
        </w:rPr>
        <w:t>2．［回答を記入］</w:t>
      </w:r>
    </w:p>
    <w:p>
      <w:pPr>
        <w:spacing w:before="0" w:after="20"/>
        <w:ind w:left="280" w:hanging="280"/>
      </w:pPr>
      <w:r>
        <w:rPr>
          <w:rFonts w:ascii="Times New Roman" w:hAnsi="Times New Roman" w:eastAsia="ＭＳ 明朝"/>
          <w:b w:val="0"/>
          <w:sz w:val="18"/>
        </w:rPr>
        <w:t>3．［回答を記入］</w:t>
      </w:r>
    </w:p>
    <w:p>
      <w:pPr>
        <w:spacing w:before="0" w:after="80"/>
      </w:pP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Ⅴ．日経 STOCK リーグを通して学んだこと</w:t>
      </w:r>
    </w:p>
    <w:p>
      <w:pPr>
        <w:spacing w:before="0" w:after="100" w:line="324" w:lineRule="auto"/>
      </w:pPr>
      <w:r>
        <w:rPr>
          <w:rFonts w:ascii="Times New Roman" w:hAnsi="Times New Roman" w:eastAsia="ＭＳ 明朝"/>
          <w:b w:val="0"/>
          <w:sz w:val="19"/>
        </w:rPr>
        <w:t>以下は記入スケルトンである（提出者がチームの経験に基づき記入）。</w:t>
      </w:r>
    </w:p>
    <w:p>
      <w:pPr>
        <w:spacing w:before="0" w:after="40"/>
        <w:ind w:left="200" w:hanging="200"/>
      </w:pPr>
      <w:r>
        <w:rPr>
          <w:rFonts w:ascii="Times New Roman" w:hAnsi="Times New Roman" w:eastAsia="ＭＳ 明朝"/>
          <w:b w:val="0"/>
          <w:sz w:val="18"/>
        </w:rPr>
        <w:t>・チームでの取り組みの経緯（結成・役割分担・打ち合わせの工夫など）を記入。</w:t>
      </w:r>
    </w:p>
    <w:p>
      <w:pPr>
        <w:spacing w:before="0" w:after="40"/>
        <w:ind w:left="200" w:hanging="200"/>
      </w:pPr>
      <w:r>
        <w:rPr>
          <w:rFonts w:ascii="Times New Roman" w:hAnsi="Times New Roman" w:eastAsia="ＭＳ 明朝"/>
          <w:b w:val="0"/>
          <w:sz w:val="18"/>
        </w:rPr>
        <w:t>・スクリーニング（守・破・離）を進めるうえで難しかったこと・工夫したことを記入。</w:t>
      </w:r>
    </w:p>
    <w:p>
      <w:pPr>
        <w:spacing w:before="0" w:after="40"/>
        <w:ind w:left="200" w:hanging="200"/>
      </w:pPr>
      <w:r>
        <w:rPr>
          <w:rFonts w:ascii="Times New Roman" w:hAnsi="Times New Roman" w:eastAsia="ＭＳ 明朝"/>
          <w:b w:val="0"/>
          <w:sz w:val="18"/>
        </w:rPr>
        <w:t>・「専門家同士の提携」ならぬ「三世代の Moat」というテーマに辿り着くまでの学びを記入。</w:t>
      </w:r>
    </w:p>
    <w:p>
      <w:pPr>
        <w:spacing w:before="0" w:after="40"/>
        <w:ind w:left="200" w:hanging="200"/>
      </w:pPr>
      <w:r>
        <w:rPr>
          <w:rFonts w:ascii="Times New Roman" w:hAnsi="Times New Roman" w:eastAsia="ＭＳ 明朝"/>
          <w:b w:val="0"/>
          <w:sz w:val="18"/>
        </w:rPr>
        <w:t>・投資・企業分析・チームワークについて得た教訓を記入。</w:t>
      </w:r>
    </w:p>
    <w:p>
      <w:pPr>
        <w:spacing w:before="0" w:after="40"/>
        <w:ind w:left="200" w:hanging="200"/>
      </w:pPr>
      <w:r>
        <w:rPr>
          <w:rFonts w:ascii="Times New Roman" w:hAnsi="Times New Roman" w:eastAsia="ＭＳ 明朝"/>
          <w:b w:val="0"/>
          <w:sz w:val="18"/>
        </w:rPr>
        <w:t>・（STOCK リーグは氏名・謝辞の記載が可能。必要に応じて指導教員・協力企業への謝辞を記入。）</w:t>
      </w:r>
    </w:p>
    <w:p>
      <w:pPr>
        <w:spacing w:before="80" w:after="120"/>
      </w:pPr>
      <w:r>
        <w:rPr>
          <w:rFonts w:ascii="Times New Roman" w:hAnsi="Times New Roman" w:eastAsia="ＭＳ 明朝"/>
          <w:b w:val="0"/>
          <w:color w:val="888888"/>
          <w:sz w:val="18"/>
        </w:rPr>
        <w:t>［本文を記入］</w:t>
      </w:r>
    </w:p>
    <w:p>
      <w:pPr>
        <w:keepNext/>
        <w:keepLines/>
        <w:spacing w:before="200" w:after="80"/>
        <w:shd w:val="clear" w:color="auto" w:fill="2F6D5F"/>
      </w:pPr>
      <w:r>
        <w:rPr>
          <w:rFonts w:ascii="ＭＳ ゴシック" w:hAnsi="ＭＳ ゴシック" w:eastAsia="ＭＳ ゴシック"/>
          <w:b/>
          <w:color w:val="FFFFFF"/>
          <w:sz w:val="26"/>
        </w:rPr>
        <w:t xml:space="preserve">　注</w:t>
      </w:r>
    </w:p>
    <w:p>
      <w:pPr>
        <w:spacing w:before="0" w:after="100" w:line="324" w:lineRule="auto"/>
      </w:pPr>
      <w:r>
        <w:rPr>
          <w:rFonts w:ascii="Times New Roman" w:hAnsi="Times New Roman" w:eastAsia="ＭＳ 明朝"/>
          <w:b w:val="0"/>
          <w:sz w:val="19"/>
        </w:rPr>
        <w:t>1) ベンチマークの TOPIX プロキシ（1306.T）には原系列に未調整の 1:10 株式分割（2026-03-30）が含まれ，同日に約 −90% の不連続が生じる。本研究では同日以降の価格を 10 倍して連続化した。ポートフォリオ構成銘柄には分割様の不連続はなく，塩水港精糖（2112）の 2024-01-25 の +32.9% は実際の値動きとして保持した。</w:t>
      </w:r>
    </w:p>
    <w:p>
      <w:pPr>
        <w:spacing w:before="0" w:after="100" w:line="324" w:lineRule="auto"/>
      </w:pPr>
      <w:r>
        <w:rPr>
          <w:rFonts w:ascii="Times New Roman" w:hAnsi="Times New Roman" w:eastAsia="ＭＳ 明朝"/>
          <w:b w:val="0"/>
          <w:sz w:val="19"/>
        </w:rPr>
        <w:t>2) 本研究の株数は基準ケースで単元未満株（L=1）を前提とする。実単元（L=100）では株価の高い 9 社が予算・上限制約により購入できず，予算消化率が 46.7% に低下するため，実運用では単元未満株の利用を前提とする。</w:t>
      </w:r>
    </w:p>
    <w:p>
      <w:pPr>
        <w:spacing w:before="0" w:after="100" w:line="324" w:lineRule="auto"/>
      </w:pPr>
      <w:r>
        <w:rPr>
          <w:rFonts w:ascii="Times New Roman" w:hAnsi="Times New Roman" w:eastAsia="ＭＳ 明朝"/>
          <w:b w:val="0"/>
          <w:sz w:val="19"/>
        </w:rPr>
        <w:t>3) すべての財務・価格数値は 2026-06 時点で入手可能なデータに基づく。したがって履歴シミュレーションは in-sample であり，本研究は将来リターンの予測力を主張しない。</w:t>
      </w:r>
    </w:p>
    <w:p>
      <w:r>
        <w:br w:type="page"/>
      </w:r>
    </w:p>
    <w:p>
      <w:pPr>
        <w:keepNext/>
        <w:keepLines/>
        <w:spacing w:before="200" w:after="80"/>
        <w:shd w:val="clear" w:color="auto" w:fill="2F6D5F"/>
      </w:pPr>
      <w:r>
        <w:rPr>
          <w:rFonts w:ascii="ＭＳ ゴシック" w:hAnsi="ＭＳ ゴシック" w:eastAsia="ＭＳ ゴシック"/>
          <w:b/>
          <w:color w:val="FFFFFF"/>
          <w:sz w:val="26"/>
        </w:rPr>
        <w:t xml:space="preserve">　参考文献</w:t>
      </w:r>
    </w:p>
    <w:p>
      <w:pPr>
        <w:spacing w:before="0" w:after="100" w:line="324" w:lineRule="auto"/>
      </w:pPr>
      <w:r>
        <w:rPr>
          <w:rFonts w:ascii="Times New Roman" w:hAnsi="Times New Roman" w:eastAsia="ＭＳ 明朝"/>
          <w:b w:val="0"/>
          <w:sz w:val="19"/>
        </w:rPr>
        <w:t>（英語文献→日本語文献の順。本文引用と双方向に対応。詳細は final_references.md を参照。）</w:t>
      </w:r>
    </w:p>
    <w:p>
      <w:pPr>
        <w:keepNext/>
        <w:keepLines/>
        <w:spacing w:before="120" w:after="40"/>
        <w:pBdr>
          <w:bottom w:val="dashed" w:sz="12" w:space="3" w:color="2F6D5F"/>
        </w:pBdr>
      </w:pPr>
      <w:r>
        <w:rPr>
          <w:rFonts w:ascii="ＭＳ ゴシック" w:hAnsi="ＭＳ ゴシック" w:eastAsia="ＭＳ ゴシック"/>
          <w:b/>
          <w:color w:val="2F6D5F"/>
          <w:sz w:val="21"/>
        </w:rPr>
        <w:t>英語文献</w:t>
      </w:r>
    </w:p>
    <w:p>
      <w:pPr>
        <w:spacing w:before="0" w:after="40"/>
        <w:ind w:left="360" w:hanging="360"/>
      </w:pPr>
      <w:r>
        <w:rPr>
          <w:rFonts w:ascii="Times New Roman" w:hAnsi="Times New Roman" w:eastAsia="ＭＳ 明朝"/>
          <w:b w:val="0"/>
          <w:sz w:val="18"/>
        </w:rPr>
        <w:t>Akiba, T., Sano, S., Yanase, T., Ohta, T., &amp; Koyama, M. (2019) Optuna: A Next-generation Hyperparameter Optimization Framework. In Proceedings of the 25th ACM SIGKDD International Conference on Knowledge Discovery &amp; Data Mining, pp.2623-2631.</w:t>
      </w:r>
    </w:p>
    <w:p>
      <w:pPr>
        <w:spacing w:before="0" w:after="40"/>
        <w:ind w:left="360" w:hanging="360"/>
      </w:pPr>
      <w:r>
        <w:rPr>
          <w:rFonts w:ascii="Times New Roman" w:hAnsi="Times New Roman" w:eastAsia="ＭＳ 明朝"/>
          <w:b w:val="0"/>
          <w:sz w:val="18"/>
        </w:rPr>
        <w:t>Altman, E. I. (1968) Financial Ratios, Discriminant Analysis and the Prediction of Corporate Bankruptcy. The Journal of Finance, 23(4), pp.589-609.</w:t>
      </w:r>
    </w:p>
    <w:p>
      <w:pPr>
        <w:spacing w:before="0" w:after="40"/>
        <w:ind w:left="360" w:hanging="360"/>
      </w:pPr>
      <w:r>
        <w:rPr>
          <w:rFonts w:ascii="Times New Roman" w:hAnsi="Times New Roman" w:eastAsia="ＭＳ 明朝"/>
          <w:b w:val="0"/>
          <w:sz w:val="18"/>
        </w:rPr>
        <w:t>Asness, C. S., Frazzini, A., &amp; Pedersen, L. H. (2019) Quality Minus Junk. Review of Accounting Studies, 24, pp.34-112.</w:t>
      </w:r>
    </w:p>
    <w:p>
      <w:pPr>
        <w:spacing w:before="0" w:after="40"/>
        <w:ind w:left="360" w:hanging="360"/>
      </w:pPr>
      <w:r>
        <w:rPr>
          <w:rFonts w:ascii="Times New Roman" w:hAnsi="Times New Roman" w:eastAsia="ＭＳ 明朝"/>
          <w:b w:val="0"/>
          <w:sz w:val="18"/>
        </w:rPr>
        <w:t>Bailey, D. H., Borwein, J., de Prado, M. L., &amp; Zhu, Q. J. (2014) Pseudo-Mathematics and Financial Charlatanism: The Effects of Backtest Overfitting on Out-of-Sample Performance. Notices of the American Mathematical Society, 61(5), pp.458-471.</w:t>
      </w:r>
    </w:p>
    <w:p>
      <w:pPr>
        <w:spacing w:before="0" w:after="40"/>
        <w:ind w:left="360" w:hanging="360"/>
      </w:pPr>
      <w:r>
        <w:rPr>
          <w:rFonts w:ascii="Times New Roman" w:hAnsi="Times New Roman" w:eastAsia="ＭＳ 明朝"/>
          <w:b w:val="0"/>
          <w:sz w:val="18"/>
        </w:rPr>
        <w:t>Bailey, D. H., &amp; López de Prado, M. (2014) The Deflated Sharpe Ratio: Correcting for Selection Bias, Backtest Overfitting, and Non-Normality. The Journal of Portfolio Management, 40(5), pp.94-107.</w:t>
      </w:r>
    </w:p>
    <w:p>
      <w:pPr>
        <w:spacing w:before="0" w:after="40"/>
        <w:ind w:left="360" w:hanging="360"/>
      </w:pPr>
      <w:r>
        <w:rPr>
          <w:rFonts w:ascii="Times New Roman" w:hAnsi="Times New Roman" w:eastAsia="ＭＳ 明朝"/>
          <w:b w:val="0"/>
          <w:sz w:val="18"/>
        </w:rPr>
        <w:t>Basu, S. (1977) Investment Performance of Common Stocks in Relation to Their Price-Earnings Ratios: A Test of the Efficient Market Hypothesis. The Journal of Finance, 32(3), pp.663-682.</w:t>
      </w:r>
    </w:p>
    <w:p>
      <w:pPr>
        <w:spacing w:before="0" w:after="40"/>
        <w:ind w:left="360" w:hanging="360"/>
      </w:pPr>
      <w:r>
        <w:rPr>
          <w:rFonts w:ascii="Times New Roman" w:hAnsi="Times New Roman" w:eastAsia="ＭＳ 明朝"/>
          <w:b w:val="0"/>
          <w:sz w:val="18"/>
        </w:rPr>
        <w:t>Bergstra, J., &amp; Bengio, Y. (2012) Random Search for Hyper-Parameter Optimization. Journal of Machine Learning Research, 13, pp.281-305.</w:t>
      </w:r>
    </w:p>
    <w:p>
      <w:pPr>
        <w:spacing w:before="0" w:after="40"/>
        <w:ind w:left="360" w:hanging="360"/>
      </w:pPr>
      <w:r>
        <w:rPr>
          <w:rFonts w:ascii="Times New Roman" w:hAnsi="Times New Roman" w:eastAsia="ＭＳ 明朝"/>
          <w:b w:val="0"/>
          <w:sz w:val="18"/>
        </w:rPr>
        <w:t>Chan, L. K. C., Lakonishok, J., &amp; Sougiannis, T. (2001) The Stock Market Valuation of Research and Development Expenditures. The Journal of Finance, 56(6), pp.2431-2456.</w:t>
      </w:r>
    </w:p>
    <w:p>
      <w:pPr>
        <w:spacing w:before="0" w:after="40"/>
        <w:ind w:left="360" w:hanging="360"/>
      </w:pPr>
      <w:r>
        <w:rPr>
          <w:rFonts w:ascii="Times New Roman" w:hAnsi="Times New Roman" w:eastAsia="ＭＳ 明朝"/>
          <w:b w:val="0"/>
          <w:sz w:val="18"/>
        </w:rPr>
        <w:t>Deb, K., Pratap, A., Agarwal, S., &amp; Meyarivan, T. (2002) A Fast and Elitist Multiobjective Genetic Algorithm: NSGA-II. IEEE Transactions on Evolutionary Computation, 6(2), pp.182-197.</w:t>
      </w:r>
    </w:p>
    <w:p>
      <w:pPr>
        <w:spacing w:before="0" w:after="40"/>
        <w:ind w:left="360" w:hanging="360"/>
      </w:pPr>
      <w:r>
        <w:rPr>
          <w:rFonts w:ascii="Times New Roman" w:hAnsi="Times New Roman" w:eastAsia="ＭＳ 明朝"/>
          <w:b w:val="0"/>
          <w:sz w:val="18"/>
        </w:rPr>
        <w:t>Fama, E. F., &amp; French, K. R. (1993) Common Risk Factors in the Returns on Stocks and Bonds. Journal of Financial Economics, 33(1), pp.3-56.</w:t>
      </w:r>
    </w:p>
    <w:p>
      <w:pPr>
        <w:spacing w:before="0" w:after="40"/>
        <w:ind w:left="360" w:hanging="360"/>
      </w:pPr>
      <w:r>
        <w:rPr>
          <w:rFonts w:ascii="Times New Roman" w:hAnsi="Times New Roman" w:eastAsia="ＭＳ 明朝"/>
          <w:b w:val="0"/>
          <w:sz w:val="18"/>
        </w:rPr>
        <w:t>Fama, E. F., &amp; French, K. R. (2015) A Five-Factor Asset Pricing Model. Journal of Financial Economics, 116(1), pp.1-22.</w:t>
      </w:r>
    </w:p>
    <w:p>
      <w:pPr>
        <w:spacing w:before="0" w:after="40"/>
        <w:ind w:left="360" w:hanging="360"/>
      </w:pPr>
      <w:r>
        <w:rPr>
          <w:rFonts w:ascii="Times New Roman" w:hAnsi="Times New Roman" w:eastAsia="ＭＳ 明朝"/>
          <w:b w:val="0"/>
          <w:sz w:val="18"/>
        </w:rPr>
        <w:t>Frazzini, A., Kabiller, D., &amp; Pedersen, L. H. (2018) Buffett's Alpha. Financial Analysts Journal, 74(4), pp.35-55.</w:t>
      </w:r>
    </w:p>
    <w:p>
      <w:pPr>
        <w:spacing w:before="0" w:after="40"/>
        <w:ind w:left="360" w:hanging="360"/>
      </w:pPr>
      <w:r>
        <w:rPr>
          <w:rFonts w:ascii="Times New Roman" w:hAnsi="Times New Roman" w:eastAsia="ＭＳ 明朝"/>
          <w:b w:val="0"/>
          <w:sz w:val="18"/>
        </w:rPr>
        <w:t>Jaccard, P. (1901) Étude comparative de la distribution florale dans une portion des Alpes et des Jura. Bulletin de la Société Vaudoise des Sciences Naturelles, 37, pp.547-579.</w:t>
      </w:r>
    </w:p>
    <w:p>
      <w:pPr>
        <w:spacing w:before="0" w:after="40"/>
        <w:ind w:left="360" w:hanging="360"/>
      </w:pPr>
      <w:r>
        <w:rPr>
          <w:rFonts w:ascii="Times New Roman" w:hAnsi="Times New Roman" w:eastAsia="ＭＳ 明朝"/>
          <w:b w:val="0"/>
          <w:sz w:val="18"/>
        </w:rPr>
        <w:t>Jensen, M. C. (1968) The Performance of Mutual Funds in the Period 1945-1964. The Journal of Finance, 23(2), pp.389-416.</w:t>
      </w:r>
    </w:p>
    <w:p>
      <w:pPr>
        <w:spacing w:before="0" w:after="40"/>
        <w:ind w:left="360" w:hanging="360"/>
      </w:pPr>
      <w:r>
        <w:rPr>
          <w:rFonts w:ascii="Times New Roman" w:hAnsi="Times New Roman" w:eastAsia="ＭＳ 明朝"/>
          <w:b w:val="0"/>
          <w:sz w:val="18"/>
        </w:rPr>
        <w:t>Lev, B., &amp; Gu, F. (2016) The End of Accounting and the Path Forward for Investors and Managers, John Wiley &amp; Sons.</w:t>
      </w:r>
    </w:p>
    <w:p>
      <w:pPr>
        <w:spacing w:before="0" w:after="40"/>
        <w:ind w:left="360" w:hanging="360"/>
      </w:pPr>
      <w:r>
        <w:rPr>
          <w:rFonts w:ascii="Times New Roman" w:hAnsi="Times New Roman" w:eastAsia="ＭＳ 明朝"/>
          <w:b w:val="0"/>
          <w:sz w:val="18"/>
        </w:rPr>
        <w:t>López de Prado, M. (2018) Advances in Financial Machine Learning, John Wiley &amp; Sons.</w:t>
      </w:r>
    </w:p>
    <w:p>
      <w:pPr>
        <w:spacing w:before="0" w:after="40"/>
        <w:ind w:left="360" w:hanging="360"/>
      </w:pPr>
      <w:r>
        <w:rPr>
          <w:rFonts w:ascii="Times New Roman" w:hAnsi="Times New Roman" w:eastAsia="ＭＳ 明朝"/>
          <w:b w:val="0"/>
          <w:sz w:val="18"/>
        </w:rPr>
        <w:t>Markowitz, H. (1952) Portfolio Selection. The Journal of Finance, 7(1), pp.77-91.</w:t>
      </w:r>
    </w:p>
    <w:p>
      <w:pPr>
        <w:spacing w:before="0" w:after="40"/>
        <w:ind w:left="360" w:hanging="360"/>
      </w:pPr>
      <w:r>
        <w:rPr>
          <w:rFonts w:ascii="Times New Roman" w:hAnsi="Times New Roman" w:eastAsia="ＭＳ 明朝"/>
          <w:b w:val="0"/>
          <w:sz w:val="18"/>
        </w:rPr>
        <w:t>Novy-Marx, R. (2013) The Other Side of Value: The Gross Profitability Premium. Journal of Financial Economics, 108(1), pp.1-28.</w:t>
      </w:r>
    </w:p>
    <w:p>
      <w:pPr>
        <w:spacing w:before="0" w:after="40"/>
        <w:ind w:left="360" w:hanging="360"/>
      </w:pPr>
      <w:r>
        <w:rPr>
          <w:rFonts w:ascii="Times New Roman" w:hAnsi="Times New Roman" w:eastAsia="ＭＳ 明朝"/>
          <w:b w:val="0"/>
          <w:sz w:val="18"/>
        </w:rPr>
        <w:t>Ohlson, J. A. (1980) Financial Ratios and the Probabilistic Prediction of Bankruptcy. Journal of Accounting Research, 18(1), pp.109-131.</w:t>
      </w:r>
    </w:p>
    <w:p>
      <w:pPr>
        <w:spacing w:before="0" w:after="40"/>
        <w:ind w:left="360" w:hanging="360"/>
      </w:pPr>
      <w:r>
        <w:rPr>
          <w:rFonts w:ascii="Times New Roman" w:hAnsi="Times New Roman" w:eastAsia="ＭＳ 明朝"/>
          <w:b w:val="0"/>
          <w:sz w:val="18"/>
        </w:rPr>
        <w:t>Peters, R. H., &amp; Taylor, L. A. (2017) Intangible Capital and the Investment-q Relation. Journal of Financial Economics, 123(2), pp.251-272.</w:t>
      </w:r>
    </w:p>
    <w:p>
      <w:pPr>
        <w:spacing w:before="0" w:after="40"/>
        <w:ind w:left="360" w:hanging="360"/>
      </w:pPr>
      <w:r>
        <w:rPr>
          <w:rFonts w:ascii="Times New Roman" w:hAnsi="Times New Roman" w:eastAsia="ＭＳ 明朝"/>
          <w:b w:val="0"/>
          <w:sz w:val="18"/>
        </w:rPr>
        <w:t>Piotroski, J. D. (2000) Value Investing: The Use of Historical Financial Statement Information to Separate Winners from Losers. Journal of Accounting Research, 38, Supplement, pp.1-41.</w:t>
      </w:r>
    </w:p>
    <w:p>
      <w:pPr>
        <w:spacing w:before="0" w:after="40"/>
        <w:ind w:left="360" w:hanging="360"/>
      </w:pPr>
      <w:r>
        <w:rPr>
          <w:rFonts w:ascii="Times New Roman" w:hAnsi="Times New Roman" w:eastAsia="ＭＳ 明朝"/>
          <w:b w:val="0"/>
          <w:sz w:val="18"/>
        </w:rPr>
        <w:t>Sharpe, W. F. (1966) Mutual Fund Performance. The Journal of Business, 39(1), pp.119-138.</w:t>
      </w:r>
    </w:p>
    <w:p>
      <w:pPr>
        <w:spacing w:before="0" w:after="40"/>
        <w:ind w:left="360" w:hanging="360"/>
      </w:pPr>
      <w:r>
        <w:rPr>
          <w:rFonts w:ascii="Times New Roman" w:hAnsi="Times New Roman" w:eastAsia="ＭＳ 明朝"/>
          <w:b w:val="0"/>
          <w:sz w:val="18"/>
        </w:rPr>
        <w:t>Sharpe, W. F. (1994) The Sharpe Ratio. The Journal of Portfolio Management, 21(1), pp.49-58.</w:t>
      </w:r>
    </w:p>
    <w:p>
      <w:pPr>
        <w:spacing w:before="0" w:after="40"/>
        <w:ind w:left="360" w:hanging="360"/>
      </w:pPr>
      <w:r>
        <w:rPr>
          <w:rFonts w:ascii="Times New Roman" w:hAnsi="Times New Roman" w:eastAsia="ＭＳ 明朝"/>
          <w:b w:val="0"/>
          <w:sz w:val="18"/>
        </w:rPr>
        <w:t>Sloan, R. G. (1996) Do Stock Prices Fully Reflect Information in Accruals and Cash Flows about Future Earnings? The Accounting Review, 71(3), pp.289-315.</w:t>
      </w:r>
    </w:p>
    <w:p>
      <w:pPr>
        <w:keepNext/>
        <w:keepLines/>
        <w:spacing w:before="120" w:after="40"/>
        <w:pBdr>
          <w:bottom w:val="dashed" w:sz="12" w:space="3" w:color="2F6D5F"/>
        </w:pBdr>
      </w:pPr>
      <w:r>
        <w:rPr>
          <w:rFonts w:ascii="ＭＳ ゴシック" w:hAnsi="ＭＳ ゴシック" w:eastAsia="ＭＳ ゴシック"/>
          <w:b/>
          <w:color w:val="2F6D5F"/>
          <w:sz w:val="21"/>
        </w:rPr>
        <w:t>日本語文献</w:t>
      </w:r>
    </w:p>
    <w:p>
      <w:pPr>
        <w:spacing w:before="0" w:after="40"/>
        <w:ind w:left="360" w:hanging="360"/>
      </w:pPr>
      <w:r>
        <w:rPr>
          <w:rFonts w:ascii="Times New Roman" w:hAnsi="Times New Roman" w:eastAsia="ＭＳ 明朝"/>
          <w:b w:val="0"/>
          <w:sz w:val="18"/>
        </w:rPr>
        <w:t>経済産業省（2014）『持続的成長への競争力とインセンティブ ―企業と投資家の望ましい関係構築― プロジェクト最終報告書（伊藤レポート）』経済産業省．</w:t>
      </w:r>
    </w:p>
    <w:p>
      <w:pPr>
        <w:spacing w:before="0" w:after="40"/>
        <w:ind w:left="360" w:hanging="360"/>
      </w:pPr>
      <w:r>
        <w:rPr>
          <w:rFonts w:ascii="Times New Roman" w:hAnsi="Times New Roman" w:eastAsia="ＭＳ 明朝"/>
          <w:b w:val="0"/>
          <w:sz w:val="18"/>
        </w:rPr>
        <w:t>東京証券取引所（2023）「資本コストや株価を意識した経営の実現に向けた対応について」株式会社東京証券取引所．</w:t>
      </w:r>
    </w:p>
    <w:p>
      <w:pPr>
        <w:spacing w:before="0" w:after="40"/>
        <w:ind w:left="360" w:hanging="360"/>
      </w:pPr>
      <w:r>
        <w:rPr>
          <w:rFonts w:ascii="Times New Roman" w:hAnsi="Times New Roman" w:eastAsia="ＭＳ 明朝"/>
          <w:b w:val="0"/>
          <w:sz w:val="18"/>
        </w:rPr>
        <w:t>金融庁「EDINET（金融商品取引法に基づく有価証券報告書等の開示書類に関する電子開示システム）」，https://disclosure2.edinet-fsa.go.jp/ （2026年7月8日）</w:t>
      </w:r>
    </w:p>
    <w:p>
      <w:pPr>
        <w:spacing w:before="0" w:after="40"/>
        <w:ind w:left="360" w:hanging="360"/>
      </w:pPr>
      <w:r>
        <w:rPr>
          <w:rFonts w:ascii="Times New Roman" w:hAnsi="Times New Roman" w:eastAsia="ＭＳ 明朝"/>
          <w:b w:val="0"/>
          <w:sz w:val="18"/>
        </w:rPr>
        <w:t>日本取引所グループ「上場会社情報」，https://www.jpx.co.jp/listing/co-search/ （2026年7月8日）</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