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spacing w:after="120"/>
        <w:ind w:firstLine="0" w:firstLineChars="0"/>
      </w:pPr>
      <w:r>
        <w:rPr>
          <w:rFonts w:ascii="ＭＳ ゴシック" w:hAnsi="ＭＳ ゴシック" w:eastAsia="ＭＳ ゴシック"/>
          <w:b/>
          <w:color w:val="000000"/>
          <w:sz w:val="32"/>
        </w:rPr>
        <w:t>BEYOND BUFFETT</w:t>
      </w:r>
    </w:p>
    <w:p>
      <w:pPr>
        <w:jc w:val="center"/>
        <w:spacing w:after="60"/>
        <w:ind w:firstLine="0" w:firstLineChars="0"/>
      </w:pPr>
      <w:r>
        <w:rPr>
          <w:rFonts w:ascii="Times New Roman" w:hAnsi="Times New Roman" w:eastAsia="ＭＳ 明朝"/>
          <w:b/>
          <w:color w:val="000000"/>
          <w:sz w:val="24"/>
        </w:rPr>
        <w:t>― Moat の時間軸拡張による日本株ポートフォリオ ―</w:t>
      </w:r>
    </w:p>
    <w:p>
      <w:pPr>
        <w:jc w:val="center"/>
        <w:spacing w:after="60"/>
        <w:ind w:firstLine="0" w:firstLineChars="0"/>
      </w:pPr>
      <w:r>
        <w:rPr>
          <w:rFonts w:ascii="Times New Roman" w:hAnsi="Times New Roman" w:eastAsia="ＭＳ 明朝"/>
          <w:b w:val="0"/>
          <w:color w:val="000000"/>
          <w:sz w:val="21"/>
        </w:rPr>
        <w:t>だれでも検算できる、割安・優良・こわれにくい20社の選び方と配り方</w:t>
      </w:r>
    </w:p>
    <w:p>
      <w:pPr>
        <w:jc w:val="center"/>
        <w:spacing w:before="360"/>
        <w:ind w:firstLine="0" w:firstLineChars="0"/>
      </w:pPr>
      <w:r>
        <w:rPr>
          <w:rFonts w:ascii="Times New Roman" w:hAnsi="Times New Roman" w:eastAsia="ＭＳ 明朝"/>
          <w:b w:val="0"/>
          <w:color w:val="000000"/>
          <w:sz w:val="20"/>
        </w:rPr>
        <w:t>提出版（本文30ページ以内）</w:t>
      </w:r>
    </w:p>
    <w:p/>
    <w:p/>
    <w:p/>
    <w:p/>
    <w:p>
      <w:pPr>
        <w:jc w:val="right"/>
        <w:ind w:firstLine="0" w:firstLineChars="0"/>
      </w:pPr>
      <w:r>
        <w:rPr>
          <w:rFonts w:ascii="Times New Roman" w:hAnsi="Times New Roman" w:eastAsia="ＭＳ 明朝"/>
          <w:b w:val="0"/>
          <w:color w:val="FFFFFF"/>
          <w:sz w:val="22"/>
        </w:rPr>
        <w:t>［学部・学年］</w:t>
      </w:r>
    </w:p>
    <w:p>
      <w:pPr>
        <w:jc w:val="right"/>
        <w:ind w:firstLine="0" w:firstLineChars="0"/>
      </w:pPr>
      <w:r>
        <w:rPr>
          <w:rFonts w:ascii="Times New Roman" w:hAnsi="Times New Roman" w:eastAsia="ＭＳ 明朝"/>
          <w:b w:val="0"/>
          <w:color w:val="FFFFFF"/>
          <w:sz w:val="22"/>
        </w:rPr>
        <w:t>［氏名］</w:t>
      </w:r>
    </w:p>
    <w:p>
      <w:pPr>
        <w:jc w:val="center"/>
        <w:spacing w:before="360"/>
        <w:ind w:firstLine="0" w:firstLineChars="0"/>
      </w:pPr>
      <w:r>
        <w:rPr>
          <w:rFonts w:ascii="Times New Roman" w:hAnsi="Times New Roman" w:eastAsia="ＭＳ 明朝"/>
          <w:b w:val="0"/>
          <w:color w:val="000000"/>
          <w:sz w:val="16"/>
        </w:rPr>
        <w:t>（注：PDF 提出版は学部学年・氏名を白文字にする。本文・図表・注に個人名・所属ゼミ名・謝辞を記載しない。）</w:t>
      </w:r>
    </w:p>
    <w:p>
      <w:r>
        <w:br w:type="page"/>
      </w:r>
    </w:p>
    <w:p>
      <w:pPr>
        <w:pStyle w:val="Heading1"/>
        <w:ind w:firstLine="0" w:firstLineChars="0"/>
      </w:pPr>
      <w:r>
        <w:rPr>
          <w:rFonts w:ascii="ＭＳ ゴシック" w:hAnsi="ＭＳ ゴシック" w:eastAsia="ＭＳ ゴシック"/>
          <w:b/>
          <w:color w:val="000000"/>
          <w:sz w:val="24"/>
        </w:rPr>
        <w:t>要点（結論先出し）</w:t>
      </w:r>
    </w:p>
    <w:p>
      <w:pPr/>
      <w:r>
        <w:rPr>
          <w:rFonts w:ascii="Times New Roman" w:hAnsi="Times New Roman" w:eastAsia="ＭＳ 明朝"/>
          <w:b w:val="0"/>
          <w:sz w:val="18"/>
        </w:rPr>
        <w:t>本研究の目的を一文で言えば、「よい会社を、安く、こわれにくい形で20社選び、500万円を、だれでも検算できる形で配る方法を示すこと」である。</w:t>
      </w:r>
    </w:p>
    <w:p>
      <w:pPr/>
      <w:r>
        <w:rPr>
          <w:rFonts w:ascii="Times New Roman" w:hAnsi="Times New Roman" w:eastAsia="ＭＳ 明朝"/>
          <w:b w:val="0"/>
          <w:sz w:val="18"/>
        </w:rPr>
        <w:t>Warren Buffett の投資の本質は、天才的なひらめきではなく、①割安に買い、②優良な会社を選び、③大きく損をしない、という再現可能な規律にある。本研究の題名「BEYOND BUFFETT（バフェットを超える）」は、この規律を否定するのではなく、そこで測る「堀（moat＝競争優位）」を、いまの姿だけでなく「これから変わる姿」「これから生まれる姿」まで時間軸を広げて測る、という意味である。</w:t>
      </w:r>
    </w:p>
    <w:p>
      <w:pPr>
        <w:pStyle w:val="Heading2"/>
      </w:pPr>
      <w:r>
        <w:rPr>
          <w:rFonts w:ascii="ＭＳ ゴシック" w:hAnsi="ＭＳ ゴシック" w:eastAsia="ＭＳ ゴシック"/>
          <w:b/>
          <w:color w:val="000000"/>
          <w:sz w:val="22"/>
        </w:rPr>
        <w:t>最終結果 ― 選ばれた20社（役割別）</w:t>
      </w:r>
    </w:p>
    <w:p>
      <w:pPr/>
      <w:r>
        <w:rPr>
          <w:rFonts w:ascii="Times New Roman" w:hAnsi="Times New Roman" w:eastAsia="ＭＳ 明朝"/>
          <w:b w:val="0"/>
          <w:sz w:val="18"/>
        </w:rPr>
        <w:t>先に結論を示す。守・破・離の三段階で選んだ最終20社は、次の5つの役割で構成される。銘柄はいったん選んだ後、成績を見て入れ替えることはしていない。</w:t>
      </w:r>
    </w:p>
    <w:tbl>
      <w:tblPr>
        <w:tblStyle w:val="TableGrid"/>
        <w:tblW w:type="auto" w:w="0"/>
        <w:jc w:val="center"/>
        <w:tblLook w:firstColumn="1" w:firstRow="1" w:lastColumn="0" w:lastRow="0" w:noHBand="0" w:noVBand="1" w:val="04A0"/>
      </w:tblPr>
      <w:tblGrid>
        <w:gridCol w:w="2759"/>
        <w:gridCol w:w="2759"/>
        <w:gridCol w:w="2759"/>
      </w:tblGrid>
      <w:tr>
        <w:trPr>
          <w:cantSplit/>
        </w:trPr>
        <w:tc>
          <w:tcPr>
            <w:tcW w:type="dxa" w:w="2268"/>
            <w:shd w:val="clear" w:color="auto" w:fill="808080"/>
          </w:tcPr>
          <w:p>
            <w:pPr>
              <w:spacing w:after="0"/>
              <w:ind w:firstLine="0" w:firstLineChars="0"/>
            </w:pPr>
            <w:r>
              <w:rPr>
                <w:rFonts w:ascii="ＭＳ ゴシック" w:hAnsi="ＭＳ ゴシック" w:eastAsia="ＭＳ ゴシック"/>
                <w:b/>
                <w:color w:val="FFFFFF"/>
                <w:sz w:val="16"/>
              </w:rPr>
              <w:t>役割（日本語）</w:t>
            </w:r>
          </w:p>
        </w:tc>
        <w:tc>
          <w:tcPr>
            <w:tcW w:type="dxa" w:w="4876"/>
            <w:shd w:val="clear" w:color="auto" w:fill="808080"/>
          </w:tcPr>
          <w:p>
            <w:pPr>
              <w:spacing w:after="0"/>
              <w:ind w:firstLine="0" w:firstLineChars="0"/>
            </w:pPr>
            <w:r>
              <w:rPr>
                <w:rFonts w:ascii="ＭＳ ゴシック" w:hAnsi="ＭＳ ゴシック" w:eastAsia="ＭＳ ゴシック"/>
                <w:b/>
                <w:color w:val="FFFFFF"/>
                <w:sz w:val="16"/>
              </w:rPr>
              <w:t>銘柄（コード・略称）</w:t>
            </w:r>
          </w:p>
        </w:tc>
        <w:tc>
          <w:tcPr>
            <w:tcW w:type="dxa" w:w="1134"/>
            <w:shd w:val="clear" w:color="auto" w:fill="808080"/>
          </w:tcPr>
          <w:p>
            <w:pPr>
              <w:spacing w:after="0"/>
              <w:ind w:firstLine="0" w:firstLineChars="0"/>
            </w:pPr>
            <w:r>
              <w:rPr>
                <w:rFonts w:ascii="ＭＳ ゴシック" w:hAnsi="ＭＳ ゴシック" w:eastAsia="ＭＳ ゴシック"/>
                <w:b/>
                <w:color w:val="FFFFFF"/>
                <w:sz w:val="16"/>
              </w:rPr>
              <w:t>配分合計</w:t>
            </w:r>
          </w:p>
        </w:tc>
      </w:tr>
      <w:tr>
        <w:trPr>
          <w:cantSplit/>
        </w:trPr>
        <w:tc>
          <w:tcPr>
            <w:tcW w:type="dxa" w:w="2268"/>
          </w:tcPr>
          <w:p>
            <w:pPr>
              <w:spacing w:after="0"/>
              <w:ind w:firstLine="0" w:firstLineChars="0"/>
            </w:pPr>
            <w:r>
              <w:rPr>
                <w:rFonts w:ascii="Times New Roman" w:hAnsi="Times New Roman" w:eastAsia="ＭＳ 明朝"/>
                <w:b w:val="0"/>
                <w:color w:val="000000"/>
                <w:sz w:val="16"/>
              </w:rPr>
              <w:t>完成した堀（守の中核5社・固定）</w:t>
            </w:r>
          </w:p>
        </w:tc>
        <w:tc>
          <w:tcPr>
            <w:tcW w:type="dxa" w:w="4876"/>
          </w:tcPr>
          <w:p>
            <w:pPr>
              <w:spacing w:after="0"/>
              <w:ind w:firstLine="0" w:firstLineChars="0"/>
            </w:pPr>
            <w:r>
              <w:rPr>
                <w:rFonts w:ascii="Times New Roman" w:hAnsi="Times New Roman" w:eastAsia="ＭＳ 明朝"/>
                <w:b w:val="0"/>
                <w:color w:val="000000"/>
                <w:sz w:val="16"/>
              </w:rPr>
              <w:t>3539 JM、6430 DAIKOKU、7803 Bushiroad、9470 GAKKEN、4350 MEDICAL</w:t>
            </w:r>
          </w:p>
        </w:tc>
        <w:tc>
          <w:tcPr>
            <w:tcW w:type="dxa" w:w="1134"/>
          </w:tcPr>
          <w:p>
            <w:pPr>
              <w:spacing w:after="0"/>
              <w:ind w:firstLine="0" w:firstLineChars="0"/>
            </w:pPr>
            <w:r>
              <w:rPr>
                <w:rFonts w:ascii="Times New Roman" w:hAnsi="Times New Roman" w:eastAsia="ＭＳ 明朝"/>
                <w:b w:val="0"/>
                <w:color w:val="000000"/>
                <w:sz w:val="16"/>
              </w:rPr>
              <w:t>25%</w:t>
            </w:r>
          </w:p>
        </w:tc>
      </w:tr>
      <w:tr>
        <w:trPr>
          <w:cantSplit/>
        </w:trPr>
        <w:tc>
          <w:tcPr>
            <w:tcW w:type="dxa" w:w="2268"/>
          </w:tcPr>
          <w:p>
            <w:pPr>
              <w:spacing w:after="0"/>
              <w:ind w:firstLine="0" w:firstLineChars="0"/>
            </w:pPr>
            <w:r>
              <w:rPr>
                <w:rFonts w:ascii="Times New Roman" w:hAnsi="Times New Roman" w:eastAsia="ＭＳ 明朝"/>
                <w:b w:val="0"/>
                <w:color w:val="000000"/>
                <w:sz w:val="16"/>
              </w:rPr>
              <w:t>変わる堀（5社）</w:t>
            </w:r>
          </w:p>
        </w:tc>
        <w:tc>
          <w:tcPr>
            <w:tcW w:type="dxa" w:w="4876"/>
          </w:tcPr>
          <w:p>
            <w:pPr>
              <w:spacing w:after="0"/>
              <w:ind w:firstLine="0" w:firstLineChars="0"/>
            </w:pPr>
            <w:r>
              <w:rPr>
                <w:rFonts w:ascii="Times New Roman" w:hAnsi="Times New Roman" w:eastAsia="ＭＳ 明朝"/>
                <w:b w:val="0"/>
                <w:color w:val="000000"/>
                <w:sz w:val="16"/>
              </w:rPr>
              <w:t>5902 HOKKAN、9828 Genki、5233 TAIHEIYO、8037 KAMEI、3863 Nippon</w:t>
            </w:r>
          </w:p>
        </w:tc>
        <w:tc>
          <w:tcPr>
            <w:tcW w:type="dxa" w:w="1134"/>
          </w:tcPr>
          <w:p>
            <w:pPr>
              <w:spacing w:after="0"/>
              <w:ind w:firstLine="0" w:firstLineChars="0"/>
            </w:pPr>
            <w:r>
              <w:rPr>
                <w:rFonts w:ascii="Times New Roman" w:hAnsi="Times New Roman" w:eastAsia="ＭＳ 明朝"/>
                <w:b w:val="0"/>
                <w:color w:val="000000"/>
                <w:sz w:val="16"/>
              </w:rPr>
              <w:t>25%</w:t>
            </w:r>
          </w:p>
        </w:tc>
      </w:tr>
      <w:tr>
        <w:trPr>
          <w:cantSplit/>
        </w:trPr>
        <w:tc>
          <w:tcPr>
            <w:tcW w:type="dxa" w:w="2268"/>
          </w:tcPr>
          <w:p>
            <w:pPr>
              <w:spacing w:after="0"/>
              <w:ind w:firstLine="0" w:firstLineChars="0"/>
            </w:pPr>
            <w:r>
              <w:rPr>
                <w:rFonts w:ascii="Times New Roman" w:hAnsi="Times New Roman" w:eastAsia="ＭＳ 明朝"/>
                <w:b w:val="0"/>
                <w:color w:val="000000"/>
                <w:sz w:val="16"/>
              </w:rPr>
              <w:t>生まれる堀（5社）</w:t>
            </w:r>
          </w:p>
        </w:tc>
        <w:tc>
          <w:tcPr>
            <w:tcW w:type="dxa" w:w="4876"/>
          </w:tcPr>
          <w:p>
            <w:pPr>
              <w:spacing w:after="0"/>
              <w:ind w:firstLine="0" w:firstLineChars="0"/>
            </w:pPr>
            <w:r>
              <w:rPr>
                <w:rFonts w:ascii="Times New Roman" w:hAnsi="Times New Roman" w:eastAsia="ＭＳ 明朝"/>
                <w:b w:val="0"/>
                <w:color w:val="000000"/>
                <w:sz w:val="16"/>
              </w:rPr>
              <w:t>6368 ORGANO、6315 TOWA、6920 Lasertec、6526 Socionext、5803 Fujikura</w:t>
            </w:r>
          </w:p>
        </w:tc>
        <w:tc>
          <w:tcPr>
            <w:tcW w:type="dxa" w:w="1134"/>
          </w:tcPr>
          <w:p>
            <w:pPr>
              <w:spacing w:after="0"/>
              <w:ind w:firstLine="0" w:firstLineChars="0"/>
            </w:pPr>
            <w:r>
              <w:rPr>
                <w:rFonts w:ascii="Times New Roman" w:hAnsi="Times New Roman" w:eastAsia="ＭＳ 明朝"/>
                <w:b w:val="0"/>
                <w:color w:val="000000"/>
                <w:sz w:val="16"/>
              </w:rPr>
              <w:t>25%</w:t>
            </w:r>
          </w:p>
        </w:tc>
      </w:tr>
      <w:tr>
        <w:trPr>
          <w:cantSplit/>
        </w:trPr>
        <w:tc>
          <w:tcPr>
            <w:tcW w:type="dxa" w:w="2268"/>
          </w:tcPr>
          <w:p>
            <w:pPr>
              <w:spacing w:after="0"/>
              <w:ind w:firstLine="0" w:firstLineChars="0"/>
            </w:pPr>
            <w:r>
              <w:rPr>
                <w:rFonts w:ascii="Times New Roman" w:hAnsi="Times New Roman" w:eastAsia="ＭＳ 明朝"/>
                <w:b w:val="0"/>
                <w:color w:val="000000"/>
                <w:sz w:val="16"/>
              </w:rPr>
              <w:t>両立型（3社）</w:t>
            </w:r>
          </w:p>
        </w:tc>
        <w:tc>
          <w:tcPr>
            <w:tcW w:type="dxa" w:w="4876"/>
          </w:tcPr>
          <w:p>
            <w:pPr>
              <w:spacing w:after="0"/>
              <w:ind w:firstLine="0" w:firstLineChars="0"/>
            </w:pPr>
            <w:r>
              <w:rPr>
                <w:rFonts w:ascii="Times New Roman" w:hAnsi="Times New Roman" w:eastAsia="ＭＳ 明朝"/>
                <w:b w:val="0"/>
                <w:color w:val="000000"/>
                <w:sz w:val="16"/>
              </w:rPr>
              <w:t>3697 SHIFT、6841 YOKOGAWA、9474 ZENRIN</w:t>
            </w:r>
          </w:p>
        </w:tc>
        <w:tc>
          <w:tcPr>
            <w:tcW w:type="dxa" w:w="1134"/>
          </w:tcPr>
          <w:p>
            <w:pPr>
              <w:spacing w:after="0"/>
              <w:ind w:firstLine="0" w:firstLineChars="0"/>
            </w:pPr>
            <w:r>
              <w:rPr>
                <w:rFonts w:ascii="Times New Roman" w:hAnsi="Times New Roman" w:eastAsia="ＭＳ 明朝"/>
                <w:b w:val="0"/>
                <w:color w:val="000000"/>
                <w:sz w:val="16"/>
              </w:rPr>
              <w:t>15%</w:t>
            </w:r>
          </w:p>
        </w:tc>
      </w:tr>
      <w:tr>
        <w:trPr>
          <w:cantSplit/>
        </w:trPr>
        <w:tc>
          <w:tcPr>
            <w:tcW w:type="dxa" w:w="2268"/>
          </w:tcPr>
          <w:p>
            <w:pPr>
              <w:spacing w:after="0"/>
              <w:ind w:firstLine="0" w:firstLineChars="0"/>
            </w:pPr>
            <w:r>
              <w:rPr>
                <w:rFonts w:ascii="Times New Roman" w:hAnsi="Times New Roman" w:eastAsia="ＭＳ 明朝"/>
                <w:b w:val="0"/>
                <w:color w:val="000000"/>
                <w:sz w:val="16"/>
              </w:rPr>
              <w:t>分散役（2社）</w:t>
            </w:r>
          </w:p>
        </w:tc>
        <w:tc>
          <w:tcPr>
            <w:tcW w:type="dxa" w:w="4876"/>
          </w:tcPr>
          <w:p>
            <w:pPr>
              <w:spacing w:after="0"/>
              <w:ind w:firstLine="0" w:firstLineChars="0"/>
            </w:pPr>
            <w:r>
              <w:rPr>
                <w:rFonts w:ascii="Times New Roman" w:hAnsi="Times New Roman" w:eastAsia="ＭＳ 明朝"/>
                <w:b w:val="0"/>
                <w:color w:val="000000"/>
                <w:sz w:val="16"/>
              </w:rPr>
              <w:t>3089 Techno、2112 Ensuiko</w:t>
            </w:r>
          </w:p>
        </w:tc>
        <w:tc>
          <w:tcPr>
            <w:tcW w:type="dxa" w:w="1134"/>
          </w:tcPr>
          <w:p>
            <w:pPr>
              <w:spacing w:after="0"/>
              <w:ind w:firstLine="0" w:firstLineChars="0"/>
            </w:pPr>
            <w:r>
              <w:rPr>
                <w:rFonts w:ascii="Times New Roman" w:hAnsi="Times New Roman" w:eastAsia="ＭＳ 明朝"/>
                <w:b w:val="0"/>
                <w:color w:val="000000"/>
                <w:sz w:val="16"/>
              </w:rPr>
              <w:t>10%</w:t>
            </w:r>
          </w:p>
        </w:tc>
      </w:tr>
    </w:tbl>
    <w:p>
      <w:pPr>
        <w:spacing w:after="80"/>
        <w:ind w:firstLine="0" w:firstLineChars="0"/>
      </w:pPr>
    </w:p>
    <w:p>
      <w:pPr/>
      <w:r>
        <w:rPr>
          <w:rFonts w:ascii="Times New Roman" w:hAnsi="Times New Roman" w:eastAsia="ＭＳ 明朝"/>
          <w:b w:val="0"/>
          <w:sz w:val="18"/>
        </w:rPr>
        <w:t>完成した堀（Buffett Core）は Phase1 で選んだ5社（3539 JMホールディングス、4350 メディカルシステムネットワーク、6430 大黒電機、7803 ブシロード、9470 学研ホールディングス）で、以降は固定する。合計500万円のうち約495万円を投資し、残りは現金として残る（消化率99.0%）。</w:t>
      </w:r>
    </w:p>
    <w:p>
      <w:pPr>
        <w:pStyle w:val="Heading2"/>
      </w:pPr>
      <w:r>
        <w:rPr>
          <w:rFonts w:ascii="ＭＳ ゴシック" w:hAnsi="ＭＳ ゴシック" w:eastAsia="ＭＳ ゴシック"/>
          <w:b/>
          <w:color w:val="000000"/>
          <w:sz w:val="22"/>
        </w:rPr>
        <w:t>全体の流れ ― 3,099社から20社へ（守・破・離）</w:t>
      </w:r>
    </w:p>
    <w:p>
      <w:pPr/>
      <w:r>
        <w:rPr>
          <w:rFonts w:ascii="Times New Roman" w:hAnsi="Times New Roman" w:eastAsia="ＭＳ 明朝"/>
          <w:b w:val="0"/>
          <w:sz w:val="18"/>
        </w:rPr>
        <w:t>選定は三段階で進む。守（Phase1）は先行研究の式だけで「完成した堀」を厳しく5社に絞る。破（Phase2）は式を変えずに使い方だけを工夫し、次の段階で見る候補を1,200社に広げる。離（Phase3）は、その1,200社から「変わる堀」「生まれる堀」を測り、三世代あわせて20社を組む。社数の流れは次の通りである。</w:t>
      </w:r>
    </w:p>
    <w:p>
      <w:pPr>
        <w:keepNext/>
        <w:spacing w:before="120" w:after="40"/>
        <w:ind w:firstLine="0" w:firstLineChars="0"/>
      </w:pPr>
      <w:r>
        <w:rPr>
          <w:rFonts w:ascii="ＭＳ ゴシック" w:hAnsi="ＭＳ ゴシック" w:eastAsia="ＭＳ ゴシック"/>
          <w:b/>
          <w:color w:val="000000"/>
          <w:sz w:val="18"/>
        </w:rPr>
        <w:t>図表 要-1　守（Phase1）の絞り込み：3,099社→77社→Top5</w:t>
      </w:r>
    </w:p>
    <w:p>
      <w:pPr>
        <w:jc w:val="center"/>
        <w:keepNext/>
        <w:ind w:firstLine="0" w:firstLineChars="0"/>
      </w:pPr>
      <w:r>
        <w:drawing>
          <wp:inline xmlns:a="http://schemas.openxmlformats.org/drawingml/2006/main" xmlns:pic="http://schemas.openxmlformats.org/drawingml/2006/picture">
            <wp:extent cx="5040000" cy="2576741"/>
            <wp:docPr id="1" name="Picture 1"/>
            <wp:cNvGraphicFramePr>
              <a:graphicFrameLocks noChangeAspect="1"/>
            </wp:cNvGraphicFramePr>
            <a:graphic>
              <a:graphicData uri="http://schemas.openxmlformats.org/drawingml/2006/picture">
                <pic:pic>
                  <pic:nvPicPr>
                    <pic:cNvPr id="0" name="phase1_funnel.png"/>
                    <pic:cNvPicPr/>
                  </pic:nvPicPr>
                  <pic:blipFill>
                    <a:blip r:embed="rId9"/>
                    <a:stretch>
                      <a:fillRect/>
                    </a:stretch>
                  </pic:blipFill>
                  <pic:spPr>
                    <a:xfrm>
                      <a:off x="0" y="0"/>
                      <a:ext cx="5040000" cy="2576741"/>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注：各段階の通過社数。守はここから Buffett Core 5社を固定する。破ではこれとは別に候補を1,200社へ広げ、離で最終20社を選ぶ。筆者作成。</w:t>
      </w:r>
    </w:p>
    <w:p>
      <w:pPr>
        <w:pStyle w:val="Heading2"/>
      </w:pPr>
      <w:r>
        <w:rPr>
          <w:rFonts w:ascii="ＭＳ ゴシック" w:hAnsi="ＭＳ ゴシック" w:eastAsia="ＭＳ ゴシック"/>
          <w:b/>
          <w:color w:val="000000"/>
          <w:sz w:val="22"/>
        </w:rPr>
        <w:t>本研究が各社に問う5つの問い</w:t>
      </w:r>
    </w:p>
    <w:p>
      <w:pPr/>
      <w:r>
        <w:rPr>
          <w:rFonts w:ascii="Times New Roman" w:hAnsi="Times New Roman" w:eastAsia="ＭＳ 明朝"/>
          <w:b w:val="0"/>
          <w:sz w:val="18"/>
        </w:rPr>
        <w:t>各会社について、私たちは次の5つの問いを順に確かめる。前半3つ（守）はバフェット型の規律、後半2つ（離）が本研究の拡張である。それぞれ、答えを出すために使う式を対応させた。</w:t>
      </w:r>
    </w:p>
    <w:tbl>
      <w:tblPr>
        <w:tblStyle w:val="TableGrid"/>
        <w:tblW w:type="auto" w:w="0"/>
        <w:jc w:val="center"/>
        <w:tblLook w:firstColumn="1" w:firstRow="1" w:lastColumn="0" w:lastRow="0" w:noHBand="0" w:noVBand="1" w:val="04A0"/>
      </w:tblPr>
      <w:tblGrid>
        <w:gridCol w:w="2759"/>
        <w:gridCol w:w="2759"/>
        <w:gridCol w:w="2759"/>
      </w:tblGrid>
      <w:tr>
        <w:trPr>
          <w:cantSplit/>
        </w:trPr>
        <w:tc>
          <w:tcPr>
            <w:tcW w:type="dxa" w:w="454"/>
            <w:shd w:val="clear" w:color="auto" w:fill="808080"/>
          </w:tcPr>
          <w:p>
            <w:pPr>
              <w:spacing w:after="0"/>
              <w:ind w:firstLine="0" w:firstLineChars="0"/>
            </w:pPr>
            <w:r>
              <w:rPr>
                <w:rFonts w:ascii="ＭＳ ゴシック" w:hAnsi="ＭＳ ゴシック" w:eastAsia="ＭＳ ゴシック"/>
                <w:b/>
                <w:color w:val="FFFFFF"/>
                <w:sz w:val="16"/>
              </w:rPr>
              <w:t>#</w:t>
            </w:r>
          </w:p>
        </w:tc>
        <w:tc>
          <w:tcPr>
            <w:tcW w:type="dxa" w:w="5443"/>
            <w:shd w:val="clear" w:color="auto" w:fill="808080"/>
          </w:tcPr>
          <w:p>
            <w:pPr>
              <w:spacing w:after="0"/>
              <w:ind w:firstLine="0" w:firstLineChars="0"/>
            </w:pPr>
            <w:r>
              <w:rPr>
                <w:rFonts w:ascii="ＭＳ ゴシック" w:hAnsi="ＭＳ ゴシック" w:eastAsia="ＭＳ ゴシック"/>
                <w:b/>
                <w:color w:val="FFFFFF"/>
                <w:sz w:val="16"/>
              </w:rPr>
              <w:t>問い</w:t>
            </w:r>
          </w:p>
        </w:tc>
        <w:tc>
          <w:tcPr>
            <w:tcW w:type="dxa" w:w="2381"/>
            <w:shd w:val="clear" w:color="auto" w:fill="808080"/>
          </w:tcPr>
          <w:p>
            <w:pPr>
              <w:spacing w:after="0"/>
              <w:ind w:firstLine="0" w:firstLineChars="0"/>
            </w:pPr>
            <w:r>
              <w:rPr>
                <w:rFonts w:ascii="ＭＳ ゴシック" w:hAnsi="ＭＳ ゴシック" w:eastAsia="ＭＳ ゴシック"/>
                <w:b/>
                <w:color w:val="FFFFFF"/>
                <w:sz w:val="16"/>
              </w:rPr>
              <w:t>答えを出す式</w:t>
            </w:r>
          </w:p>
        </w:tc>
      </w:tr>
      <w:tr>
        <w:trPr>
          <w:cantSplit/>
        </w:trPr>
        <w:tc>
          <w:tcPr>
            <w:tcW w:type="dxa" w:w="454"/>
          </w:tcPr>
          <w:p>
            <w:pPr>
              <w:spacing w:after="0"/>
              <w:ind w:firstLine="0" w:firstLineChars="0"/>
            </w:pPr>
            <w:r>
              <w:rPr>
                <w:rFonts w:ascii="Times New Roman" w:hAnsi="Times New Roman" w:eastAsia="ＭＳ 明朝"/>
                <w:b w:val="0"/>
                <w:color w:val="000000"/>
                <w:sz w:val="16"/>
              </w:rPr>
              <w:t>①</w:t>
            </w:r>
          </w:p>
        </w:tc>
        <w:tc>
          <w:tcPr>
            <w:tcW w:type="dxa" w:w="5443"/>
          </w:tcPr>
          <w:p>
            <w:pPr>
              <w:spacing w:after="0"/>
              <w:ind w:firstLine="0" w:firstLineChars="0"/>
            </w:pPr>
            <w:r>
              <w:rPr>
                <w:rFonts w:ascii="Times New Roman" w:hAnsi="Times New Roman" w:eastAsia="ＭＳ 明朝"/>
                <w:b w:val="0"/>
                <w:color w:val="000000"/>
                <w:sz w:val="16"/>
              </w:rPr>
              <w:t>株価は割安か（純資産・利益に対して安いか）</w:t>
            </w:r>
          </w:p>
        </w:tc>
        <w:tc>
          <w:tcPr>
            <w:tcW w:type="dxa" w:w="2381"/>
          </w:tcPr>
          <w:p>
            <w:pPr>
              <w:spacing w:after="0"/>
              <w:ind w:firstLine="0" w:firstLineChars="0"/>
            </w:pPr>
            <w:r>
              <w:rPr>
                <w:rFonts w:ascii="Times New Roman" w:hAnsi="Times New Roman" w:eastAsia="ＭＳ 明朝"/>
                <w:b w:val="0"/>
                <w:color w:val="000000"/>
                <w:sz w:val="16"/>
              </w:rPr>
              <w:t>式 1.1 B/M、式 1.2 E/P</w:t>
            </w:r>
          </w:p>
        </w:tc>
      </w:tr>
      <w:tr>
        <w:trPr>
          <w:cantSplit/>
        </w:trPr>
        <w:tc>
          <w:tcPr>
            <w:tcW w:type="dxa" w:w="454"/>
          </w:tcPr>
          <w:p>
            <w:pPr>
              <w:spacing w:after="0"/>
              <w:ind w:firstLine="0" w:firstLineChars="0"/>
            </w:pPr>
            <w:r>
              <w:rPr>
                <w:rFonts w:ascii="Times New Roman" w:hAnsi="Times New Roman" w:eastAsia="ＭＳ 明朝"/>
                <w:b w:val="0"/>
                <w:color w:val="000000"/>
                <w:sz w:val="16"/>
              </w:rPr>
              <w:t>②</w:t>
            </w:r>
          </w:p>
        </w:tc>
        <w:tc>
          <w:tcPr>
            <w:tcW w:type="dxa" w:w="5443"/>
          </w:tcPr>
          <w:p>
            <w:pPr>
              <w:spacing w:after="0"/>
              <w:ind w:firstLine="0" w:firstLineChars="0"/>
            </w:pPr>
            <w:r>
              <w:rPr>
                <w:rFonts w:ascii="Times New Roman" w:hAnsi="Times New Roman" w:eastAsia="ＭＳ 明朝"/>
                <w:b w:val="0"/>
                <w:color w:val="000000"/>
                <w:sz w:val="16"/>
              </w:rPr>
              <w:t>良い会社か（資産を効率よく利益に変えているか）</w:t>
            </w:r>
          </w:p>
        </w:tc>
        <w:tc>
          <w:tcPr>
            <w:tcW w:type="dxa" w:w="2381"/>
          </w:tcPr>
          <w:p>
            <w:pPr>
              <w:spacing w:after="0"/>
              <w:ind w:firstLine="0" w:firstLineChars="0"/>
            </w:pPr>
            <w:r>
              <w:rPr>
                <w:rFonts w:ascii="Times New Roman" w:hAnsi="Times New Roman" w:eastAsia="ＭＳ 明朝"/>
                <w:b w:val="0"/>
                <w:color w:val="000000"/>
                <w:sz w:val="16"/>
              </w:rPr>
              <w:t>式 1.3 Gross Profitability、式 1.4 Piotroski</w:t>
            </w:r>
          </w:p>
        </w:tc>
      </w:tr>
      <w:tr>
        <w:trPr>
          <w:cantSplit/>
        </w:trPr>
        <w:tc>
          <w:tcPr>
            <w:tcW w:type="dxa" w:w="454"/>
          </w:tcPr>
          <w:p>
            <w:pPr>
              <w:spacing w:after="0"/>
              <w:ind w:firstLine="0" w:firstLineChars="0"/>
            </w:pPr>
            <w:r>
              <w:rPr>
                <w:rFonts w:ascii="Times New Roman" w:hAnsi="Times New Roman" w:eastAsia="ＭＳ 明朝"/>
                <w:b w:val="0"/>
                <w:color w:val="000000"/>
                <w:sz w:val="16"/>
              </w:rPr>
              <w:t>③</w:t>
            </w:r>
          </w:p>
        </w:tc>
        <w:tc>
          <w:tcPr>
            <w:tcW w:type="dxa" w:w="5443"/>
          </w:tcPr>
          <w:p>
            <w:pPr>
              <w:spacing w:after="0"/>
              <w:ind w:firstLine="0" w:firstLineChars="0"/>
            </w:pPr>
            <w:r>
              <w:rPr>
                <w:rFonts w:ascii="Times New Roman" w:hAnsi="Times New Roman" w:eastAsia="ＭＳ 明朝"/>
                <w:b w:val="0"/>
                <w:color w:val="000000"/>
                <w:sz w:val="16"/>
              </w:rPr>
              <w:t>財務的に安全か（こわれにくいか）</w:t>
            </w:r>
          </w:p>
        </w:tc>
        <w:tc>
          <w:tcPr>
            <w:tcW w:type="dxa" w:w="2381"/>
          </w:tcPr>
          <w:p>
            <w:pPr>
              <w:spacing w:after="0"/>
              <w:ind w:firstLine="0" w:firstLineChars="0"/>
            </w:pPr>
            <w:r>
              <w:rPr>
                <w:rFonts w:ascii="Times New Roman" w:hAnsi="Times New Roman" w:eastAsia="ＭＳ 明朝"/>
                <w:b w:val="0"/>
                <w:color w:val="000000"/>
                <w:sz w:val="16"/>
              </w:rPr>
              <w:t>式 1.5 Sloan、式 1.7 危機ガードレール</w:t>
            </w:r>
          </w:p>
        </w:tc>
      </w:tr>
      <w:tr>
        <w:trPr>
          <w:cantSplit/>
        </w:trPr>
        <w:tc>
          <w:tcPr>
            <w:tcW w:type="dxa" w:w="454"/>
          </w:tcPr>
          <w:p>
            <w:pPr>
              <w:spacing w:after="0"/>
              <w:ind w:firstLine="0" w:firstLineChars="0"/>
            </w:pPr>
            <w:r>
              <w:rPr>
                <w:rFonts w:ascii="Times New Roman" w:hAnsi="Times New Roman" w:eastAsia="ＭＳ 明朝"/>
                <w:b w:val="0"/>
                <w:color w:val="000000"/>
                <w:sz w:val="16"/>
              </w:rPr>
              <w:t>④</w:t>
            </w:r>
          </w:p>
        </w:tc>
        <w:tc>
          <w:tcPr>
            <w:tcW w:type="dxa" w:w="5443"/>
          </w:tcPr>
          <w:p>
            <w:pPr>
              <w:spacing w:after="0"/>
              <w:ind w:firstLine="0" w:firstLineChars="0"/>
            </w:pPr>
            <w:r>
              <w:rPr>
                <w:rFonts w:ascii="Times New Roman" w:hAnsi="Times New Roman" w:eastAsia="ＭＳ 明朝"/>
                <w:b w:val="0"/>
                <w:color w:val="000000"/>
                <w:sz w:val="16"/>
              </w:rPr>
              <w:t>これから変わるか（再評価されうるか）</w:t>
            </w:r>
          </w:p>
        </w:tc>
        <w:tc>
          <w:tcPr>
            <w:tcW w:type="dxa" w:w="2381"/>
          </w:tcPr>
          <w:p>
            <w:pPr>
              <w:spacing w:after="0"/>
              <w:ind w:firstLine="0" w:firstLineChars="0"/>
            </w:pPr>
            <w:r>
              <w:rPr>
                <w:rFonts w:ascii="Times New Roman" w:hAnsi="Times New Roman" w:eastAsia="ＭＳ 明朝"/>
                <w:b w:val="0"/>
                <w:color w:val="000000"/>
                <w:sz w:val="16"/>
              </w:rPr>
              <w:t>式 3.2 Transformation Score</w:t>
            </w:r>
          </w:p>
        </w:tc>
      </w:tr>
      <w:tr>
        <w:trPr>
          <w:cantSplit/>
        </w:trPr>
        <w:tc>
          <w:tcPr>
            <w:tcW w:type="dxa" w:w="454"/>
          </w:tcPr>
          <w:p>
            <w:pPr>
              <w:spacing w:after="0"/>
              <w:ind w:firstLine="0" w:firstLineChars="0"/>
            </w:pPr>
            <w:r>
              <w:rPr>
                <w:rFonts w:ascii="Times New Roman" w:hAnsi="Times New Roman" w:eastAsia="ＭＳ 明朝"/>
                <w:b w:val="0"/>
                <w:color w:val="000000"/>
                <w:sz w:val="16"/>
              </w:rPr>
              <w:t>⑤</w:t>
            </w:r>
          </w:p>
        </w:tc>
        <w:tc>
          <w:tcPr>
            <w:tcW w:type="dxa" w:w="5443"/>
          </w:tcPr>
          <w:p>
            <w:pPr>
              <w:spacing w:after="0"/>
              <w:ind w:firstLine="0" w:firstLineChars="0"/>
            </w:pPr>
            <w:r>
              <w:rPr>
                <w:rFonts w:ascii="Times New Roman" w:hAnsi="Times New Roman" w:eastAsia="ＭＳ 明朝"/>
                <w:b w:val="0"/>
                <w:color w:val="000000"/>
                <w:sz w:val="16"/>
              </w:rPr>
              <w:t>これから新しい堀が生まれるか</w:t>
            </w:r>
          </w:p>
        </w:tc>
        <w:tc>
          <w:tcPr>
            <w:tcW w:type="dxa" w:w="2381"/>
          </w:tcPr>
          <w:p>
            <w:pPr>
              <w:spacing w:after="0"/>
              <w:ind w:firstLine="0" w:firstLineChars="0"/>
            </w:pPr>
            <w:r>
              <w:rPr>
                <w:rFonts w:ascii="Times New Roman" w:hAnsi="Times New Roman" w:eastAsia="ＭＳ 明朝"/>
                <w:b w:val="0"/>
                <w:color w:val="000000"/>
                <w:sz w:val="16"/>
              </w:rPr>
              <w:t>式 3.3 Emerging Score</w:t>
            </w:r>
          </w:p>
        </w:tc>
      </w:tr>
    </w:tbl>
    <w:p>
      <w:pPr>
        <w:spacing w:after="80"/>
        <w:ind w:firstLine="0" w:firstLineChars="0"/>
      </w:pPr>
    </w:p>
    <w:p>
      <w:pPr/>
      <w:r>
        <w:rPr>
          <w:rFonts w:ascii="Times New Roman" w:hAnsi="Times New Roman" w:eastAsia="ＭＳ 明朝"/>
          <w:b w:val="0"/>
          <w:sz w:val="18"/>
        </w:rPr>
        <w:t>以下、用語をやさしく定義したうえで、各段階と各式を「①問い→②ひとことの意味→③式→④変数→⑤数値例→⑥使い方→⑦分かること→⑧限界」の順に説明する。</w:t>
      </w:r>
    </w:p>
    <w:p>
      <w:r>
        <w:br w:type="page"/>
      </w:r>
    </w:p>
    <w:p>
      <w:pPr>
        <w:pStyle w:val="Heading1"/>
        <w:ind w:firstLine="0" w:firstLineChars="0"/>
      </w:pPr>
      <w:r>
        <w:rPr>
          <w:rFonts w:ascii="ＭＳ ゴシック" w:hAnsi="ＭＳ ゴシック" w:eastAsia="ＭＳ ゴシック"/>
          <w:b/>
          <w:color w:val="000000"/>
          <w:sz w:val="24"/>
        </w:rPr>
        <w:t>はじめに読む用語集</w:t>
      </w:r>
    </w:p>
    <w:p>
      <w:pPr/>
      <w:r>
        <w:rPr>
          <w:rFonts w:ascii="Times New Roman" w:hAnsi="Times New Roman" w:eastAsia="ＭＳ 明朝"/>
          <w:b w:val="0"/>
          <w:sz w:val="18"/>
        </w:rPr>
        <w:t>本文で使う言葉を、専門知識のない読者向けに定義する。ここで定義しない略語・記号は本文でも使わない。</w:t>
      </w:r>
    </w:p>
    <w:tbl>
      <w:tblPr>
        <w:tblStyle w:val="TableGrid"/>
        <w:tblW w:type="auto" w:w="0"/>
        <w:jc w:val="center"/>
        <w:tblLook w:firstColumn="1" w:firstRow="1" w:lastColumn="0" w:lastRow="0" w:noHBand="0" w:noVBand="1" w:val="04A0"/>
      </w:tblPr>
      <w:tblGrid>
        <w:gridCol w:w="4139"/>
        <w:gridCol w:w="4139"/>
      </w:tblGrid>
      <w:tr>
        <w:trPr>
          <w:cantSplit/>
        </w:trPr>
        <w:tc>
          <w:tcPr>
            <w:tcW w:type="dxa" w:w="1928"/>
            <w:shd w:val="clear" w:color="auto" w:fill="808080"/>
          </w:tcPr>
          <w:p>
            <w:pPr>
              <w:spacing w:after="0"/>
              <w:ind w:firstLine="0" w:firstLineChars="0"/>
            </w:pPr>
            <w:r>
              <w:rPr>
                <w:rFonts w:ascii="ＭＳ ゴシック" w:hAnsi="ＭＳ ゴシック" w:eastAsia="ＭＳ ゴシック"/>
                <w:b/>
                <w:color w:val="FFFFFF"/>
                <w:sz w:val="16"/>
              </w:rPr>
              <w:t>用語</w:t>
            </w:r>
          </w:p>
        </w:tc>
        <w:tc>
          <w:tcPr>
            <w:tcW w:type="dxa" w:w="6350"/>
            <w:shd w:val="clear" w:color="auto" w:fill="808080"/>
          </w:tcPr>
          <w:p>
            <w:pPr>
              <w:spacing w:after="0"/>
              <w:ind w:firstLine="0" w:firstLineChars="0"/>
            </w:pPr>
            <w:r>
              <w:rPr>
                <w:rFonts w:ascii="ＭＳ ゴシック" w:hAnsi="ＭＳ ゴシック" w:eastAsia="ＭＳ ゴシック"/>
                <w:b/>
                <w:color w:val="FFFFFF"/>
                <w:sz w:val="16"/>
              </w:rPr>
              <w:t>やさしい定義</w:t>
            </w:r>
          </w:p>
        </w:tc>
      </w:tr>
      <w:tr>
        <w:trPr>
          <w:cantSplit/>
        </w:trPr>
        <w:tc>
          <w:tcPr>
            <w:tcW w:type="dxa" w:w="1928"/>
          </w:tcPr>
          <w:p>
            <w:pPr>
              <w:spacing w:after="0"/>
              <w:ind w:firstLine="0" w:firstLineChars="0"/>
            </w:pPr>
            <w:r>
              <w:rPr>
                <w:rFonts w:ascii="Times New Roman" w:hAnsi="Times New Roman" w:eastAsia="ＭＳ 明朝"/>
                <w:b w:val="0"/>
                <w:color w:val="000000"/>
                <w:sz w:val="16"/>
              </w:rPr>
              <w:t>株価</w:t>
            </w:r>
          </w:p>
        </w:tc>
        <w:tc>
          <w:tcPr>
            <w:tcW w:type="dxa" w:w="6350"/>
          </w:tcPr>
          <w:p>
            <w:pPr>
              <w:spacing w:after="0"/>
              <w:ind w:firstLine="0" w:firstLineChars="0"/>
            </w:pPr>
            <w:r>
              <w:rPr>
                <w:rFonts w:ascii="Times New Roman" w:hAnsi="Times New Roman" w:eastAsia="ＭＳ 明朝"/>
                <w:b w:val="0"/>
                <w:color w:val="000000"/>
                <w:sz w:val="16"/>
              </w:rPr>
              <w:t>市場でその会社の1株につく値段（円）。</w:t>
            </w:r>
          </w:p>
        </w:tc>
      </w:tr>
      <w:tr>
        <w:trPr>
          <w:cantSplit/>
        </w:trPr>
        <w:tc>
          <w:tcPr>
            <w:tcW w:type="dxa" w:w="1928"/>
          </w:tcPr>
          <w:p>
            <w:pPr>
              <w:spacing w:after="0"/>
              <w:ind w:firstLine="0" w:firstLineChars="0"/>
            </w:pPr>
            <w:r>
              <w:rPr>
                <w:rFonts w:ascii="Times New Roman" w:hAnsi="Times New Roman" w:eastAsia="ＭＳ 明朝"/>
                <w:b w:val="0"/>
                <w:color w:val="000000"/>
                <w:sz w:val="16"/>
              </w:rPr>
              <w:t>発行済株式数</w:t>
            </w:r>
          </w:p>
        </w:tc>
        <w:tc>
          <w:tcPr>
            <w:tcW w:type="dxa" w:w="6350"/>
          </w:tcPr>
          <w:p>
            <w:pPr>
              <w:spacing w:after="0"/>
              <w:ind w:firstLine="0" w:firstLineChars="0"/>
            </w:pPr>
            <w:r>
              <w:rPr>
                <w:rFonts w:ascii="Times New Roman" w:hAnsi="Times New Roman" w:eastAsia="ＭＳ 明朝"/>
                <w:b w:val="0"/>
                <w:color w:val="000000"/>
                <w:sz w:val="16"/>
              </w:rPr>
              <w:t>その会社が発行した株式の総数。</w:t>
            </w:r>
          </w:p>
        </w:tc>
      </w:tr>
      <w:tr>
        <w:trPr>
          <w:cantSplit/>
        </w:trPr>
        <w:tc>
          <w:tcPr>
            <w:tcW w:type="dxa" w:w="1928"/>
          </w:tcPr>
          <w:p>
            <w:pPr>
              <w:spacing w:after="0"/>
              <w:ind w:firstLine="0" w:firstLineChars="0"/>
            </w:pPr>
            <w:r>
              <w:rPr>
                <w:rFonts w:ascii="Times New Roman" w:hAnsi="Times New Roman" w:eastAsia="ＭＳ 明朝"/>
                <w:b w:val="0"/>
                <w:color w:val="000000"/>
                <w:sz w:val="16"/>
              </w:rPr>
              <w:t>時価総額</w:t>
            </w:r>
          </w:p>
        </w:tc>
        <w:tc>
          <w:tcPr>
            <w:tcW w:type="dxa" w:w="6350"/>
          </w:tcPr>
          <w:p>
            <w:pPr>
              <w:spacing w:after="0"/>
              <w:ind w:firstLine="0" w:firstLineChars="0"/>
            </w:pPr>
            <w:r>
              <w:rPr>
                <w:rFonts w:ascii="Times New Roman" w:hAnsi="Times New Roman" w:eastAsia="ＭＳ 明朝"/>
                <w:b w:val="0"/>
                <w:color w:val="000000"/>
                <w:sz w:val="16"/>
              </w:rPr>
              <w:t>株価×発行済株式数。会社全体の市場価格。</w:t>
            </w:r>
          </w:p>
        </w:tc>
      </w:tr>
      <w:tr>
        <w:trPr>
          <w:cantSplit/>
        </w:trPr>
        <w:tc>
          <w:tcPr>
            <w:tcW w:type="dxa" w:w="1928"/>
          </w:tcPr>
          <w:p>
            <w:pPr>
              <w:spacing w:after="0"/>
              <w:ind w:firstLine="0" w:firstLineChars="0"/>
            </w:pPr>
            <w:r>
              <w:rPr>
                <w:rFonts w:ascii="Times New Roman" w:hAnsi="Times New Roman" w:eastAsia="ＭＳ 明朝"/>
                <w:b w:val="0"/>
                <w:color w:val="000000"/>
                <w:sz w:val="16"/>
              </w:rPr>
              <w:t>売上高</w:t>
            </w:r>
          </w:p>
        </w:tc>
        <w:tc>
          <w:tcPr>
            <w:tcW w:type="dxa" w:w="6350"/>
          </w:tcPr>
          <w:p>
            <w:pPr>
              <w:spacing w:after="0"/>
              <w:ind w:firstLine="0" w:firstLineChars="0"/>
            </w:pPr>
            <w:r>
              <w:rPr>
                <w:rFonts w:ascii="Times New Roman" w:hAnsi="Times New Roman" w:eastAsia="ＭＳ 明朝"/>
                <w:b w:val="0"/>
                <w:color w:val="000000"/>
                <w:sz w:val="16"/>
              </w:rPr>
              <w:t>1年間に商品・サービスを売って得た金額。</w:t>
            </w:r>
          </w:p>
        </w:tc>
      </w:tr>
      <w:tr>
        <w:trPr>
          <w:cantSplit/>
        </w:trPr>
        <w:tc>
          <w:tcPr>
            <w:tcW w:type="dxa" w:w="1928"/>
          </w:tcPr>
          <w:p>
            <w:pPr>
              <w:spacing w:after="0"/>
              <w:ind w:firstLine="0" w:firstLineChars="0"/>
            </w:pPr>
            <w:r>
              <w:rPr>
                <w:rFonts w:ascii="Times New Roman" w:hAnsi="Times New Roman" w:eastAsia="ＭＳ 明朝"/>
                <w:b w:val="0"/>
                <w:color w:val="000000"/>
                <w:sz w:val="16"/>
              </w:rPr>
              <w:t>売上総利益（粗利）</w:t>
            </w:r>
          </w:p>
        </w:tc>
        <w:tc>
          <w:tcPr>
            <w:tcW w:type="dxa" w:w="6350"/>
          </w:tcPr>
          <w:p>
            <w:pPr>
              <w:spacing w:after="0"/>
              <w:ind w:firstLine="0" w:firstLineChars="0"/>
            </w:pPr>
            <w:r>
              <w:rPr>
                <w:rFonts w:ascii="Times New Roman" w:hAnsi="Times New Roman" w:eastAsia="ＭＳ 明朝"/>
                <w:b w:val="0"/>
                <w:color w:val="000000"/>
                <w:sz w:val="16"/>
              </w:rPr>
              <w:t>売上高から売上原価を引いた、もうけの素。</w:t>
            </w:r>
          </w:p>
        </w:tc>
      </w:tr>
      <w:tr>
        <w:trPr>
          <w:cantSplit/>
        </w:trPr>
        <w:tc>
          <w:tcPr>
            <w:tcW w:type="dxa" w:w="1928"/>
          </w:tcPr>
          <w:p>
            <w:pPr>
              <w:spacing w:after="0"/>
              <w:ind w:firstLine="0" w:firstLineChars="0"/>
            </w:pPr>
            <w:r>
              <w:rPr>
                <w:rFonts w:ascii="Times New Roman" w:hAnsi="Times New Roman" w:eastAsia="ＭＳ 明朝"/>
                <w:b w:val="0"/>
                <w:color w:val="000000"/>
                <w:sz w:val="16"/>
              </w:rPr>
              <w:t>営業利益</w:t>
            </w:r>
          </w:p>
        </w:tc>
        <w:tc>
          <w:tcPr>
            <w:tcW w:type="dxa" w:w="6350"/>
          </w:tcPr>
          <w:p>
            <w:pPr>
              <w:spacing w:after="0"/>
              <w:ind w:firstLine="0" w:firstLineChars="0"/>
            </w:pPr>
            <w:r>
              <w:rPr>
                <w:rFonts w:ascii="Times New Roman" w:hAnsi="Times New Roman" w:eastAsia="ＭＳ 明朝"/>
                <w:b w:val="0"/>
                <w:color w:val="000000"/>
                <w:sz w:val="16"/>
              </w:rPr>
              <w:t>本業のもうけ。粗利から販売・管理費を引いたもの。</w:t>
            </w:r>
          </w:p>
        </w:tc>
      </w:tr>
      <w:tr>
        <w:trPr>
          <w:cantSplit/>
        </w:trPr>
        <w:tc>
          <w:tcPr>
            <w:tcW w:type="dxa" w:w="1928"/>
          </w:tcPr>
          <w:p>
            <w:pPr>
              <w:spacing w:after="0"/>
              <w:ind w:firstLine="0" w:firstLineChars="0"/>
            </w:pPr>
            <w:r>
              <w:rPr>
                <w:rFonts w:ascii="Times New Roman" w:hAnsi="Times New Roman" w:eastAsia="ＭＳ 明朝"/>
                <w:b w:val="0"/>
                <w:color w:val="000000"/>
                <w:sz w:val="16"/>
              </w:rPr>
              <w:t>純利益</w:t>
            </w:r>
          </w:p>
        </w:tc>
        <w:tc>
          <w:tcPr>
            <w:tcW w:type="dxa" w:w="6350"/>
          </w:tcPr>
          <w:p>
            <w:pPr>
              <w:spacing w:after="0"/>
              <w:ind w:firstLine="0" w:firstLineChars="0"/>
            </w:pPr>
            <w:r>
              <w:rPr>
                <w:rFonts w:ascii="Times New Roman" w:hAnsi="Times New Roman" w:eastAsia="ＭＳ 明朝"/>
                <w:b w:val="0"/>
                <w:color w:val="000000"/>
                <w:sz w:val="16"/>
              </w:rPr>
              <w:t>税金なども差し引いた最終的なもうけ。</w:t>
            </w:r>
          </w:p>
        </w:tc>
      </w:tr>
      <w:tr>
        <w:trPr>
          <w:cantSplit/>
        </w:trPr>
        <w:tc>
          <w:tcPr>
            <w:tcW w:type="dxa" w:w="1928"/>
          </w:tcPr>
          <w:p>
            <w:pPr>
              <w:spacing w:after="0"/>
              <w:ind w:firstLine="0" w:firstLineChars="0"/>
            </w:pPr>
            <w:r>
              <w:rPr>
                <w:rFonts w:ascii="Times New Roman" w:hAnsi="Times New Roman" w:eastAsia="ＭＳ 明朝"/>
                <w:b w:val="0"/>
                <w:color w:val="000000"/>
                <w:sz w:val="16"/>
              </w:rPr>
              <w:t>自己資本（純資産）</w:t>
            </w:r>
          </w:p>
        </w:tc>
        <w:tc>
          <w:tcPr>
            <w:tcW w:type="dxa" w:w="6350"/>
          </w:tcPr>
          <w:p>
            <w:pPr>
              <w:spacing w:after="0"/>
              <w:ind w:firstLine="0" w:firstLineChars="0"/>
            </w:pPr>
            <w:r>
              <w:rPr>
                <w:rFonts w:ascii="Times New Roman" w:hAnsi="Times New Roman" w:eastAsia="ＭＳ 明朝"/>
                <w:b w:val="0"/>
                <w:color w:val="000000"/>
                <w:sz w:val="16"/>
              </w:rPr>
              <w:t>総資産から負債を引いた、会社の正味の元手。マイナスだと債務超過。</w:t>
            </w:r>
          </w:p>
        </w:tc>
      </w:tr>
      <w:tr>
        <w:trPr>
          <w:cantSplit/>
        </w:trPr>
        <w:tc>
          <w:tcPr>
            <w:tcW w:type="dxa" w:w="1928"/>
          </w:tcPr>
          <w:p>
            <w:pPr>
              <w:spacing w:after="0"/>
              <w:ind w:firstLine="0" w:firstLineChars="0"/>
            </w:pPr>
            <w:r>
              <w:rPr>
                <w:rFonts w:ascii="Times New Roman" w:hAnsi="Times New Roman" w:eastAsia="ＭＳ 明朝"/>
                <w:b w:val="0"/>
                <w:color w:val="000000"/>
                <w:sz w:val="16"/>
              </w:rPr>
              <w:t>総資産</w:t>
            </w:r>
          </w:p>
        </w:tc>
        <w:tc>
          <w:tcPr>
            <w:tcW w:type="dxa" w:w="6350"/>
          </w:tcPr>
          <w:p>
            <w:pPr>
              <w:spacing w:after="0"/>
              <w:ind w:firstLine="0" w:firstLineChars="0"/>
            </w:pPr>
            <w:r>
              <w:rPr>
                <w:rFonts w:ascii="Times New Roman" w:hAnsi="Times New Roman" w:eastAsia="ＭＳ 明朝"/>
                <w:b w:val="0"/>
                <w:color w:val="000000"/>
                <w:sz w:val="16"/>
              </w:rPr>
              <w:t>会社が持つすべての資産（現金・設備・在庫など）。</w:t>
            </w:r>
          </w:p>
        </w:tc>
      </w:tr>
      <w:tr>
        <w:trPr>
          <w:cantSplit/>
        </w:trPr>
        <w:tc>
          <w:tcPr>
            <w:tcW w:type="dxa" w:w="1928"/>
          </w:tcPr>
          <w:p>
            <w:pPr>
              <w:spacing w:after="0"/>
              <w:ind w:firstLine="0" w:firstLineChars="0"/>
            </w:pPr>
            <w:r>
              <w:rPr>
                <w:rFonts w:ascii="Times New Roman" w:hAnsi="Times New Roman" w:eastAsia="ＭＳ 明朝"/>
                <w:b w:val="0"/>
                <w:color w:val="000000"/>
                <w:sz w:val="16"/>
              </w:rPr>
              <w:t>営業キャッシュフロー（営業CF）</w:t>
            </w:r>
          </w:p>
        </w:tc>
        <w:tc>
          <w:tcPr>
            <w:tcW w:type="dxa" w:w="6350"/>
          </w:tcPr>
          <w:p>
            <w:pPr>
              <w:spacing w:after="0"/>
              <w:ind w:firstLine="0" w:firstLineChars="0"/>
            </w:pPr>
            <w:r>
              <w:rPr>
                <w:rFonts w:ascii="Times New Roman" w:hAnsi="Times New Roman" w:eastAsia="ＭＳ 明朝"/>
                <w:b w:val="0"/>
                <w:color w:val="000000"/>
                <w:sz w:val="16"/>
              </w:rPr>
              <w:t>本業で実際に入ってきた現金の増減。</w:t>
            </w:r>
          </w:p>
        </w:tc>
      </w:tr>
      <w:tr>
        <w:trPr>
          <w:cantSplit/>
        </w:trPr>
        <w:tc>
          <w:tcPr>
            <w:tcW w:type="dxa" w:w="1928"/>
          </w:tcPr>
          <w:p>
            <w:pPr>
              <w:spacing w:after="0"/>
              <w:ind w:firstLine="0" w:firstLineChars="0"/>
            </w:pPr>
            <w:r>
              <w:rPr>
                <w:rFonts w:ascii="Times New Roman" w:hAnsi="Times New Roman" w:eastAsia="ＭＳ 明朝"/>
                <w:b w:val="0"/>
                <w:color w:val="000000"/>
                <w:sz w:val="16"/>
              </w:rPr>
              <w:t>PBR（株価純資産倍率）</w:t>
            </w:r>
          </w:p>
        </w:tc>
        <w:tc>
          <w:tcPr>
            <w:tcW w:type="dxa" w:w="6350"/>
          </w:tcPr>
          <w:p>
            <w:pPr>
              <w:spacing w:after="0"/>
              <w:ind w:firstLine="0" w:firstLineChars="0"/>
            </w:pPr>
            <w:r>
              <w:rPr>
                <w:rFonts w:ascii="Times New Roman" w:hAnsi="Times New Roman" w:eastAsia="ＭＳ 明朝"/>
                <w:b w:val="0"/>
                <w:color w:val="000000"/>
                <w:sz w:val="16"/>
              </w:rPr>
              <w:t>時価総額÷純資産。小さいほど純資産に比べ割安。B/M はこの逆数。</w:t>
            </w:r>
          </w:p>
        </w:tc>
      </w:tr>
      <w:tr>
        <w:trPr>
          <w:cantSplit/>
        </w:trPr>
        <w:tc>
          <w:tcPr>
            <w:tcW w:type="dxa" w:w="1928"/>
          </w:tcPr>
          <w:p>
            <w:pPr>
              <w:spacing w:after="0"/>
              <w:ind w:firstLine="0" w:firstLineChars="0"/>
            </w:pPr>
            <w:r>
              <w:rPr>
                <w:rFonts w:ascii="Times New Roman" w:hAnsi="Times New Roman" w:eastAsia="ＭＳ 明朝"/>
                <w:b w:val="0"/>
                <w:color w:val="000000"/>
                <w:sz w:val="16"/>
              </w:rPr>
              <w:t>PER（株価収益率）</w:t>
            </w:r>
          </w:p>
        </w:tc>
        <w:tc>
          <w:tcPr>
            <w:tcW w:type="dxa" w:w="6350"/>
          </w:tcPr>
          <w:p>
            <w:pPr>
              <w:spacing w:after="0"/>
              <w:ind w:firstLine="0" w:firstLineChars="0"/>
            </w:pPr>
            <w:r>
              <w:rPr>
                <w:rFonts w:ascii="Times New Roman" w:hAnsi="Times New Roman" w:eastAsia="ＭＳ 明朝"/>
                <w:b w:val="0"/>
                <w:color w:val="000000"/>
                <w:sz w:val="16"/>
              </w:rPr>
              <w:t>時価総額÷純利益。小さいほど利益に比べ割安。E/P はこの逆数。</w:t>
            </w:r>
          </w:p>
        </w:tc>
      </w:tr>
      <w:tr>
        <w:trPr>
          <w:cantSplit/>
        </w:trPr>
        <w:tc>
          <w:tcPr>
            <w:tcW w:type="dxa" w:w="1928"/>
          </w:tcPr>
          <w:p>
            <w:pPr>
              <w:spacing w:after="0"/>
              <w:ind w:firstLine="0" w:firstLineChars="0"/>
            </w:pPr>
            <w:r>
              <w:rPr>
                <w:rFonts w:ascii="Times New Roman" w:hAnsi="Times New Roman" w:eastAsia="ＭＳ 明朝"/>
                <w:b w:val="0"/>
                <w:color w:val="000000"/>
                <w:sz w:val="16"/>
              </w:rPr>
              <w:t>B/M</w:t>
            </w:r>
          </w:p>
        </w:tc>
        <w:tc>
          <w:tcPr>
            <w:tcW w:type="dxa" w:w="6350"/>
          </w:tcPr>
          <w:p>
            <w:pPr>
              <w:spacing w:after="0"/>
              <w:ind w:firstLine="0" w:firstLineChars="0"/>
            </w:pPr>
            <w:r>
              <w:rPr>
                <w:rFonts w:ascii="Times New Roman" w:hAnsi="Times New Roman" w:eastAsia="ＭＳ 明朝"/>
                <w:b w:val="0"/>
                <w:color w:val="000000"/>
                <w:sz w:val="16"/>
              </w:rPr>
              <w:t>純資産÷時価総額（式 1.1）。大きいほど割安。</w:t>
            </w:r>
          </w:p>
        </w:tc>
      </w:tr>
      <w:tr>
        <w:trPr>
          <w:cantSplit/>
        </w:trPr>
        <w:tc>
          <w:tcPr>
            <w:tcW w:type="dxa" w:w="1928"/>
          </w:tcPr>
          <w:p>
            <w:pPr>
              <w:spacing w:after="0"/>
              <w:ind w:firstLine="0" w:firstLineChars="0"/>
            </w:pPr>
            <w:r>
              <w:rPr>
                <w:rFonts w:ascii="Times New Roman" w:hAnsi="Times New Roman" w:eastAsia="ＭＳ 明朝"/>
                <w:b w:val="0"/>
                <w:color w:val="000000"/>
                <w:sz w:val="16"/>
              </w:rPr>
              <w:t>E/P</w:t>
            </w:r>
          </w:p>
        </w:tc>
        <w:tc>
          <w:tcPr>
            <w:tcW w:type="dxa" w:w="6350"/>
          </w:tcPr>
          <w:p>
            <w:pPr>
              <w:spacing w:after="0"/>
              <w:ind w:firstLine="0" w:firstLineChars="0"/>
            </w:pPr>
            <w:r>
              <w:rPr>
                <w:rFonts w:ascii="Times New Roman" w:hAnsi="Times New Roman" w:eastAsia="ＭＳ 明朝"/>
                <w:b w:val="0"/>
                <w:color w:val="000000"/>
                <w:sz w:val="16"/>
              </w:rPr>
              <w:t>純利益÷時価総額（式 1.2）。大きいほど割安。</w:t>
            </w:r>
          </w:p>
        </w:tc>
      </w:tr>
      <w:tr>
        <w:trPr>
          <w:cantSplit/>
        </w:trPr>
        <w:tc>
          <w:tcPr>
            <w:tcW w:type="dxa" w:w="1928"/>
          </w:tcPr>
          <w:p>
            <w:pPr>
              <w:spacing w:after="0"/>
              <w:ind w:firstLine="0" w:firstLineChars="0"/>
            </w:pPr>
            <w:r>
              <w:rPr>
                <w:rFonts w:ascii="Times New Roman" w:hAnsi="Times New Roman" w:eastAsia="ＭＳ 明朝"/>
                <w:b w:val="0"/>
                <w:color w:val="000000"/>
                <w:sz w:val="16"/>
              </w:rPr>
              <w:t>堀（Moat）</w:t>
            </w:r>
          </w:p>
        </w:tc>
        <w:tc>
          <w:tcPr>
            <w:tcW w:type="dxa" w:w="6350"/>
          </w:tcPr>
          <w:p>
            <w:pPr>
              <w:spacing w:after="0"/>
              <w:ind w:firstLine="0" w:firstLineChars="0"/>
            </w:pPr>
            <w:r>
              <w:rPr>
                <w:rFonts w:ascii="Times New Roman" w:hAnsi="Times New Roman" w:eastAsia="ＭＳ 明朝"/>
                <w:b w:val="0"/>
                <w:color w:val="000000"/>
                <w:sz w:val="16"/>
              </w:rPr>
              <w:t>他社がまねしにくい持続的な競争優位。城の周りの堀にたとえた言葉。</w:t>
            </w:r>
          </w:p>
        </w:tc>
      </w:tr>
      <w:tr>
        <w:trPr>
          <w:cantSplit/>
        </w:trPr>
        <w:tc>
          <w:tcPr>
            <w:tcW w:type="dxa" w:w="1928"/>
          </w:tcPr>
          <w:p>
            <w:pPr>
              <w:spacing w:after="0"/>
              <w:ind w:firstLine="0" w:firstLineChars="0"/>
            </w:pPr>
            <w:r>
              <w:rPr>
                <w:rFonts w:ascii="Times New Roman" w:hAnsi="Times New Roman" w:eastAsia="ＭＳ 明朝"/>
                <w:b w:val="0"/>
                <w:color w:val="000000"/>
                <w:sz w:val="16"/>
              </w:rPr>
              <w:t>ボラティリティ</w:t>
            </w:r>
          </w:p>
        </w:tc>
        <w:tc>
          <w:tcPr>
            <w:tcW w:type="dxa" w:w="6350"/>
          </w:tcPr>
          <w:p>
            <w:pPr>
              <w:spacing w:after="0"/>
              <w:ind w:firstLine="0" w:firstLineChars="0"/>
            </w:pPr>
            <w:r>
              <w:rPr>
                <w:rFonts w:ascii="Times New Roman" w:hAnsi="Times New Roman" w:eastAsia="ＭＳ 明朝"/>
                <w:b w:val="0"/>
                <w:color w:val="000000"/>
                <w:sz w:val="16"/>
              </w:rPr>
              <w:t>株価の変動の大きさ。大きいほどリスクが高い。</w:t>
            </w:r>
          </w:p>
        </w:tc>
      </w:tr>
      <w:tr>
        <w:trPr>
          <w:cantSplit/>
        </w:trPr>
        <w:tc>
          <w:tcPr>
            <w:tcW w:type="dxa" w:w="1928"/>
          </w:tcPr>
          <w:p>
            <w:pPr>
              <w:spacing w:after="0"/>
              <w:ind w:firstLine="0" w:firstLineChars="0"/>
            </w:pPr>
            <w:r>
              <w:rPr>
                <w:rFonts w:ascii="Times New Roman" w:hAnsi="Times New Roman" w:eastAsia="ＭＳ 明朝"/>
                <w:b w:val="0"/>
                <w:color w:val="000000"/>
                <w:sz w:val="16"/>
              </w:rPr>
              <w:t>ベンチマーク</w:t>
            </w:r>
          </w:p>
        </w:tc>
        <w:tc>
          <w:tcPr>
            <w:tcW w:type="dxa" w:w="6350"/>
          </w:tcPr>
          <w:p>
            <w:pPr>
              <w:spacing w:after="0"/>
              <w:ind w:firstLine="0" w:firstLineChars="0"/>
            </w:pPr>
            <w:r>
              <w:rPr>
                <w:rFonts w:ascii="Times New Roman" w:hAnsi="Times New Roman" w:eastAsia="ＭＳ 明朝"/>
                <w:b w:val="0"/>
                <w:color w:val="000000"/>
                <w:sz w:val="16"/>
              </w:rPr>
              <w:t>比較の基準となる市場指数。本研究では TOPIX と日経平均。</w:t>
            </w:r>
          </w:p>
        </w:tc>
      </w:tr>
      <w:tr>
        <w:trPr>
          <w:cantSplit/>
        </w:trPr>
        <w:tc>
          <w:tcPr>
            <w:tcW w:type="dxa" w:w="1928"/>
          </w:tcPr>
          <w:p>
            <w:pPr>
              <w:spacing w:after="0"/>
              <w:ind w:firstLine="0" w:firstLineChars="0"/>
            </w:pPr>
            <w:r>
              <w:rPr>
                <w:rFonts w:ascii="Times New Roman" w:hAnsi="Times New Roman" w:eastAsia="ＭＳ 明朝"/>
                <w:b w:val="0"/>
                <w:color w:val="000000"/>
                <w:sz w:val="16"/>
              </w:rPr>
              <w:t>超過リターン</w:t>
            </w:r>
          </w:p>
        </w:tc>
        <w:tc>
          <w:tcPr>
            <w:tcW w:type="dxa" w:w="6350"/>
          </w:tcPr>
          <w:p>
            <w:pPr>
              <w:spacing w:after="0"/>
              <w:ind w:firstLine="0" w:firstLineChars="0"/>
            </w:pPr>
            <w:r>
              <w:rPr>
                <w:rFonts w:ascii="Times New Roman" w:hAnsi="Times New Roman" w:eastAsia="ＭＳ 明朝"/>
                <w:b w:val="0"/>
                <w:color w:val="000000"/>
                <w:sz w:val="16"/>
              </w:rPr>
              <w:t>ベンチマークを上回った分のリターン。</w:t>
            </w:r>
          </w:p>
        </w:tc>
      </w:tr>
      <w:tr>
        <w:trPr>
          <w:cantSplit/>
        </w:trPr>
        <w:tc>
          <w:tcPr>
            <w:tcW w:type="dxa" w:w="1928"/>
          </w:tcPr>
          <w:p>
            <w:pPr>
              <w:spacing w:after="0"/>
              <w:ind w:firstLine="0" w:firstLineChars="0"/>
            </w:pPr>
            <w:r>
              <w:rPr>
                <w:rFonts w:ascii="Times New Roman" w:hAnsi="Times New Roman" w:eastAsia="ＭＳ 明朝"/>
                <w:b w:val="0"/>
                <w:color w:val="000000"/>
                <w:sz w:val="16"/>
              </w:rPr>
              <w:t>in-sample（標本内）</w:t>
            </w:r>
          </w:p>
        </w:tc>
        <w:tc>
          <w:tcPr>
            <w:tcW w:type="dxa" w:w="6350"/>
          </w:tcPr>
          <w:p>
            <w:pPr>
              <w:spacing w:after="0"/>
              <w:ind w:firstLine="0" w:firstLineChars="0"/>
            </w:pPr>
            <w:r>
              <w:rPr>
                <w:rFonts w:ascii="Times New Roman" w:hAnsi="Times New Roman" w:eastAsia="ＭＳ 明朝"/>
                <w:b w:val="0"/>
                <w:color w:val="000000"/>
                <w:sz w:val="16"/>
              </w:rPr>
              <w:t>分析に使ったのと同じ期間のデータで測った結果。将来の成績を保証しない。</w:t>
            </w:r>
          </w:p>
        </w:tc>
      </w:tr>
      <w:tr>
        <w:trPr>
          <w:cantSplit/>
        </w:trPr>
        <w:tc>
          <w:tcPr>
            <w:tcW w:type="dxa" w:w="1928"/>
          </w:tcPr>
          <w:p>
            <w:pPr>
              <w:spacing w:after="0"/>
              <w:ind w:firstLine="0" w:firstLineChars="0"/>
            </w:pPr>
            <w:r>
              <w:rPr>
                <w:rFonts w:ascii="Times New Roman" w:hAnsi="Times New Roman" w:eastAsia="ＭＳ 明朝"/>
                <w:b w:val="0"/>
                <w:color w:val="000000"/>
                <w:sz w:val="16"/>
              </w:rPr>
              <w:t>Evidence Level（証拠水準）</w:t>
            </w:r>
          </w:p>
        </w:tc>
        <w:tc>
          <w:tcPr>
            <w:tcW w:type="dxa" w:w="6350"/>
          </w:tcPr>
          <w:p>
            <w:pPr>
              <w:spacing w:after="0"/>
              <w:ind w:firstLine="0" w:firstLineChars="0"/>
            </w:pPr>
            <w:r>
              <w:rPr>
                <w:rFonts w:ascii="Times New Roman" w:hAnsi="Times New Roman" w:eastAsia="ＭＳ 明朝"/>
                <w:b w:val="0"/>
                <w:color w:val="000000"/>
                <w:sz w:val="16"/>
              </w:rPr>
              <w:t>スコアの根拠がどれだけ具体的か（式 3.4）。1=言及のみ〜3=数量的裏づけ。</w:t>
            </w:r>
          </w:p>
        </w:tc>
      </w:tr>
    </w:tbl>
    <w:p>
      <w:pPr>
        <w:spacing w:after="80"/>
        <w:ind w:firstLine="0" w:firstLineChars="0"/>
      </w:pPr>
    </w:p>
    <w:p>
      <w:r>
        <w:br w:type="page"/>
      </w:r>
    </w:p>
    <w:p>
      <w:pPr>
        <w:pStyle w:val="Heading1"/>
      </w:pPr>
      <w:r>
        <w:rPr>
          <w:rFonts w:ascii="ＭＳ ゴシック" w:hAnsi="ＭＳ ゴシック" w:eastAsia="ＭＳ ゴシック"/>
          <w:b/>
          <w:color w:val="000000"/>
          <w:sz w:val="24"/>
        </w:rPr>
        <w:t>Ⅰ．投資テーマ</w:t>
      </w:r>
    </w:p>
    <w:p>
      <w:pPr>
        <w:pStyle w:val="Heading2"/>
      </w:pPr>
      <w:r>
        <w:rPr>
          <w:rFonts w:ascii="ＭＳ ゴシック" w:hAnsi="ＭＳ ゴシック" w:eastAsia="ＭＳ ゴシック"/>
          <w:b/>
          <w:color w:val="000000"/>
          <w:sz w:val="22"/>
        </w:rPr>
        <w:t>1．なぜ「堀の時間軸」を広げるのか</w:t>
      </w:r>
    </w:p>
    <w:p>
      <w:pPr/>
      <w:r>
        <w:rPr>
          <w:rFonts w:ascii="Times New Roman" w:hAnsi="Times New Roman" w:eastAsia="ＭＳ 明朝"/>
          <w:b w:val="0"/>
          <w:sz w:val="18"/>
        </w:rPr>
        <w:t>低く評価されてきた会社が、資本効率の改善や株主還元の強化によって見直される動き（東京証券取引所, 2023；経済産業省, 2014 の資本効率改革）が、いまの日本株では強まっている。これが「変わる堀」である。同時に、AI・半導体・光通信などの構造変化で新しい強みが育ちつつある。これが「生まれる堀」である。完成した堀だけを見ると、この二つを取りこぼす。だから堀を時間軸で三世代に広げて測る。</w:t>
      </w:r>
    </w:p>
    <w:p>
      <w:pPr/>
      <w:r>
        <w:rPr>
          <w:rFonts w:ascii="Times New Roman" w:hAnsi="Times New Roman" w:eastAsia="ＭＳ 明朝"/>
          <w:b w:val="0"/>
          <w:sz w:val="18"/>
        </w:rPr>
        <w:t>本研究の独自性は、新しい万能の式を発明することではなく、意味の確かな既存の財務・会計の式を「堀の時間軸」という枠組みに組み替えた点にある。</w:t>
      </w:r>
    </w:p>
    <w:p>
      <w:pPr>
        <w:pStyle w:val="Heading1"/>
      </w:pPr>
      <w:r>
        <w:rPr>
          <w:rFonts w:ascii="ＭＳ ゴシック" w:hAnsi="ＭＳ ゴシック" w:eastAsia="ＭＳ ゴシック"/>
          <w:b/>
          <w:color w:val="000000"/>
          <w:sz w:val="24"/>
        </w:rPr>
        <w:t>Ⅱ．守・破・離による選定方法</w:t>
      </w:r>
    </w:p>
    <w:p>
      <w:pPr/>
      <w:r>
        <w:rPr>
          <w:rFonts w:ascii="Times New Roman" w:hAnsi="Times New Roman" w:eastAsia="ＭＳ 明朝"/>
          <w:b w:val="0"/>
          <w:sz w:val="18"/>
        </w:rPr>
        <w:t>本章が中核である。守で完成した堀を厳しく抽出し、破で候補を広げ、離で三世代の堀を組む。各段階のはじめに「入力・問い・使った式・処理・出力・結論」を表で示す。</w:t>
      </w:r>
    </w:p>
    <w:p>
      <w:pPr>
        <w:pStyle w:val="Heading2"/>
      </w:pPr>
      <w:r>
        <w:rPr>
          <w:rFonts w:ascii="ＭＳ ゴシック" w:hAnsi="ＭＳ ゴシック" w:eastAsia="ＭＳ ゴシック"/>
          <w:b/>
          <w:color w:val="000000"/>
          <w:sz w:val="22"/>
        </w:rPr>
        <w:t>1．守 ― 完成した堀を抽出する（Phase1）</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東証上場の非金融普通株 3,099 社と、その財務・株価データ。</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いま完成した堀を持ち、割安で、こわれにくい会社はどれか。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1.0 時価総額、1.1 B/M、1.2 E/P、1.3 GP、1.4 Piotroski、1.5 Sloan、1.6 流動性、1.7 危機ガードレール。</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各式の関門を順に通し、通過77社から固定順で上位5社を選定。同一業種は原則2社まで。</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Buffett Core 5社（3539・4350・6430・7803・9470）。以降固定。</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先行研究の式だけで、割安×優良×安全を満たす完成した堀を再現できた。</w:t>
            </w:r>
          </w:p>
        </w:tc>
      </w:tr>
    </w:tbl>
    <w:p>
      <w:pPr>
        <w:spacing w:after="80"/>
        <w:ind w:firstLine="0" w:firstLineChars="0"/>
      </w:pPr>
    </w:p>
    <w:p>
      <w:pPr>
        <w:pStyle w:val="Heading4"/>
        <w:ind w:firstLine="0" w:firstLineChars="0"/>
      </w:pPr>
      <w:r>
        <w:rPr>
          <w:rFonts w:ascii="ＭＳ ゴシック" w:hAnsi="ＭＳ ゴシック" w:eastAsia="ＭＳ ゴシック"/>
          <w:b/>
          <w:color w:val="000000"/>
          <w:sz w:val="18"/>
        </w:rPr>
        <w:t>（1.0）時価総額　［基礎（引用式）］</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この会社を市場は今いくらと評価しているか。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株価に発行済株式数を掛けた、会社全体の市場価格である。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（1.0）時価総額（会社全体の値段）</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M</m:t>
                    </m:r>
                    <m:r>
                      <m:rPr>
                        <m:sty m:val="p"/>
                      </m:rPr>
                      <m:t>E</m:t>
                    </m:r>
                  </m:e>
                  <m:sub>
                    <m:r>
                      <m:t>i</m:t>
                    </m:r>
                  </m:sub>
                </m:sSub>
                <m:r>
                  <m:rPr>
                    <m:sty m:val="p"/>
                  </m:rPr>
                  <m:t>=</m:t>
                </m:r>
                <m:sSub>
                  <m:e>
                    <m:r>
                      <m:t>P</m:t>
                    </m:r>
                  </m:e>
                  <m:sub>
                    <m:r>
                      <m:t>i</m:t>
                    </m:r>
                  </m:sub>
                </m:sSub>
                <m:r>
                  <m:rPr>
                    <m:sty m:val="p"/>
                  </m:rPr>
                  <m:t>×</m:t>
                </m:r>
                <m:sSub>
                  <m:e>
                    <m:r>
                      <m:t>N</m:t>
                    </m:r>
                  </m:e>
                  <m:sub>
                    <m:r>
                      <m:t>i</m:t>
                    </m:r>
                  </m:sub>
                </m:sSub>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ME_i＝時価総額　P_i＝株価　N_i＝発行済株式数</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時価総額そのものでは選定しない。次の B/M（式 1.1）と E/P（式 1.2）の分母として使う。</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会社の規模。割安かどうかは、これを利益や純資産と比べて初めて分かる。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規模の大小は良し悪しではない。割安・割高の判断には利益や純資産との比較が必要。</w:t>
      </w:r>
    </w:p>
    <w:p>
      <w:pPr>
        <w:pStyle w:val="Heading4"/>
        <w:ind w:firstLine="0" w:firstLineChars="0"/>
      </w:pPr>
      <w:r>
        <w:rPr>
          <w:rFonts w:ascii="ＭＳ ゴシック" w:hAnsi="ＭＳ ゴシック" w:eastAsia="ＭＳ ゴシック"/>
          <w:b/>
          <w:color w:val="000000"/>
          <w:sz w:val="18"/>
        </w:rPr>
        <w:t>（1.1）B/M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この会社の株価は、持っている純資産の大きさに比べて安いか。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会社の純資産（帳簿価値）を時価総額で割った値で、大きいほど「純資産のわりに株価が安い」ことを示す（Fama and French, 1993）。</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（1.1）B/M（株価に対して純資産が何倍か＝割安さ）</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B</m:t>
                    </m:r>
                    <m:r>
                      <m:rPr>
                        <m:sty m:val="p"/>
                      </m:rPr>
                      <m:t>M</m:t>
                    </m:r>
                  </m:e>
                  <m:sub>
                    <m:r>
                      <m:t>i</m:t>
                    </m:r>
                  </m:sub>
                </m:sSub>
                <m:r>
                  <m:rPr>
                    <m:sty m:val="p"/>
                  </m:rPr>
                  <m:t>=</m:t>
                </m:r>
                <m:f>
                  <m:fPr>
                    <m:type m:val="bar"/>
                  </m:fPr>
                  <m:num>
                    <m:sSub>
                      <m:e>
                        <m:r>
                          <m:rPr>
                            <m:sty m:val="p"/>
                          </m:rPr>
                          <m:t>B</m:t>
                        </m:r>
                        <m:r>
                          <m:rPr>
                            <m:sty m:val="p"/>
                          </m:rPr>
                          <m:t>E</m:t>
                        </m:r>
                      </m:e>
                      <m:sub>
                        <m:r>
                          <m:t>i</m:t>
                        </m:r>
                      </m:sub>
                    </m:sSub>
                  </m:num>
                  <m:den>
                    <m:sSub>
                      <m:e>
                        <m:r>
                          <m:rPr>
                            <m:sty m:val="p"/>
                          </m:rPr>
                          <m:t>M</m:t>
                        </m:r>
                        <m:r>
                          <m:rPr>
                            <m:sty m:val="p"/>
                          </m:rPr>
                          <m:t>E</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BM_i＝簿価時価比率　BE_i＝自己資本（純資産）　ME_i＝時価総額</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守の第一関門。B/M が市場上位30%に入る会社だけを次に通した（3,099→約2,740 の入口条件の一つ）。</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市場が純資産に比べて安値をつけている会社。バフェット型の「割安に買う」の出発点。</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安いのには理由がある場合（斜陽事業など）もある。安さだけでは良い会社とは限らない（式 1.3 以降で品質を確認）。</w:t>
      </w:r>
    </w:p>
    <w:p>
      <w:pPr>
        <w:pStyle w:val="Heading4"/>
        <w:ind w:firstLine="0" w:firstLineChars="0"/>
      </w:pPr>
      <w:r>
        <w:rPr>
          <w:rFonts w:ascii="ＭＳ ゴシック" w:hAnsi="ＭＳ ゴシック" w:eastAsia="ＭＳ ゴシック"/>
          <w:b/>
          <w:color w:val="000000"/>
          <w:sz w:val="18"/>
        </w:rPr>
        <w:t>（1.2）E/P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この会社の株価は、稼いでいる利益に比べて安いか。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1年の純利益を時価総額で割った値で、大きいほど「利益のわりに株価が安い」ことを示す（Basu, 1977）。PER（株価収益率）の逆数にあたる。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（1.2）E/P（株価に対して利益が何%か＝利益面の割安さ）</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E</m:t>
                    </m:r>
                    <m:r>
                      <m:rPr>
                        <m:sty m:val="p"/>
                      </m:rPr>
                      <m:t>P</m:t>
                    </m:r>
                  </m:e>
                  <m:sub>
                    <m:r>
                      <m:t>i</m:t>
                    </m:r>
                  </m:sub>
                </m:sSub>
                <m:r>
                  <m:rPr>
                    <m:sty m:val="p"/>
                  </m:rPr>
                  <m:t>=</m:t>
                </m:r>
                <m:f>
                  <m:fPr>
                    <m:type m:val="bar"/>
                  </m:fPr>
                  <m:num>
                    <m:sSub>
                      <m:e>
                        <m:r>
                          <m:t>E</m:t>
                        </m:r>
                      </m:e>
                      <m:sub>
                        <m:r>
                          <m:t>i</m:t>
                        </m:r>
                      </m:sub>
                    </m:sSub>
                  </m:num>
                  <m:den>
                    <m:sSub>
                      <m:e>
                        <m:r>
                          <m:rPr>
                            <m:sty m:val="p"/>
                          </m:rPr>
                          <m:t>M</m:t>
                        </m:r>
                        <m:r>
                          <m:rPr>
                            <m:sty m:val="p"/>
                          </m:rPr>
                          <m:t>E</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EP_i＝益回り　E_i＝当期純利益　ME_i＝時価総額</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守の第一関門。E/P が正（黒字）でその上位50%を通過とした。赤字会社をここで実質的に除外する。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利益を出しつつ株価が安い会社。B/M（純資産面）とE/P（利益面）の両面で割安さを確認する。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1年の利益は特別要因で膨らむことがある。利益の質は式 1.5（Sloan）で別途確認する。</w:t>
      </w:r>
    </w:p>
    <w:p>
      <w:pPr>
        <w:pStyle w:val="Heading4"/>
        <w:ind w:firstLine="0" w:firstLineChars="0"/>
      </w:pPr>
      <w:r>
        <w:rPr>
          <w:rFonts w:ascii="ＭＳ ゴシック" w:hAnsi="ＭＳ ゴシック" w:eastAsia="ＭＳ ゴシック"/>
          <w:b/>
          <w:color w:val="000000"/>
          <w:sz w:val="18"/>
        </w:rPr>
        <w:t>（1.3）Gross Profitability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この会社は、持っている資産を使ってどれだけ効率よく儲けの素（粗利）を生んでいるか。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売上総利益（粗利）を総資産で割った値で、大きいほど「資産効率の高い優良企業」を示す（Novy-Marx, 2013）。割安さ（B/M）が見落とす「質」を測る。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（1.3）Gross Profitability（資産をどれだけ効率よく粗利に変えるか＝良い会社か）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G</m:t>
                    </m:r>
                    <m:r>
                      <m:rPr>
                        <m:sty m:val="p"/>
                      </m:rPr>
                      <m:t>P</m:t>
                    </m:r>
                  </m:e>
                  <m:sub>
                    <m:r>
                      <m:t>i</m:t>
                    </m:r>
                  </m:sub>
                </m:sSub>
                <m:r>
                  <m:rPr>
                    <m:sty m:val="p"/>
                  </m:rPr>
                  <m:t>=</m:t>
                </m:r>
                <m:f>
                  <m:fPr>
                    <m:type m:val="bar"/>
                  </m:fPr>
                  <m:num>
                    <m:sSub>
                      <m:e>
                        <m:r>
                          <m:rPr>
                            <m:sty m:val="p"/>
                          </m:rPr>
                          <m:t>R</m:t>
                        </m:r>
                        <m:r>
                          <m:rPr>
                            <m:sty m:val="p"/>
                          </m:rPr>
                          <m:t>e</m:t>
                        </m:r>
                        <m:r>
                          <m:rPr>
                            <m:sty m:val="p"/>
                          </m:rPr>
                          <m:t>v</m:t>
                        </m:r>
                        <m:r>
                          <m:rPr>
                            <m:sty m:val="p"/>
                          </m:rPr>
                          <m:t>e</m:t>
                        </m:r>
                        <m:r>
                          <m:rPr>
                            <m:sty m:val="p"/>
                          </m:rPr>
                          <m:t>n</m:t>
                        </m:r>
                        <m:r>
                          <m:rPr>
                            <m:sty m:val="p"/>
                          </m:rPr>
                          <m:t>u</m:t>
                        </m:r>
                        <m:r>
                          <m:rPr>
                            <m:sty m:val="p"/>
                          </m:rPr>
                          <m:t>e</m:t>
                        </m:r>
                      </m:e>
                      <m:sub>
                        <m:r>
                          <m:t>i</m:t>
                        </m:r>
                      </m:sub>
                    </m:sSub>
                    <m:r>
                      <m:rPr>
                        <m:sty m:val="p"/>
                      </m:rPr>
                      <m:t>−</m:t>
                    </m:r>
                    <m:sSub>
                      <m:e>
                        <m:r>
                          <m:rPr>
                            <m:sty m:val="p"/>
                          </m:rPr>
                          <m:t>C</m:t>
                        </m:r>
                        <m:r>
                          <m:rPr>
                            <m:sty m:val="p"/>
                          </m:rPr>
                          <m:t>O</m:t>
                        </m:r>
                        <m:r>
                          <m:rPr>
                            <m:sty m:val="p"/>
                          </m:rPr>
                          <m:t>G</m:t>
                        </m:r>
                        <m:r>
                          <m:rPr>
                            <m:sty m:val="p"/>
                          </m:rPr>
                          <m:t>S</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GP_i＝総収益性　Revenue_i＝売上高　COGS_i＝売上原価　TotalAssets_i＝総資産</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守の第二関門。GP が市場中央値以上の会社だけを通した（2,740→583）。業種で出やすさが違うため、後段で同一業種は原則2社までに制限。</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安いだけでなく、資産を効率よく利益に変える「良い会社」。割安×優良の重なりを捉える。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業種によって GP の水準が構造的に異なる（例：小売は低め）。業種上限で部分的に緩和するのみ。</w:t>
      </w:r>
    </w:p>
    <w:p>
      <w:pPr>
        <w:pStyle w:val="Heading4"/>
        <w:ind w:firstLine="0" w:firstLineChars="0"/>
      </w:pPr>
      <w:r>
        <w:rPr>
          <w:rFonts w:ascii="ＭＳ ゴシック" w:hAnsi="ＭＳ ゴシック" w:eastAsia="ＭＳ ゴシック"/>
          <w:b/>
          <w:color w:val="000000"/>
          <w:sz w:val="18"/>
        </w:rPr>
        <w:t>（1.4）Piotroski 財務健全性スコア　［改変式・部分実装（守・選定使用）］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この会社の財務は、赤字回避だけでなく「良くなる方向」に動いているか。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収益性・安全性・効率性に関する複数の合否シグナルのうち、計算できたものの合格割合。高いほど財務が健全で改善傾向にある（Piotroski, 2000 の考え方）。</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（1.4）Piotroski 財務健全性スコア（財務が良い方向に動いているか）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rPr>
                        <m:sty m:val="p"/>
                      </m:rPr>
                      <m:t>P</m:t>
                    </m:r>
                    <m:r>
                      <m:rPr>
                        <m:sty m:val="p"/>
                      </m:rPr>
                      <m:t>F</m:t>
                    </m:r>
                  </m:e>
                  <m:sub>
                    <m:r>
                      <m:t>i</m:t>
                    </m:r>
                  </m:sub>
                  <m:sup>
                    <m:r>
                      <m:rPr>
                        <m:sty m:val="p"/>
                      </m:rPr>
                      <m:t>a</m:t>
                    </m:r>
                    <m:r>
                      <m:rPr>
                        <m:sty m:val="p"/>
                      </m:rPr>
                      <m:t>v</m:t>
                    </m:r>
                    <m:r>
                      <m:rPr>
                        <m:sty m:val="p"/>
                      </m:rPr>
                      <m:t>a</m:t>
                    </m:r>
                    <m:r>
                      <m:rPr>
                        <m:sty m:val="p"/>
                      </m:rPr>
                      <m:t>i</m:t>
                    </m:r>
                    <m:r>
                      <m:rPr>
                        <m:sty m:val="p"/>
                      </m:rPr>
                      <m:t>l</m:t>
                    </m:r>
                  </m:sup>
                </m:sSubSup>
                <m:r>
                  <m:rPr>
                    <m:sty m:val="p"/>
                  </m:rPr>
                  <m:t>=</m:t>
                </m:r>
                <m:f>
                  <m:fPr>
                    <m:type m:val="bar"/>
                  </m:fPr>
                  <m:num>
                    <m:r>
                      <m:rPr>
                        <m:sty m:val="p"/>
                      </m:rPr>
                      <m:t>(</m:t>
                    </m:r>
                    <m:r>
                      <m:rPr>
                        <m:nor/>
                        <m:sty m:val="p"/>
                      </m:rPr>
                      <m:t>合格したシグナル数</m:t>
                    </m:r>
                    <m:r>
                      <m:rPr>
                        <m:sty m:val="p"/>
                      </m:rPr>
                      <m:t>)</m:t>
                    </m:r>
                  </m:num>
                  <m:den>
                    <m:r>
                      <m:rPr>
                        <m:sty m:val="p"/>
                      </m:rPr>
                      <m:t>(</m:t>
                    </m:r>
                    <m:r>
                      <m:rPr>
                        <m:nor/>
                        <m:sty m:val="p"/>
                      </m:rPr>
                      <m:t>計算できたシグナル数</m:t>
                    </m:r>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PF_i＝健全性合格割合　合格シグナル＝各チェックの合格　算出可能数＝計算できた項目数</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守の第三関門。合格割合 0.65 以上を通過とした（583→146）。</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財務が単に赤字でないだけでなく、前年より良くなっている会社を選ぶ。</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原式9項目のうち6項目のみの部分実装（残り3項目は必要データ不足）。原式より判定はやや粗い。</w:t>
      </w:r>
    </w:p>
    <w:p>
      <w:pPr>
        <w:pStyle w:val="Heading4"/>
        <w:ind w:firstLine="0" w:firstLineChars="0"/>
      </w:pPr>
      <w:r>
        <w:rPr>
          <w:rFonts w:ascii="ＭＳ ゴシック" w:hAnsi="ＭＳ ゴシック" w:eastAsia="ＭＳ ゴシック"/>
          <w:b/>
          <w:color w:val="000000"/>
          <w:sz w:val="18"/>
        </w:rPr>
        <w:t>（1.5）Sloan アクルーアル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この会社の利益は、実際の現金の裏づけがある「質の高い利益」か。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会計上の利益と営業キャッシュフローの差（発生高）を総資産で割った値。大きい（プラスに大きい）ほど、現金を伴わない利益が多く「質が低い」ことを示す（Sloan, 1996）。</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（1.5）Sloan アクルーアル（利益が現金の裏づけを持つか＝利益の質）</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A</m:t>
                    </m:r>
                    <m:r>
                      <m:rPr>
                        <m:sty m:val="p"/>
                      </m:rPr>
                      <m:t>C</m:t>
                    </m:r>
                    <m:r>
                      <m:rPr>
                        <m:sty m:val="p"/>
                      </m:rPr>
                      <m:t>C</m:t>
                    </m:r>
                  </m:e>
                  <m:sub>
                    <m:r>
                      <m:t>i</m:t>
                    </m:r>
                  </m:sub>
                </m:sSub>
                <m:r>
                  <m:rPr>
                    <m:sty m:val="p"/>
                  </m:rPr>
                  <m:t>=</m:t>
                </m:r>
                <m:f>
                  <m:fPr>
                    <m:type m:val="bar"/>
                  </m:fPr>
                  <m:num>
                    <m:sSub>
                      <m:e>
                        <m:r>
                          <m:rPr>
                            <m:sty m:val="p"/>
                          </m:rPr>
                          <m:t>N</m:t>
                        </m:r>
                        <m:r>
                          <m:rPr>
                            <m:sty m:val="p"/>
                          </m:rPr>
                          <m:t>I</m:t>
                        </m:r>
                      </m:e>
                      <m:sub>
                        <m:r>
                          <m:t>i</m:t>
                        </m:r>
                      </m:sub>
                    </m:sSub>
                    <m:r>
                      <m:rPr>
                        <m:sty m:val="p"/>
                      </m:rPr>
                      <m:t>−</m:t>
                    </m:r>
                    <m:sSub>
                      <m:e>
                        <m:r>
                          <m:rPr>
                            <m:sty m:val="p"/>
                          </m:rPr>
                          <m:t>C</m:t>
                        </m:r>
                        <m:r>
                          <m:rPr>
                            <m:sty m:val="p"/>
                          </m:rPr>
                          <m:t>F</m:t>
                        </m:r>
                        <m:r>
                          <m:rPr>
                            <m:sty m:val="p"/>
                          </m:rPr>
                          <m:t>O</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ACC_i＝アクルーアル　NI_i＝当期純利益　CFO_i＝営業キャッシュフロー</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守の第四関門。アクルーアルが悪い側（大きい側）の会社を除外した（146→112）。</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利益が現金の裏づけを持つ会社を選び、見かけだけの利益（黒字倒産予備軍）を避ける。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会計操作の全てを捉えるわけではない。1年分の指標であり、複数年の傾向までは見ない。</w:t>
      </w:r>
    </w:p>
    <w:p>
      <w:pPr>
        <w:pStyle w:val="Heading4"/>
        <w:ind w:firstLine="0" w:firstLineChars="0"/>
      </w:pPr>
      <w:r>
        <w:rPr>
          <w:rFonts w:ascii="ＭＳ ゴシック" w:hAnsi="ＭＳ ゴシック" w:eastAsia="ＭＳ ゴシック"/>
          <w:b/>
          <w:color w:val="000000"/>
          <w:sz w:val="18"/>
        </w:rPr>
        <w:t>（1.6）流動性フィルタ　［実装式（守・選定使用）］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この株は、私たちの仮想ポートフォリオが現実に売買できるだけの取引量があるか。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直近60営業日の1日あたり売買代金の平均。大きいほど日々活発に取引され、買い付け・売却がしやすい。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（1.6）流動性フィルタ（現実に売買できるか）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A</m:t>
                    </m:r>
                    <m:r>
                      <m:rPr>
                        <m:sty m:val="p"/>
                      </m:rPr>
                      <m:t>D</m:t>
                    </m:r>
                    <m:r>
                      <m:rPr>
                        <m:sty m:val="p"/>
                      </m:rPr>
                      <m:t>V</m:t>
                    </m:r>
                  </m:e>
                  <m:sub>
                    <m:r>
                      <m:t>i</m:t>
                    </m:r>
                    <m:r>
                      <m:rPr>
                        <m:sty m:val="p"/>
                      </m:rPr>
                      <m:t>,</m:t>
                    </m:r>
                    <m:r>
                      <m:t>60</m:t>
                    </m:r>
                  </m:sub>
                </m:sSub>
                <m:r>
                  <m:rPr>
                    <m:sty m:val="p"/>
                  </m:rPr>
                  <m:t>=</m:t>
                </m:r>
                <m:f>
                  <m:fPr>
                    <m:type m:val="bar"/>
                  </m:fPr>
                  <m:num>
                    <m:r>
                      <m:t>1</m:t>
                    </m:r>
                  </m:num>
                  <m:den>
                    <m:r>
                      <m:t>60</m:t>
                    </m:r>
                  </m:den>
                </m:f>
                <m:nary>
                  <m:naryPr>
                    <m:chr m:val="∑"/>
                    <m:limLoc m:val="undOvr"/>
                    <m:subHide m:val="off"/>
                    <m:supHide m:val="off"/>
                  </m:naryPr>
                  <m:sub>
                    <m:r>
                      <m:t>d</m:t>
                    </m:r>
                    <m:r>
                      <m:rPr>
                        <m:sty m:val="p"/>
                      </m:rPr>
                      <m:t>=</m:t>
                    </m:r>
                    <m:r>
                      <m:t>1</m:t>
                    </m:r>
                  </m:sub>
                  <m:sup>
                    <m:r>
                      <m:t>60</m:t>
                    </m:r>
                  </m:sup>
                  <m:e>
                    <m:sSub>
                      <m:e>
                        <m:r>
                          <m:t>P</m:t>
                        </m:r>
                      </m:e>
                      <m:sub>
                        <m:r>
                          <m:t>i</m:t>
                        </m:r>
                        <m:r>
                          <m:rPr>
                            <m:sty m:val="p"/>
                          </m:rPr>
                          <m:t>,</m:t>
                        </m:r>
                        <m:r>
                          <m:t>d</m:t>
                        </m:r>
                      </m:sub>
                    </m:sSub>
                  </m:e>
                </m:nary>
                <m:r>
                  <m:t> </m:t>
                </m:r>
                <m:sSub>
                  <m:e>
                    <m:r>
                      <m:t>V</m:t>
                    </m:r>
                  </m:e>
                  <m:sub>
                    <m:r>
                      <m:t>i</m:t>
                    </m:r>
                    <m:r>
                      <m:rPr>
                        <m:sty m:val="p"/>
                      </m:rPr>
                      <m:t>,</m:t>
                    </m:r>
                    <m:r>
                      <m:t>d</m:t>
                    </m:r>
                  </m:sub>
                </m:sSub>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ADV_i＝60日平均売買代金　P_{i,d}＝d日前の終値　V_{i,d}＝d日前の出来高</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守の最終関門。ADV が実務閾値（約1,000万円/日）以上の会社だけを通した（90→77）。低流動株は配分でも比率を下げる。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紙の上だけでなく、実際に売買できる銘柄に絞る。仮想ポートフォリオの執行可能性を担保。</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流動性は将来変動しうる。単元未満株（S株）が使えるかは別途確認が必要（式 4.2・限界参照）。</w:t>
      </w:r>
    </w:p>
    <w:p>
      <w:pPr>
        <w:pStyle w:val="Heading4"/>
        <w:ind w:firstLine="0" w:firstLineChars="0"/>
      </w:pPr>
      <w:r>
        <w:rPr>
          <w:rFonts w:ascii="ＭＳ ゴシック" w:hAnsi="ＭＳ ゴシック" w:eastAsia="ＭＳ ゴシック"/>
          <w:b/>
          <w:color w:val="000000"/>
          <w:sz w:val="18"/>
        </w:rPr>
        <w:t>（1.7）財務危機ガードレール　［改変式・原式代替（守・選定使用）］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この会社は、長く持っている間に財務的に行き詰まる恐れが高くないか。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自己資本がマイナス（債務超過）、または純利益が3期連続でマイナス（連続赤字）のいずれかに当てはまる会社を「危険」と判定して除外する、最低限の除外規則である。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（1.7）財務危機ガードレール（長期保有中に倒れないか）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D</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rPr>
                                  <m:sty m:val="p"/>
                                </m:rPr>
                                <m:t>B</m:t>
                              </m:r>
                              <m:r>
                                <m:rPr>
                                  <m:sty m:val="p"/>
                                </m:rPr>
                                <m:t>E</m:t>
                              </m:r>
                            </m:e>
                            <m:sub>
                              <m:r>
                                <m:t>i</m:t>
                              </m:r>
                            </m:sub>
                          </m:sSub>
                          <m:r>
                            <m:rPr>
                              <m:sty m:val="p"/>
                            </m:rPr>
                            <m:t>&lt;</m:t>
                          </m:r>
                          <m:r>
                            <m:t>0</m:t>
                          </m:r>
                          <m:r>
                            <m:t> </m:t>
                          </m:r>
                          <m:r>
                            <m:rPr>
                              <m:nor/>
                              <m:sty m:val="p"/>
                            </m:rPr>
                            <m:t>（債務超過）</m:t>
                          </m:r>
                          <m:r>
                            <m:t> </m:t>
                          </m:r>
                          <m:r>
                            <m:rPr>
                              <m:nor/>
                              <m:sty m:val="p"/>
                            </m:rPr>
                            <m:t>または</m:t>
                          </m:r>
                          <m:r>
                            <m:t> </m:t>
                          </m:r>
                          <m:r>
                            <m:rPr>
                              <m:sty m:val="p"/>
                            </m:rPr>
                            <m:t>(</m:t>
                          </m:r>
                          <m:sSub>
                            <m:e>
                              <m:r>
                                <m:rPr>
                                  <m:sty m:val="p"/>
                                </m:rPr>
                                <m:t>N</m:t>
                              </m:r>
                              <m:r>
                                <m:rPr>
                                  <m:sty m:val="p"/>
                                </m:rPr>
                                <m:t>I</m:t>
                              </m:r>
                            </m:e>
                            <m:sub>
                              <m:r>
                                <m:t>i</m:t>
                              </m:r>
                              <m:r>
                                <m:rPr>
                                  <m:sty m:val="p"/>
                                </m:rPr>
                                <m:t>,</m:t>
                              </m:r>
                              <m:r>
                                <m:t>t</m:t>
                              </m:r>
                            </m:sub>
                          </m:sSub>
                          <m:r>
                            <m:rPr>
                              <m:sty m:val="p"/>
                            </m:rPr>
                            <m:t>&lt;</m:t>
                          </m:r>
                          <m:r>
                            <m:t>0</m:t>
                          </m:r>
                          <m:r>
                            <m:t> </m:t>
                          </m:r>
                          <m:r>
                            <m:rPr>
                              <m:nor/>
                              <m:sty m:val="p"/>
                            </m:rPr>
                            <m:t>かつ</m:t>
                          </m:r>
                          <m:r>
                            <m:t> </m:t>
                          </m:r>
                          <m:sSub>
                            <m:e>
                              <m:r>
                                <m:rPr>
                                  <m:sty m:val="p"/>
                                </m:rPr>
                                <m:t>N</m:t>
                              </m:r>
                              <m:r>
                                <m:rPr>
                                  <m:sty m:val="p"/>
                                </m:rPr>
                                <m:t>I</m:t>
                              </m:r>
                            </m:e>
                            <m:sub>
                              <m:r>
                                <m:t>i</m:t>
                              </m:r>
                              <m:r>
                                <m:rPr>
                                  <m:sty m:val="p"/>
                                </m:rPr>
                                <m:t>,</m:t>
                              </m:r>
                              <m:r>
                                <m:t>t</m:t>
                              </m:r>
                              <m:r>
                                <m:rPr>
                                  <m:sty m:val="p"/>
                                </m:rPr>
                                <m:t>−</m:t>
                              </m:r>
                              <m:r>
                                <m:t>1</m:t>
                              </m:r>
                            </m:sub>
                          </m:sSub>
                          <m:r>
                            <m:rPr>
                              <m:sty m:val="p"/>
                            </m:rPr>
                            <m:t>&lt;</m:t>
                          </m:r>
                          <m:r>
                            <m:t>0</m:t>
                          </m:r>
                          <m:r>
                            <m:t> </m:t>
                          </m:r>
                          <m:r>
                            <m:rPr>
                              <m:nor/>
                              <m:sty m:val="p"/>
                            </m:rPr>
                            <m:t>かつ</m:t>
                          </m:r>
                          <m:r>
                            <m:t> </m:t>
                          </m:r>
                          <m:sSub>
                            <m:e>
                              <m:r>
                                <m:rPr>
                                  <m:sty m:val="p"/>
                                </m:rPr>
                                <m:t>N</m:t>
                              </m:r>
                              <m:r>
                                <m:rPr>
                                  <m:sty m:val="p"/>
                                </m:rPr>
                                <m:t>I</m:t>
                              </m:r>
                            </m:e>
                            <m:sub>
                              <m:r>
                                <m:t>i</m:t>
                              </m:r>
                              <m:r>
                                <m:rPr>
                                  <m:sty m:val="p"/>
                                </m:rPr>
                                <m:t>,</m:t>
                              </m:r>
                              <m:r>
                                <m:t>t</m:t>
                              </m:r>
                              <m:r>
                                <m:rPr>
                                  <m:sty m:val="p"/>
                                </m:rPr>
                                <m:t>−</m:t>
                              </m:r>
                              <m:r>
                                <m:t>2</m:t>
                              </m:r>
                            </m:sub>
                          </m:sSub>
                          <m:r>
                            <m:rPr>
                              <m:sty m:val="p"/>
                            </m:rPr>
                            <m:t>&lt;</m:t>
                          </m:r>
                          <m:r>
                            <m:t>0</m:t>
                          </m:r>
                          <m:r>
                            <m:rPr>
                              <m:sty m:val="p"/>
                            </m:rPr>
                            <m:t>)</m:t>
                          </m:r>
                          <m:r>
                            <m:t> </m:t>
                          </m:r>
                          <m:r>
                            <m:rPr>
                              <m:nor/>
                              <m:sty m:val="p"/>
                            </m:rPr>
                            <m:t>（3期連続赤字）</m:t>
                          </m:r>
                        </m:e>
                      </m:mr>
                      <m:mr>
                        <m:e>
                          <m:r>
                            <m:t>0</m:t>
                          </m:r>
                          <m:r>
                            <m:rPr>
                              <m:sty m:val="p"/>
                            </m:rPr>
                            <m:t>,</m:t>
                          </m:r>
                        </m:e>
                        <m:e>
                          <m:r>
                            <m:rPr>
                              <m:nor/>
                              <m:sty m:val="p"/>
                            </m:rPr>
                            <m:t>上記のいずれにも該当しない</m:t>
                          </m:r>
                        </m:e>
                      </m:mr>
                    </m:m>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D_i＝危険フラグ　BE_i＝自己資本（純資産）　NI_{i,t}＝当期純利益　t−1, t−2＝前年度・前々年度</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守の関門の一つ（distress 除外 112→90）。D＝1 は候補から除外、D＝0 は通過。Final20 は全社 D＝0。</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長期保有に耐えない、財務が壊れかけた会社を最初に外す。バフェット型の「まず損をしない」に対応。</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倒産予測の専門式である Ohlson O-Score・Altman Z-Score は必要な変数（例：時価/負債比率、運転資本等）が全企業でそろわず実装できなかった。本規則はそれらの代替ではなく、そろうデータで作れる最低限の除外規則であり、精緻な倒産確率は出せない。なお当期の営業CF赤字は、この危機判定ではなく後述のバリュートラップ・ペナルティ（式 3.2）で扱う。</w:t>
      </w:r>
    </w:p>
    <w:p>
      <w:pPr>
        <w:pStyle w:val="Heading2"/>
      </w:pPr>
      <w:r>
        <w:rPr>
          <w:rFonts w:ascii="ＭＳ ゴシック" w:hAnsi="ＭＳ ゴシック" w:eastAsia="ＭＳ ゴシック"/>
          <w:b/>
          <w:color w:val="000000"/>
          <w:sz w:val="22"/>
        </w:rPr>
        <w:t>2．破 ― 候補を1,200社に広げる（Phase2）</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守と同じ式・データ（3,099社）。</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守の厳しさで見落とす「変わる／生まれる堀の候補」を、どうやって広く拾うか。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2.1 正規化、2.2 コンセンサス、2.3 Phase2 信頼度。守の式（1.1〜1.6）は変えない。</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式の定義は変えず、閾値・分位・候補数だけを最適化。人がレビューできる規模として Top1200 を採用。</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候補1,200社（正式母集団）。Top2000 は取りこぼし確認用の参照。</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式を変えずに候補を広げられた。この『広げる判断』が最終選定に最も効いている（Ⅳ章アブレーション）。</w:t>
            </w:r>
          </w:p>
        </w:tc>
      </w:tr>
    </w:tbl>
    <w:p>
      <w:pPr>
        <w:spacing w:after="80"/>
        <w:ind w:firstLine="0" w:firstLineChars="0"/>
      </w:pPr>
    </w:p>
    <w:p>
      <w:pPr/>
      <w:r>
        <w:rPr>
          <w:rFonts w:ascii="Times New Roman" w:hAnsi="Times New Roman" w:eastAsia="ＭＳ 明朝"/>
          <w:b w:val="0"/>
          <w:sz w:val="18"/>
        </w:rPr>
        <w:t>なぜ1,200社かは、数式が出した唯一の正解ではない。候補を広げるほど取りこぼしは減るが、人が一社ずつ確認できる規模には限りがある。品質・広さ・レビュー可能性の三つを両立させる運営上の判断として1,200社を選び、その判断過程を開示している。</w:t>
      </w:r>
    </w:p>
    <w:p>
      <w:pPr>
        <w:pStyle w:val="Heading4"/>
        <w:ind w:firstLine="0" w:firstLineChars="0"/>
      </w:pPr>
      <w:r>
        <w:rPr>
          <w:rFonts w:ascii="ＭＳ ゴシック" w:hAnsi="ＭＳ ゴシック" w:eastAsia="ＭＳ ゴシック"/>
          <w:b/>
          <w:color w:val="000000"/>
          <w:sz w:val="18"/>
        </w:rPr>
        <w:t>（2.1）市場パーセンタイル正規化　［実装式（破・候補宇宙形成に使用）］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単位も桁も違う指標（B/M と E/P など）を、どうすれば公平に比べられるか。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ある指標について、市場全体の中でその会社が下から何番目かを 0〜1 の順位に変換する。1 に近いほど市場で上位。</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（2.1）市場パーセンタイル正規化（会社同士を同じ物差しで比べる）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z</m:t>
                    </m:r>
                  </m:e>
                  <m:sub>
                    <m:r>
                      <m:t>i</m:t>
                    </m:r>
                    <m:r>
                      <m:rPr>
                        <m:sty m:val="p"/>
                      </m:rPr>
                      <m:t>,</m:t>
                    </m:r>
                    <m:r>
                      <m:t>k</m:t>
                    </m:r>
                  </m:sub>
                  <m:sup>
                    <m:r>
                      <m:rPr>
                        <m:sty m:val="p"/>
                      </m:rPr>
                      <m:t>m</m:t>
                    </m:r>
                    <m:r>
                      <m:rPr>
                        <m:sty m:val="p"/>
                      </m:rPr>
                      <m:t>k</m:t>
                    </m:r>
                    <m:r>
                      <m:rPr>
                        <m:sty m:val="p"/>
                      </m:rPr>
                      <m:t>t</m:t>
                    </m:r>
                  </m:sup>
                </m:sSubSup>
                <m:r>
                  <m:rPr>
                    <m:sty m:val="p"/>
                  </m:rPr>
                  <m:t>=</m:t>
                </m:r>
                <m:f>
                  <m:fPr>
                    <m:type m:val="bar"/>
                  </m:fPr>
                  <m:num>
                    <m:sSub>
                      <m:e>
                        <m:r>
                          <m:rPr>
                            <m:sty m:val="p"/>
                          </m:rPr>
                          <m:t>r</m:t>
                        </m:r>
                        <m:r>
                          <m:rPr>
                            <m:sty m:val="p"/>
                          </m:rPr>
                          <m:t>a</m:t>
                        </m:r>
                        <m:r>
                          <m:rPr>
                            <m:sty m:val="p"/>
                          </m:rPr>
                          <m:t>n</m:t>
                        </m:r>
                        <m:r>
                          <m:rPr>
                            <m:sty m:val="p"/>
                          </m:rPr>
                          <m:t>k</m:t>
                        </m:r>
                      </m:e>
                      <m:sub>
                        <m:r>
                          <m:rPr>
                            <m:sty m:val="p"/>
                          </m:rPr>
                          <m:t>Ω</m:t>
                        </m:r>
                      </m:sub>
                    </m:sSub>
                    <m:r>
                      <m:rPr>
                        <m:sty m:val="p"/>
                      </m:rPr>
                      <m:t>(</m:t>
                    </m:r>
                    <m:sSub>
                      <m:e>
                        <m:r>
                          <m:t>x</m:t>
                        </m:r>
                      </m:e>
                      <m:sub>
                        <m:r>
                          <m:t>i</m:t>
                        </m:r>
                        <m:r>
                          <m:rPr>
                            <m:sty m:val="p"/>
                          </m:rPr>
                          <m:t>,</m:t>
                        </m:r>
                        <m:r>
                          <m:t>k</m:t>
                        </m:r>
                      </m:sub>
                    </m:sSub>
                    <m:r>
                      <m:rPr>
                        <m:sty m:val="p"/>
                      </m:rPr>
                      <m:t>)</m:t>
                    </m:r>
                  </m:num>
                  <m:den>
                    <m:sSub>
                      <m:e>
                        <m:r>
                          <m:t>N</m:t>
                        </m:r>
                      </m:e>
                      <m:sub>
                        <m:r>
                          <m:rPr>
                            <m:sty m:val="p"/>
                          </m:rPr>
                          <m:t>Ω</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z_{i,k}＝正規化値　x_{i,k}＝指標kの生値　Ω, N_Ω＝母集団と社数</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破で、守の式（1.1〜1.6）の定義を変えずに、値を順位へ写して比較・探索できるようにした。閾値や候補数の最適化に用いる。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異なる指標を同じ土俵で足し合わせ・比較できる。守の式そのものは一切変えていない。</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順位化は「どれだけ差があるか」の情報を落とす（1位と2位の差が大きくても順位は隣）。</w:t>
      </w:r>
    </w:p>
    <w:p>
      <w:pPr>
        <w:pStyle w:val="Heading4"/>
        <w:ind w:firstLine="0" w:firstLineChars="0"/>
      </w:pPr>
      <w:r>
        <w:rPr>
          <w:rFonts w:ascii="ＭＳ ゴシック" w:hAnsi="ＭＳ ゴシック" w:eastAsia="ＭＳ ゴシック"/>
          <w:b/>
          <w:color w:val="000000"/>
          <w:sz w:val="18"/>
        </w:rPr>
        <w:t>（2.2）正規化コンセンサスタグ　［実装式（破・頑健性確認に使用）］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使う「物差し（正規化のやり方）」を変えても、同じ会社が上位に残るか。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4通りの正規化方式で、その会社が上位に入った回数を数える。回数が多いほど、方式に依存しない頑健な評価であることを示す。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（2.2）正規化コンセンサスタグ（物差しを変えても上位に残るか＝頑健性）</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C</m:t>
                    </m:r>
                    <m:r>
                      <m:rPr>
                        <m:sty m:val="p"/>
                      </m:rPr>
                      <m:t>o</m:t>
                    </m:r>
                    <m:r>
                      <m:rPr>
                        <m:sty m:val="p"/>
                      </m:rPr>
                      <m:t>n</m:t>
                    </m:r>
                    <m:r>
                      <m:rPr>
                        <m:sty m:val="p"/>
                      </m:rPr>
                      <m:t>s</m:t>
                    </m:r>
                    <m:r>
                      <m:rPr>
                        <m:sty m:val="p"/>
                      </m:rPr>
                      <m:t>e</m:t>
                    </m:r>
                    <m:r>
                      <m:rPr>
                        <m:sty m:val="p"/>
                      </m:rPr>
                      <m:t>n</m:t>
                    </m:r>
                    <m:r>
                      <m:rPr>
                        <m:sty m:val="p"/>
                      </m:rPr>
                      <m:t>s</m:t>
                    </m:r>
                    <m:r>
                      <m:rPr>
                        <m:sty m:val="p"/>
                      </m:rPr>
                      <m:t>u</m:t>
                    </m:r>
                    <m:r>
                      <m:rPr>
                        <m:sty m:val="p"/>
                      </m:rPr>
                      <m:t>s</m:t>
                    </m:r>
                  </m:e>
                  <m:sub>
                    <m:r>
                      <m:t>i</m:t>
                    </m:r>
                  </m:sub>
                </m:sSub>
                <m:r>
                  <m:rPr>
                    <m:sty m:val="p"/>
                  </m:rPr>
                  <m:t>=</m:t>
                </m:r>
                <m:nary>
                  <m:naryPr>
                    <m:chr m:val="∑"/>
                    <m:limLoc m:val="undOvr"/>
                    <m:subHide m:val="off"/>
                    <m:supHide m:val="on"/>
                  </m:naryPr>
                  <m:sub>
                    <m:r>
                      <m:t>m</m:t>
                    </m:r>
                    <m:r>
                      <m:rPr>
                        <m:sty m:val="p"/>
                      </m:rPr>
                      <m:t>∈</m:t>
                    </m:r>
                    <m:r>
                      <m:rPr>
                        <m:scr m:val="script"/>
                        <m:sty m:val="p"/>
                      </m:rPr>
                      <m:t>M</m:t>
                    </m:r>
                  </m:sub>
                  <m:sup>
                    <m:r>
                      <m:t>​</m:t>
                    </m:r>
                  </m:sup>
                  <m:e>
                    <m:r>
                      <m:rPr>
                        <m:sty m:val="b"/>
                      </m:rPr>
                      <m:t>1</m:t>
                    </m:r>
                  </m:e>
                </m:nary>
                <m:d>
                  <m:dPr>
                    <m:begChr m:val="["/>
                    <m:sepChr m:val=""/>
                    <m:endChr m:val="]"/>
                    <m:grow/>
                  </m:dPr>
                  <m:e>
                    <m:sSubSup>
                      <m:e>
                        <m:r>
                          <m:rPr>
                            <m:sty m:val="p"/>
                          </m:rPr>
                          <m:t>r</m:t>
                        </m:r>
                        <m:r>
                          <m:rPr>
                            <m:sty m:val="p"/>
                          </m:rPr>
                          <m:t>a</m:t>
                        </m:r>
                        <m:r>
                          <m:rPr>
                            <m:sty m:val="p"/>
                          </m:rPr>
                          <m:t>n</m:t>
                        </m:r>
                        <m:r>
                          <m:rPr>
                            <m:sty m:val="p"/>
                          </m:rPr>
                          <m:t>k</m:t>
                        </m:r>
                      </m:e>
                      <m:sub>
                        <m:r>
                          <m:t>i</m:t>
                        </m:r>
                      </m:sub>
                      <m:sup>
                        <m:r>
                          <m:rPr>
                            <m:sty m:val="p"/>
                          </m:rPr>
                          <m:t>(</m:t>
                        </m:r>
                        <m:r>
                          <m:t>m</m:t>
                        </m:r>
                        <m:r>
                          <m:rPr>
                            <m:sty m:val="p"/>
                          </m:rPr>
                          <m:t>)</m:t>
                        </m:r>
                      </m:sup>
                    </m:sSubSup>
                    <m:r>
                      <m:rPr>
                        <m:sty m:val="p"/>
                      </m:rPr>
                      <m:t>≤</m:t>
                    </m:r>
                    <m:r>
                      <m:t>N</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Consensus_i＝合意度　M＝4つの物差し　N＝上位の基準順位</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破で、特定の物差しに依存した「見かけの上位」を排除する監査に用いた。選定スコアそのものではない。</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評価が物差しの選び方に左右されていないことを確認できる。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4方式に限った確認であり、あらゆる正規化を試したわけではない。</w:t>
      </w:r>
    </w:p>
    <w:p>
      <w:pPr>
        <w:pStyle w:val="Heading4"/>
        <w:ind w:firstLine="0" w:firstLineChars="0"/>
      </w:pPr>
      <w:r>
        <w:rPr>
          <w:rFonts w:ascii="ＭＳ ゴシック" w:hAnsi="ＭＳ ゴシック" w:eastAsia="ＭＳ ゴシック"/>
          <w:b/>
          <w:color w:val="000000"/>
          <w:sz w:val="18"/>
        </w:rPr>
        <w:t>（2.3）Phase2 信頼度　［実装式（破・配分の重みに使用）］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データの質やばらつきを踏まえると、その会社の評価をどれだけ信用してよいか。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頑健な会社は加点、外れ値・データ欠損・要確認フラグが多い会社は減点して、0〜1.1 の信頼度に均す指標。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（2.3）Phase2 信頼度（その会社の評価をどれだけ信用してよいか）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c</m:t>
                    </m:r>
                  </m:e>
                  <m:sub>
                    <m:r>
                      <m:t>i</m:t>
                    </m:r>
                  </m:sub>
                </m:sSub>
                <m:r>
                  <m:rPr>
                    <m:sty m:val="p"/>
                  </m:rPr>
                  <m:t>=</m:t>
                </m:r>
                <m:r>
                  <m:rPr>
                    <m:sty m:val="p"/>
                  </m:rPr>
                  <m:t>c</m:t>
                </m:r>
                <m:r>
                  <m:rPr>
                    <m:sty m:val="p"/>
                  </m:rPr>
                  <m:t>l</m:t>
                </m:r>
                <m:r>
                  <m:rPr>
                    <m:sty m:val="p"/>
                  </m:rPr>
                  <m:t>i</m:t>
                </m:r>
                <m:r>
                  <m:rPr>
                    <m:sty m:val="p"/>
                  </m:rPr>
                  <m:t>p</m:t>
                </m:r>
                <m:d>
                  <m:dPr>
                    <m:begChr m:val="("/>
                    <m:sepChr m:val=""/>
                    <m:endChr m:val=")"/>
                    <m:grow/>
                  </m:dPr>
                  <m:e>
                    <m:r>
                      <m:t>1</m:t>
                    </m:r>
                    <m:r>
                      <m:rPr>
                        <m:sty m:val="p"/>
                      </m:rPr>
                      <m:t>+</m:t>
                    </m:r>
                    <m:r>
                      <m:t>0.05</m:t>
                    </m:r>
                    <m:r>
                      <m:t> </m:t>
                    </m:r>
                    <m:r>
                      <m:rPr>
                        <m:nor/>
                        <m:sty m:val="p"/>
                      </m:rPr>
                      <m:t>(頑健)</m:t>
                    </m:r>
                    <m:r>
                      <m:rPr>
                        <m:sty m:val="p"/>
                      </m:rPr>
                      <m:t>+</m:t>
                    </m:r>
                    <m:r>
                      <m:t>0.03</m:t>
                    </m:r>
                    <m:r>
                      <m:t> </m:t>
                    </m:r>
                    <m:r>
                      <m:rPr>
                        <m:nor/>
                        <m:sty m:val="p"/>
                      </m:rPr>
                      <m:t>(準頑健)</m:t>
                    </m:r>
                    <m:r>
                      <m:rPr>
                        <m:sty m:val="p"/>
                      </m:rPr>
                      <m:t>−</m:t>
                    </m:r>
                    <m:r>
                      <m:t>0.10</m:t>
                    </m:r>
                    <m:r>
                      <m:t> </m:t>
                    </m:r>
                    <m:r>
                      <m:rPr>
                        <m:nor/>
                        <m:sty m:val="p"/>
                      </m:rPr>
                      <m:t>(外れ値)</m:t>
                    </m:r>
                    <m:r>
                      <m:rPr>
                        <m:sty m:val="p"/>
                      </m:rPr>
                      <m:t>−</m:t>
                    </m:r>
                    <m:r>
                      <m:t>0.15</m:t>
                    </m:r>
                    <m:r>
                      <m:t> </m:t>
                    </m:r>
                    <m:r>
                      <m:rPr>
                        <m:nor/>
                        <m:sty m:val="p"/>
                      </m:rPr>
                      <m:t>(脆弱)</m:t>
                    </m:r>
                    <m:r>
                      <m:rPr>
                        <m:sty m:val="p"/>
                      </m:rPr>
                      <m:t>−</m:t>
                    </m:r>
                    <m:r>
                      <m:rPr>
                        <m:sty m:val="p"/>
                      </m:rPr>
                      <m:t>⋯</m:t>
                    </m:r>
                    <m:r>
                      <m:rPr>
                        <m:sty m:val="p"/>
                      </m:rPr>
                      <m:t>,</m:t>
                    </m:r>
                    <m:r>
                      <m:t> </m:t>
                    </m:r>
                    <m:r>
                      <m:t>0</m:t>
                    </m:r>
                    <m:r>
                      <m:rPr>
                        <m:sty m:val="p"/>
                      </m:rPr>
                      <m:t>,</m:t>
                    </m:r>
                    <m:r>
                      <m:t> </m:t>
                    </m:r>
                    <m:r>
                      <m:t>1.1</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c_i＝Phase2信頼度　clip(・,0,1.1)＝範囲制限　頑健/脆弱 等＝各フラグ</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選定の合否そのものには使わない。配分（式 4.1）で、信頼度の高い会社をやや厚く配分する係数として用いる。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同じスコアでも、データの確からしい会社を優先できる。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フラグの重み（0.05, 0.15 等）は設計上の値であり、最適化した係数ではない。</w:t>
      </w:r>
    </w:p>
    <w:p>
      <w:pPr>
        <w:pStyle w:val="Heading2"/>
      </w:pPr>
      <w:r>
        <w:rPr>
          <w:rFonts w:ascii="ＭＳ ゴシック" w:hAnsi="ＭＳ ゴシック" w:eastAsia="ＭＳ ゴシック"/>
          <w:b/>
          <w:color w:val="000000"/>
          <w:sz w:val="22"/>
        </w:rPr>
        <w:t>3．離 ― 三世代の堀を組む（Phase3）</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破の候補1,200社と、各社の確認フラグ・信頼度。</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変わる堀・生まれる堀を測り、完成・変化・新生の三世代で20社をどう組むか。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3.2 Transformation（実装形）、3.3 Emerging、3.4 Evidence Level。（設計形 3.1 は付録）</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Transformation/Emerging を測り、証拠水準を分離。役割 5/5/5/3/2 に割当。除外862社は理由別に記録。</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最終20社（Buffett5＋Transformation5＋Emerging5＋Dual3＋Bridge2）。</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低PBR単独でもAIキーワード単独でもない、証拠に裏づけられた三世代ポートフォリオを構成できた。</w:t>
            </w:r>
          </w:p>
        </w:tc>
      </w:tr>
    </w:tbl>
    <w:p>
      <w:pPr>
        <w:spacing w:after="80"/>
        <w:ind w:firstLine="0" w:firstLineChars="0"/>
      </w:pPr>
    </w:p>
    <w:p>
      <w:pPr>
        <w:keepNext/>
        <w:spacing w:before="120" w:after="40"/>
        <w:ind w:firstLine="0" w:firstLineChars="0"/>
      </w:pPr>
      <w:r>
        <w:rPr>
          <w:rFonts w:ascii="ＭＳ ゴシック" w:hAnsi="ＭＳ ゴシック" w:eastAsia="ＭＳ ゴシック"/>
          <w:b/>
          <w:color w:val="000000"/>
          <w:sz w:val="18"/>
        </w:rPr>
        <w:t>図表 Ⅱ-1　堀の時間軸拡張（完成・変化・新生）</w:t>
      </w:r>
    </w:p>
    <w:p>
      <w:pPr>
        <w:jc w:val="center"/>
        <w:keepNext/>
        <w:ind w:firstLine="0" w:firstLineChars="0"/>
      </w:pPr>
      <w:r>
        <w:drawing>
          <wp:inline xmlns:a="http://schemas.openxmlformats.org/drawingml/2006/main" xmlns:pic="http://schemas.openxmlformats.org/drawingml/2006/picture">
            <wp:extent cx="5040000" cy="1763041"/>
            <wp:docPr id="2" name="Picture 2"/>
            <wp:cNvGraphicFramePr>
              <a:graphicFrameLocks noChangeAspect="1"/>
            </wp:cNvGraphicFramePr>
            <a:graphic>
              <a:graphicData uri="http://schemas.openxmlformats.org/drawingml/2006/picture">
                <pic:pic>
                  <pic:nvPicPr>
                    <pic:cNvPr id="0" name="moat_timeaxis.png"/>
                    <pic:cNvPicPr/>
                  </pic:nvPicPr>
                  <pic:blipFill>
                    <a:blip r:embed="rId10"/>
                    <a:stretch>
                      <a:fillRect/>
                    </a:stretch>
                  </pic:blipFill>
                  <pic:spPr>
                    <a:xfrm>
                      <a:off x="0" y="0"/>
                      <a:ext cx="5040000" cy="1763041"/>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注：完成した堀（守5社）・変わる堀（Transformation）・生まれる堀（Emerging）の三世代。筆者作成。</w:t>
      </w:r>
    </w:p>
    <w:p>
      <w:pPr/>
      <w:r>
        <w:rPr>
          <w:rFonts w:ascii="Times New Roman" w:hAnsi="Times New Roman" w:eastAsia="ＭＳ 明朝"/>
          <w:b w:val="0"/>
          <w:sz w:val="18"/>
        </w:rPr>
        <w:t>以下に、実際の選定に使った実装形（式 3.2）・生まれる堀（式 3.3）・証拠水準（式 3.4）を示す。理想として設計したが使えなかった完全形（式 3.1）は、混乱を避けるため付録に回す。</w:t>
      </w:r>
    </w:p>
    <w:p>
      <w:pPr>
        <w:pStyle w:val="Heading4"/>
        <w:ind w:firstLine="0" w:firstLineChars="0"/>
      </w:pPr>
      <w:r>
        <w:rPr>
          <w:rFonts w:ascii="ＭＳ ゴシック" w:hAnsi="ＭＳ ゴシック" w:eastAsia="ＭＳ ゴシック"/>
          <w:b/>
          <w:color w:val="000000"/>
          <w:sz w:val="18"/>
        </w:rPr>
        <w:t>（3.2）Transformation Moat Score　［本研究の実装式（選定に使用）］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実際に使えるデータだけで、「これから変わって再評価されうる会社」をどう測ったか。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評価ギャップ・資本効率改善・還元余力（現金の余裕）・実行信頼性・利益の質・分析信頼度を合成し、割安のワナを減点した、実選定で使った式。これは単なる低PBR株選びではない。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（3.2）Transformation Moat Score（変わる堀・実際に使った実装形）</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r>
                      <m:rPr>
                        <m:sty m:val="p"/>
                      </m:rPr>
                      <m:t>,</m:t>
                    </m:r>
                    <m:r>
                      <m:rPr>
                        <m:sty m:val="p"/>
                      </m:rPr>
                      <m:t>p</m:t>
                    </m:r>
                    <m:r>
                      <m:rPr>
                        <m:sty m:val="p"/>
                      </m:rPr>
                      <m:t>a</m:t>
                    </m:r>
                    <m:r>
                      <m:rPr>
                        <m:sty m:val="p"/>
                      </m:rPr>
                      <m:t>r</m:t>
                    </m:r>
                    <m:r>
                      <m:rPr>
                        <m:sty m:val="p"/>
                      </m:rPr>
                      <m:t>t</m:t>
                    </m:r>
                    <m:r>
                      <m:rPr>
                        <m:sty m:val="p"/>
                      </m:rPr>
                      <m:t>i</m:t>
                    </m:r>
                    <m:r>
                      <m:rPr>
                        <m:sty m:val="p"/>
                      </m:rPr>
                      <m:t>a</m:t>
                    </m:r>
                    <m:r>
                      <m:rPr>
                        <m:sty m:val="p"/>
                      </m:rPr>
                      <m:t>l</m:t>
                    </m:r>
                  </m:sup>
                </m:sSubSup>
                <m:r>
                  <m:rPr>
                    <m:sty m:val="p"/>
                  </m:rPr>
                  <m:t>=</m:t>
                </m:r>
                <m:r>
                  <m:t>0.22</m:t>
                </m:r>
                <m:sSub>
                  <m:e>
                    <m:r>
                      <m:t>V</m:t>
                    </m:r>
                  </m:e>
                  <m:sub>
                    <m:r>
                      <m:t>i</m:t>
                    </m:r>
                  </m:sub>
                </m:sSub>
                <m:r>
                  <m:rPr>
                    <m:sty m:val="p"/>
                  </m:rPr>
                  <m:t>+</m:t>
                </m:r>
                <m:r>
                  <m:t>0.24</m:t>
                </m:r>
                <m:sSub>
                  <m:e>
                    <m:r>
                      <m:t>C</m:t>
                    </m:r>
                  </m:e>
                  <m:sub>
                    <m:r>
                      <m:t>i</m:t>
                    </m:r>
                  </m:sub>
                </m:sSub>
                <m:r>
                  <m:rPr>
                    <m:sty m:val="p"/>
                  </m:rPr>
                  <m:t>+</m:t>
                </m:r>
                <m:r>
                  <m:t>0.10</m:t>
                </m:r>
                <m:sSub>
                  <m:e>
                    <m:r>
                      <m:t>F</m:t>
                    </m:r>
                  </m:e>
                  <m:sub>
                    <m:r>
                      <m:t>i</m:t>
                    </m:r>
                  </m:sub>
                </m:sSub>
                <m:r>
                  <m:rPr>
                    <m:sty m:val="p"/>
                  </m:rPr>
                  <m:t>+</m:t>
                </m:r>
                <m:r>
                  <m:t>0.18</m:t>
                </m:r>
                <m:sSub>
                  <m:e>
                    <m:r>
                      <m:t>X</m:t>
                    </m:r>
                  </m:e>
                  <m:sub>
                    <m:r>
                      <m:t>i</m:t>
                    </m:r>
                  </m:sub>
                </m:sSub>
                <m:r>
                  <m:rPr>
                    <m:sty m:val="p"/>
                  </m:rPr>
                  <m:t>+</m:t>
                </m:r>
                <m:r>
                  <m:t>0.16</m:t>
                </m:r>
                <m:sSub>
                  <m:e>
                    <m:r>
                      <m:t>Q</m:t>
                    </m:r>
                  </m:e>
                  <m:sub>
                    <m:r>
                      <m:t>i</m:t>
                    </m:r>
                  </m:sub>
                </m:sSub>
                <m:r>
                  <m:rPr>
                    <m:sty m:val="p"/>
                  </m:rPr>
                  <m:t>+</m:t>
                </m:r>
                <m:r>
                  <m:t>0.10</m:t>
                </m:r>
                <m:sSub>
                  <m:e>
                    <m:r>
                      <m:rPr>
                        <m:sty m:val="p"/>
                      </m:rPr>
                      <m:t>Φ</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S^{Trans,partial}＝変わる堀スコア（実装）　V_i＝評価ギャップ　C_i＝資本効率改善　F_i＝還元余力(FCF)　Φ_i＝分析信頼度　P^Trap＝バリュートラップ罰</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離で、Transformation Core 候補の順位付けに使用（実選定に使った式）。株主還元Rは現金余力Fで代替、改革開示Eは除外。スコア種別は Final20 で partial 19社・lite 1社。</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「割安かつ、資本効率が改善し、還元原資もある会社」を、低PBR単独と区別して選べる。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株主還元・改革開示の直接データを使えていない（Fで近似）。改革開示レベル（TR）は全社同値で識別力がなく、採用根拠に用いていない。full形（式 3.1）は構造的に到達不能。</w:t>
      </w:r>
    </w:p>
    <w:p>
      <w:pPr>
        <w:pStyle w:val="Heading4"/>
        <w:ind w:firstLine="0" w:firstLineChars="0"/>
      </w:pPr>
      <w:r>
        <w:rPr>
          <w:rFonts w:ascii="ＭＳ ゴシック" w:hAnsi="ＭＳ ゴシック" w:eastAsia="ＭＳ ゴシック"/>
          <w:b/>
          <w:color w:val="000000"/>
          <w:sz w:val="18"/>
        </w:rPr>
        <w:t>（3.3）Emerging Moat Score　［本研究の実装式（選定に使用）］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AI・半導体・光通信などの構造変化で「これから新しく強みが生まれる会社」をどう測ったか。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無形資産・技術力・ボトルネック性・AI産業基盤への接続・データ顧客基盤・信頼安全基盤の6要素を合成し、開示証拠に応じて加点、キーワードだけの会社には過熱ペナルティを課す式。これはAIテーマ株選びでは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（3.3）Emerging Moat Score（生まれる堀）</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S^Emerg＝生まれる堀スコア　A_i＝AI基盤接続　B^{Evi}＝証拠加点　P^{Hype}＝過熱ペナルティ</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離で、Emerging Core 候補の順位付けに使用。AIキーワードのみで具体的証拠を欠く 577 社はすべて除外・記録した。</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実需・実装の裏づけがある「本物の新興優位」を、キーワードだけの流行株から区別できる。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証拠 Level 2 以上の判定は 14 社の個別精査（手作業）に依存する。過熱罰の閾値18点は設計値。</w:t>
      </w:r>
    </w:p>
    <w:p>
      <w:pPr>
        <w:pStyle w:val="Heading4"/>
        <w:ind w:firstLine="0" w:firstLineChars="0"/>
      </w:pPr>
      <w:r>
        <w:rPr>
          <w:rFonts w:ascii="ＭＳ ゴシック" w:hAnsi="ＭＳ ゴシック" w:eastAsia="ＭＳ ゴシック"/>
          <w:b/>
          <w:color w:val="000000"/>
          <w:sz w:val="18"/>
        </w:rPr>
        <w:t>（3.4）Evidence Level　［実装式（証拠分離に使用）］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スコアが同じでも、その根拠はどれだけ具体的か。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開示の具体性を Level 1（キーワードのみ）〜Level 3（売上・受注・投資額などの数量根拠）で分け、役割ごとに最終水準を決める。スコアの高さと証拠の強さを混同しないための仕組み。</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（3.4）Evidence Level（証拠の強さ・スコアと分けて管理）</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 Dual Moat）</m:t>
                          </m:r>
                        </m:e>
                      </m:mr>
                      <m:mr>
                        <m:e>
                          <m:sSubSup>
                            <m:e>
                              <m:r>
                                <m:t>L</m:t>
                              </m:r>
                            </m:e>
                            <m:sub>
                              <m:r>
                                <m:t>i</m:t>
                              </m:r>
                            </m:sub>
                            <m:sup>
                              <m:r>
                                <m:t>E</m:t>
                              </m:r>
                              <m:r>
                                <m:t>M</m:t>
                              </m:r>
                            </m:sup>
                          </m:sSubSup>
                        </m:e>
                        <m:e>
                          <m:r>
                            <m:rPr>
                              <m:nor/>
                              <m:sty m:val="p"/>
                            </m:rPr>
                            <m:t>（生まれる堀 Emerging Core）</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 Transformation Core）</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L^{final}＝最終証拠水準　L^{TQ}＝定量証拠水準　L^{EM}＝新興開示水準　L^{TR}＝改革開示水準</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スコアとは別に管理し、限界の開示と配分の重み（式 4.1 の e）に用いる。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「高スコアだが証拠が弱い」会社を見分けられる。過小評価・過大評価のリスクを明示できる。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Level 1 が1社残るのは 4350 で、同社は守（Value×Quality）で選ばれた Buffett Core であり、生まれる堀の証拠を選定根拠にしていない（低水準でも妥当）。ただし事業継続性は一次資料での確認を要する。</w:t>
      </w:r>
    </w:p>
    <w:p>
      <w:pPr>
        <w:pStyle w:val="Heading2"/>
      </w:pPr>
      <w:r>
        <w:rPr>
          <w:rFonts w:ascii="ＭＳ ゴシック" w:hAnsi="ＭＳ ゴシック" w:eastAsia="ＭＳ ゴシック"/>
          <w:b/>
          <w:color w:val="000000"/>
          <w:sz w:val="22"/>
        </w:rPr>
        <w:t>4．選定の頑健性（アブレーション）</w:t>
      </w:r>
    </w:p>
    <w:p>
      <w:pPr/>
      <w:r>
        <w:rPr>
          <w:rFonts w:ascii="Times New Roman" w:hAnsi="Times New Roman" w:eastAsia="ＭＳ 明朝"/>
          <w:b w:val="0"/>
          <w:sz w:val="18"/>
        </w:rPr>
        <w:t>選定が特定の一要素や一テーマ、後付けの調整に依存していないかを、条件を一つずつ外した16通りの再選定で確かめた。各条件を外したときに最終20社と何社一致するか（重複）を見る。重複が最も小さいのは「候補を Top100 に狭めた」場合（7社）で、破で候補を1,200社に広げた判断が最も効いていることを示す。</w:t>
      </w:r>
    </w:p>
    <w:p>
      <w:pPr>
        <w:keepNext/>
        <w:spacing w:before="120" w:after="40"/>
        <w:ind w:firstLine="0" w:firstLineChars="0"/>
      </w:pPr>
      <w:r>
        <w:rPr>
          <w:rFonts w:ascii="ＭＳ ゴシック" w:hAnsi="ＭＳ ゴシック" w:eastAsia="ＭＳ ゴシック"/>
          <w:b/>
          <w:color w:val="000000"/>
          <w:sz w:val="18"/>
        </w:rPr>
        <w:t>図表 Ⅱ-2　条件を一つ外したときの最終20社との重複</w:t>
      </w:r>
    </w:p>
    <w:p>
      <w:pPr>
        <w:jc w:val="center"/>
        <w:keepNext/>
        <w:ind w:firstLine="0" w:firstLineChars="0"/>
      </w:pPr>
      <w:r>
        <w:drawing>
          <wp:inline xmlns:a="http://schemas.openxmlformats.org/drawingml/2006/main" xmlns:pic="http://schemas.openxmlformats.org/drawingml/2006/picture">
            <wp:extent cx="5040000" cy="2352000"/>
            <wp:docPr id="3" name="Picture 3"/>
            <wp:cNvGraphicFramePr>
              <a:graphicFrameLocks noChangeAspect="1"/>
            </wp:cNvGraphicFramePr>
            <a:graphic>
              <a:graphicData uri="http://schemas.openxmlformats.org/drawingml/2006/picture">
                <pic:pic>
                  <pic:nvPicPr>
                    <pic:cNvPr id="0" name="ablation_overlap.png"/>
                    <pic:cNvPicPr/>
                  </pic:nvPicPr>
                  <pic:blipFill>
                    <a:blip r:embed="rId11"/>
                    <a:stretch>
                      <a:fillRect/>
                    </a:stretch>
                  </pic:blipFill>
                  <pic:spPr>
                    <a:xfrm>
                      <a:off x="0" y="0"/>
                      <a:ext cx="5040000" cy="2352000"/>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注：重複は20社中の一致数。A8（Top100に限定）が最小の7。in-sample の構造検査であり成績の主張ではない。出所：ablation_results.csv。</w:t>
      </w:r>
    </w:p>
    <w:p>
      <w:pPr>
        <w:pStyle w:val="Heading1"/>
      </w:pPr>
      <w:r>
        <w:rPr>
          <w:rFonts w:ascii="ＭＳ ゴシック" w:hAnsi="ＭＳ ゴシック" w:eastAsia="ＭＳ ゴシック"/>
          <w:b/>
          <w:color w:val="000000"/>
          <w:sz w:val="24"/>
        </w:rPr>
        <w:t>Ⅲ．最終20社と500万円の配分</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選定済みの20社（役割つき）と、各社の株価・変動・流動性・証拠・信頼度。</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500万円を、成績予想に頼らずどう配るか。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4.1 役割予算×リスク調整配分、4.2 単元株調整。</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役割ごとに予算を決め、役割内でリスク・流動性・証拠・信頼度で傾け、8%上限と単元株に丸める。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20社の目標比率と購入株数。投資額 4,949,198 円・残現金 50,801 円（消化率99.0%）。</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リターン予想を使わず、説明できる形で配分を決められた。</w:t>
            </w:r>
          </w:p>
        </w:tc>
      </w:tr>
    </w:tbl>
    <w:p>
      <w:pPr>
        <w:spacing w:after="80"/>
        <w:ind w:firstLine="0" w:firstLineChars="0"/>
      </w:pPr>
    </w:p>
    <w:p>
      <w:pPr/>
      <w:r>
        <w:rPr>
          <w:rFonts w:ascii="Times New Roman" w:hAnsi="Times New Roman" w:eastAsia="ＭＳ 明朝"/>
          <w:b w:val="0"/>
          <w:sz w:val="18"/>
        </w:rPr>
        <w:t>配分の考え方は4段階である。第一に20社を役割ごとに分ける。第二に役割ごとの予算を決める（完成・変化・新生を各25%、両立型15%、分散役10%）。第三に同じ役割の中で、変動が小さく・売買しやすく・証拠が強く・信頼できる会社を厚くする。第四に、1銘柄8%の上限と、実際に買える株数（単元株）に丸める。</w:t>
      </w:r>
    </w:p>
    <w:p>
      <w:pPr>
        <w:pStyle w:val="Heading4"/>
        <w:ind w:firstLine="0" w:firstLineChars="0"/>
      </w:pPr>
      <w:r>
        <w:rPr>
          <w:rFonts w:ascii="ＭＳ ゴシック" w:hAnsi="ＭＳ ゴシック" w:eastAsia="ＭＳ ゴシック"/>
          <w:b/>
          <w:color w:val="000000"/>
          <w:sz w:val="18"/>
        </w:rPr>
        <w:t>（4.1）役割予算制約付き・リスク調整配分　［実装式（配分に使用・銘柄は不変）］</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すでに選ばれた20社に対して、500万円をどのように配るか。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まず20社を役割ごとに分け、役割ごとの予算を決め、同じ役割の中では「変動が小さく・売買しやすく・証拠が強く・信頼できる」会社を厚く配る式。将来リターンの予測は使わない。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（4.1）役割予算制約付き・リスク調整配分（選定済み20社へ500万円を配る方法）</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ω_i＝最終目標比率　B_{r(i)}＝役割予算　ρ_i＝役割内優先度　ℓ_i＝流動性係数　e_i＝証拠係数　c_i＝信頼度係数</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配分にのみ使用。選定済みの20社を入れ替えることはしない。1銘柄上限8%を超えた分は同じ役割内の未上限銘柄へ配り直す（式は下記④の反復）。</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リターン予想に頼らず、リスクとデータの質だけで、説明できる形で配分を決められる。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σは過去1年の値で将来の変動を保証しない。8%上限後の再配分・単元株の丸めは下記の手順で完全に定義する。</w:t>
      </w:r>
    </w:p>
    <w:p>
      <w:pPr>
        <w:pStyle w:val="Heading4"/>
        <w:ind w:firstLine="0" w:firstLineChars="0"/>
      </w:pPr>
      <w:r>
        <w:rPr>
          <w:rFonts w:ascii="ＭＳ ゴシック" w:hAnsi="ＭＳ ゴシック" w:eastAsia="ＭＳ ゴシック"/>
          <w:b/>
          <w:color w:val="000000"/>
          <w:sz w:val="18"/>
        </w:rPr>
        <w:t>（4.2）単元株調整と8%上限後の再配分　［実装式（配分に使用）］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目標比率から、実際に市場で買える株数と金額をどう決めるか。上限を超えたらどうするか。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目標金額を株価×売買単位で割り、端数を切り捨てて実際に買える株数にする。8%を超えた会社は8%に抑え、余りを同じ役割の会社へ配り直す。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（4.2）単元株調整と8%上限後の再配分（実際に買える株数へ丸める）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q</m:t>
                    </m:r>
                  </m:e>
                  <m:sub>
                    <m:r>
                      <m:t>i</m:t>
                    </m:r>
                  </m:sub>
                </m:sSub>
                <m:r>
                  <m:rPr>
                    <m:sty m:val="p"/>
                  </m:rPr>
                  <m:t>=</m:t>
                </m:r>
                <m:sSub>
                  <m:e>
                    <m:r>
                      <m:t>L</m:t>
                    </m:r>
                  </m:e>
                  <m:sub>
                    <m:r>
                      <m:t>i</m:t>
                    </m:r>
                  </m:sub>
                </m:sSub>
                <m:r>
                  <m:rPr>
                    <m:sty m:val="p"/>
                  </m:rPr>
                  <m:t>⋅</m:t>
                </m:r>
                <m:r>
                  <m:rPr>
                    <m:sty m:val="p"/>
                  </m:rPr>
                  <m:t>floor</m:t>
                </m:r>
                <m:r>
                  <m:t>​</m:t>
                </m:r>
                <m:d>
                  <m:dPr>
                    <m:begChr m:val="("/>
                    <m:sepChr m:val=""/>
                    <m:endChr m:val=")"/>
                    <m:grow/>
                  </m:dPr>
                  <m:e>
                    <m:f>
                      <m:fPr>
                        <m:type m:val="bar"/>
                      </m:fPr>
                      <m:num>
                        <m:r>
                          <m:t>B</m:t>
                        </m:r>
                        <m:r>
                          <m:t> </m:t>
                        </m:r>
                        <m:sSub>
                          <m:e>
                            <m:r>
                              <m:t>ω</m:t>
                            </m:r>
                          </m:e>
                          <m:sub>
                            <m:r>
                              <m:t>i</m:t>
                            </m:r>
                          </m:sub>
                        </m:sSub>
                      </m:num>
                      <m:den>
                        <m:sSub>
                          <m:e>
                            <m:r>
                              <m:t>P</m:t>
                            </m:r>
                          </m:e>
                          <m:sub>
                            <m:r>
                              <m:t>i</m:t>
                            </m:r>
                          </m:sub>
                        </m:sSub>
                        <m:sSub>
                          <m:e>
                            <m:r>
                              <m:t>L</m:t>
                            </m:r>
                          </m:e>
                          <m:sub>
                            <m:r>
                              <m:t>i</m:t>
                            </m:r>
                          </m:sub>
                        </m:sSub>
                      </m:den>
                    </m:f>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q_i＝購入株数　L_i＝売買単位　B＝総予算　ω_i＝目標比率　floor(・)＝切り捨て</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配分の最終段。基準は単元未満株（L=1）で20社すべて購入可、投資額 4,949,198 円・残現金 50,801 円（消化率99.0%）。8%超過→8%へ切下げ→余剰を同役割内の未上限銘柄へ現行比率で比例再配分→最大5回反復。役割間移動・現金化は行わない。単元株丸めの端数は残現金として保持する。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紙上の比率ではなく、実際に売買できる株数・金額に落とし込める。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実単元（L=100）では株価の高い9社が買えず消化率46.7%へ低下。単元未満株（S株）が課題規約で使えるかは要確認。</w:t>
      </w:r>
    </w:p>
    <w:p>
      <w:pPr/>
      <w:r>
        <w:rPr>
          <w:rFonts w:ascii="Times New Roman" w:hAnsi="Times New Roman" w:eastAsia="ＭＳ 明朝"/>
          <w:b w:val="0"/>
          <w:sz w:val="18"/>
        </w:rPr>
        <w:t>最終配分を図表 Ⅲ-1 に示す。役割の合計は25/25/25/15/10、最大保有はゼンリン7.46%で、いずれも制約内である。</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rPr>
          <w:cantSplit/>
        </w:trPr>
        <w:tc>
          <w:tcPr>
            <w:tcW w:type="dxa" w:w="737"/>
            <w:shd w:val="clear" w:color="auto" w:fill="808080"/>
          </w:tcPr>
          <w:p>
            <w:pPr>
              <w:spacing w:after="0"/>
              <w:ind w:firstLine="0" w:firstLineChars="0"/>
            </w:pPr>
            <w:r>
              <w:rPr>
                <w:rFonts w:ascii="ＭＳ ゴシック" w:hAnsi="ＭＳ ゴシック" w:eastAsia="ＭＳ ゴシック"/>
                <w:b/>
                <w:color w:val="FFFFFF"/>
                <w:sz w:val="16"/>
              </w:rPr>
              <w:t>コード</w:t>
            </w:r>
          </w:p>
        </w:tc>
        <w:tc>
          <w:tcPr>
            <w:tcW w:type="dxa" w:w="1928"/>
            <w:shd w:val="clear" w:color="auto" w:fill="808080"/>
          </w:tcPr>
          <w:p>
            <w:pPr>
              <w:spacing w:after="0"/>
              <w:ind w:firstLine="0" w:firstLineChars="0"/>
            </w:pPr>
            <w:r>
              <w:rPr>
                <w:rFonts w:ascii="ＭＳ ゴシック" w:hAnsi="ＭＳ ゴシック" w:eastAsia="ＭＳ ゴシック"/>
                <w:b/>
                <w:color w:val="FFFFFF"/>
                <w:sz w:val="16"/>
              </w:rPr>
              <w:t>企業名</w:t>
            </w:r>
          </w:p>
        </w:tc>
        <w:tc>
          <w:tcPr>
            <w:tcW w:type="dxa" w:w="1247"/>
            <w:shd w:val="clear" w:color="auto" w:fill="808080"/>
          </w:tcPr>
          <w:p>
            <w:pPr>
              <w:spacing w:after="0"/>
              <w:ind w:firstLine="0" w:firstLineChars="0"/>
            </w:pPr>
            <w:r>
              <w:rPr>
                <w:rFonts w:ascii="ＭＳ ゴシック" w:hAnsi="ＭＳ ゴシック" w:eastAsia="ＭＳ ゴシック"/>
                <w:b/>
                <w:color w:val="FFFFFF"/>
                <w:sz w:val="16"/>
              </w:rPr>
              <w:t>役割</w:t>
            </w:r>
          </w:p>
        </w:tc>
        <w:tc>
          <w:tcPr>
            <w:tcW w:type="dxa" w:w="1247"/>
            <w:shd w:val="clear" w:color="auto" w:fill="808080"/>
          </w:tcPr>
          <w:p>
            <w:pPr>
              <w:spacing w:after="0"/>
              <w:ind w:firstLine="0" w:firstLineChars="0"/>
            </w:pPr>
            <w:r>
              <w:rPr>
                <w:rFonts w:ascii="ＭＳ ゴシック" w:hAnsi="ＭＳ ゴシック" w:eastAsia="ＭＳ ゴシック"/>
                <w:b/>
                <w:color w:val="FFFFFF"/>
                <w:sz w:val="16"/>
              </w:rPr>
              <w:t>テーマ</w:t>
            </w:r>
          </w:p>
        </w:tc>
        <w:tc>
          <w:tcPr>
            <w:tcW w:type="dxa" w:w="737"/>
            <w:shd w:val="clear" w:color="auto" w:fill="808080"/>
          </w:tcPr>
          <w:p>
            <w:pPr>
              <w:spacing w:after="0"/>
              <w:ind w:firstLine="0" w:firstLineChars="0"/>
            </w:pPr>
            <w:r>
              <w:rPr>
                <w:rFonts w:ascii="ＭＳ ゴシック" w:hAnsi="ＭＳ ゴシック" w:eastAsia="ＭＳ ゴシック"/>
                <w:b/>
                <w:color w:val="FFFFFF"/>
                <w:sz w:val="16"/>
              </w:rPr>
              <w:t>比率</w:t>
            </w:r>
          </w:p>
        </w:tc>
        <w:tc>
          <w:tcPr>
            <w:tcW w:type="dxa" w:w="850"/>
            <w:shd w:val="clear" w:color="auto" w:fill="808080"/>
          </w:tcPr>
          <w:p>
            <w:pPr>
              <w:spacing w:after="0"/>
              <w:ind w:firstLine="0" w:firstLineChars="0"/>
            </w:pPr>
            <w:r>
              <w:rPr>
                <w:rFonts w:ascii="ＭＳ ゴシック" w:hAnsi="ＭＳ ゴシック" w:eastAsia="ＭＳ ゴシック"/>
                <w:b/>
                <w:color w:val="FFFFFF"/>
                <w:sz w:val="16"/>
              </w:rPr>
              <w:t>株数(L=1)</w:t>
            </w:r>
          </w:p>
        </w:tc>
        <w:tc>
          <w:tcPr>
            <w:tcW w:type="dxa" w:w="1134"/>
            <w:shd w:val="clear" w:color="auto" w:fill="808080"/>
          </w:tcPr>
          <w:p>
            <w:pPr>
              <w:spacing w:after="0"/>
              <w:ind w:firstLine="0" w:firstLineChars="0"/>
            </w:pPr>
            <w:r>
              <w:rPr>
                <w:rFonts w:ascii="ＭＳ ゴシック" w:hAnsi="ＭＳ ゴシック" w:eastAsia="ＭＳ ゴシック"/>
                <w:b/>
                <w:color w:val="FFFFFF"/>
                <w:sz w:val="16"/>
              </w:rPr>
              <w:t>金額(L=1)</w:t>
            </w:r>
          </w:p>
        </w:tc>
      </w:tr>
      <w:tr>
        <w:trPr>
          <w:cantSplit/>
        </w:trPr>
        <w:tc>
          <w:tcPr>
            <w:tcW w:type="dxa" w:w="737"/>
          </w:tcPr>
          <w:p>
            <w:pPr>
              <w:spacing w:after="0"/>
              <w:ind w:firstLine="0" w:firstLineChars="0"/>
            </w:pPr>
            <w:r>
              <w:rPr>
                <w:rFonts w:ascii="Times New Roman" w:hAnsi="Times New Roman" w:eastAsia="ＭＳ 明朝"/>
                <w:b w:val="0"/>
                <w:color w:val="000000"/>
                <w:sz w:val="16"/>
              </w:rPr>
              <w:t>9470</w:t>
            </w:r>
          </w:p>
        </w:tc>
        <w:tc>
          <w:tcPr>
            <w:tcW w:type="dxa" w:w="1928"/>
          </w:tcPr>
          <w:p>
            <w:pPr>
              <w:spacing w:after="0"/>
              <w:ind w:firstLine="0" w:firstLineChars="0"/>
            </w:pPr>
            <w:r>
              <w:rPr>
                <w:rFonts w:ascii="Times New Roman" w:hAnsi="Times New Roman" w:eastAsia="ＭＳ 明朝"/>
                <w:b w:val="0"/>
                <w:color w:val="000000"/>
                <w:sz w:val="16"/>
              </w:rPr>
              <w:t xml:space="preserve">GAKKEN HOLDINGS </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6.88%</w:t>
            </w:r>
          </w:p>
        </w:tc>
        <w:tc>
          <w:tcPr>
            <w:tcW w:type="dxa" w:w="850"/>
          </w:tcPr>
          <w:p>
            <w:pPr>
              <w:spacing w:after="0"/>
              <w:ind w:firstLine="0" w:firstLineChars="0"/>
            </w:pPr>
            <w:r>
              <w:rPr>
                <w:rFonts w:ascii="Times New Roman" w:hAnsi="Times New Roman" w:eastAsia="ＭＳ 明朝"/>
                <w:b w:val="0"/>
                <w:color w:val="000000"/>
                <w:sz w:val="16"/>
              </w:rPr>
              <w:t>365</w:t>
            </w:r>
          </w:p>
        </w:tc>
        <w:tc>
          <w:tcPr>
            <w:tcW w:type="dxa" w:w="1134"/>
          </w:tcPr>
          <w:p>
            <w:pPr>
              <w:spacing w:after="0"/>
              <w:ind w:firstLine="0" w:firstLineChars="0"/>
            </w:pPr>
            <w:r>
              <w:rPr>
                <w:rFonts w:ascii="Times New Roman" w:hAnsi="Times New Roman" w:eastAsia="ＭＳ 明朝"/>
                <w:b w:val="0"/>
                <w:color w:val="000000"/>
                <w:sz w:val="16"/>
              </w:rPr>
              <w:t>343,465</w:t>
            </w:r>
          </w:p>
        </w:tc>
      </w:tr>
      <w:tr>
        <w:trPr>
          <w:cantSplit/>
        </w:trPr>
        <w:tc>
          <w:tcPr>
            <w:tcW w:type="dxa" w:w="737"/>
          </w:tcPr>
          <w:p>
            <w:pPr>
              <w:spacing w:after="0"/>
              <w:ind w:firstLine="0" w:firstLineChars="0"/>
            </w:pPr>
            <w:r>
              <w:rPr>
                <w:rFonts w:ascii="Times New Roman" w:hAnsi="Times New Roman" w:eastAsia="ＭＳ 明朝"/>
                <w:b w:val="0"/>
                <w:color w:val="000000"/>
                <w:sz w:val="16"/>
              </w:rPr>
              <w:t>3539</w:t>
            </w:r>
          </w:p>
        </w:tc>
        <w:tc>
          <w:tcPr>
            <w:tcW w:type="dxa" w:w="1928"/>
          </w:tcPr>
          <w:p>
            <w:pPr>
              <w:spacing w:after="0"/>
              <w:ind w:firstLine="0" w:firstLineChars="0"/>
            </w:pPr>
            <w:r>
              <w:rPr>
                <w:rFonts w:ascii="Times New Roman" w:hAnsi="Times New Roman" w:eastAsia="ＭＳ 明朝"/>
                <w:b w:val="0"/>
                <w:color w:val="000000"/>
                <w:sz w:val="16"/>
              </w:rPr>
              <w:t>JM HOLDINGS CO.,</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5.58%</w:t>
            </w:r>
          </w:p>
        </w:tc>
        <w:tc>
          <w:tcPr>
            <w:tcW w:type="dxa" w:w="850"/>
          </w:tcPr>
          <w:p>
            <w:pPr>
              <w:spacing w:after="0"/>
              <w:ind w:firstLine="0" w:firstLineChars="0"/>
            </w:pPr>
            <w:r>
              <w:rPr>
                <w:rFonts w:ascii="Times New Roman" w:hAnsi="Times New Roman" w:eastAsia="ＭＳ 明朝"/>
                <w:b w:val="0"/>
                <w:color w:val="000000"/>
                <w:sz w:val="16"/>
              </w:rPr>
              <w:t>223</w:t>
            </w:r>
          </w:p>
        </w:tc>
        <w:tc>
          <w:tcPr>
            <w:tcW w:type="dxa" w:w="1134"/>
          </w:tcPr>
          <w:p>
            <w:pPr>
              <w:spacing w:after="0"/>
              <w:ind w:firstLine="0" w:firstLineChars="0"/>
            </w:pPr>
            <w:r>
              <w:rPr>
                <w:rFonts w:ascii="Times New Roman" w:hAnsi="Times New Roman" w:eastAsia="ＭＳ 明朝"/>
                <w:b w:val="0"/>
                <w:color w:val="000000"/>
                <w:sz w:val="16"/>
              </w:rPr>
              <w:t>278,304</w:t>
            </w:r>
          </w:p>
        </w:tc>
      </w:tr>
      <w:tr>
        <w:trPr>
          <w:cantSplit/>
        </w:trPr>
        <w:tc>
          <w:tcPr>
            <w:tcW w:type="dxa" w:w="737"/>
          </w:tcPr>
          <w:p>
            <w:pPr>
              <w:spacing w:after="0"/>
              <w:ind w:firstLine="0" w:firstLineChars="0"/>
            </w:pPr>
            <w:r>
              <w:rPr>
                <w:rFonts w:ascii="Times New Roman" w:hAnsi="Times New Roman" w:eastAsia="ＭＳ 明朝"/>
                <w:b w:val="0"/>
                <w:color w:val="000000"/>
                <w:sz w:val="16"/>
              </w:rPr>
              <w:t>6430</w:t>
            </w:r>
          </w:p>
        </w:tc>
        <w:tc>
          <w:tcPr>
            <w:tcW w:type="dxa" w:w="1928"/>
          </w:tcPr>
          <w:p>
            <w:pPr>
              <w:spacing w:after="0"/>
              <w:ind w:firstLine="0" w:firstLineChars="0"/>
            </w:pPr>
            <w:r>
              <w:rPr>
                <w:rFonts w:ascii="Times New Roman" w:hAnsi="Times New Roman" w:eastAsia="ＭＳ 明朝"/>
                <w:b w:val="0"/>
                <w:color w:val="000000"/>
                <w:sz w:val="16"/>
              </w:rPr>
              <w:t>DAIKOKU DENKI CO</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5.43%</w:t>
            </w:r>
          </w:p>
        </w:tc>
        <w:tc>
          <w:tcPr>
            <w:tcW w:type="dxa" w:w="850"/>
          </w:tcPr>
          <w:p>
            <w:pPr>
              <w:spacing w:after="0"/>
              <w:ind w:firstLine="0" w:firstLineChars="0"/>
            </w:pPr>
            <w:r>
              <w:rPr>
                <w:rFonts w:ascii="Times New Roman" w:hAnsi="Times New Roman" w:eastAsia="ＭＳ 明朝"/>
                <w:b w:val="0"/>
                <w:color w:val="000000"/>
                <w:sz w:val="16"/>
              </w:rPr>
              <w:t>130</w:t>
            </w:r>
          </w:p>
        </w:tc>
        <w:tc>
          <w:tcPr>
            <w:tcW w:type="dxa" w:w="1134"/>
          </w:tcPr>
          <w:p>
            <w:pPr>
              <w:spacing w:after="0"/>
              <w:ind w:firstLine="0" w:firstLineChars="0"/>
            </w:pPr>
            <w:r>
              <w:rPr>
                <w:rFonts w:ascii="Times New Roman" w:hAnsi="Times New Roman" w:eastAsia="ＭＳ 明朝"/>
                <w:b w:val="0"/>
                <w:color w:val="000000"/>
                <w:sz w:val="16"/>
              </w:rPr>
              <w:t>271,050</w:t>
            </w:r>
          </w:p>
        </w:tc>
      </w:tr>
      <w:tr>
        <w:trPr>
          <w:cantSplit/>
        </w:trPr>
        <w:tc>
          <w:tcPr>
            <w:tcW w:type="dxa" w:w="737"/>
          </w:tcPr>
          <w:p>
            <w:pPr>
              <w:spacing w:after="0"/>
              <w:ind w:firstLine="0" w:firstLineChars="0"/>
            </w:pPr>
            <w:r>
              <w:rPr>
                <w:rFonts w:ascii="Times New Roman" w:hAnsi="Times New Roman" w:eastAsia="ＭＳ 明朝"/>
                <w:b w:val="0"/>
                <w:color w:val="000000"/>
                <w:sz w:val="16"/>
              </w:rPr>
              <w:t>4350</w:t>
            </w:r>
          </w:p>
        </w:tc>
        <w:tc>
          <w:tcPr>
            <w:tcW w:type="dxa" w:w="1928"/>
          </w:tcPr>
          <w:p>
            <w:pPr>
              <w:spacing w:after="0"/>
              <w:ind w:firstLine="0" w:firstLineChars="0"/>
            </w:pPr>
            <w:r>
              <w:rPr>
                <w:rFonts w:ascii="Times New Roman" w:hAnsi="Times New Roman" w:eastAsia="ＭＳ 明朝"/>
                <w:b w:val="0"/>
                <w:color w:val="000000"/>
                <w:sz w:val="16"/>
              </w:rPr>
              <w:t>MEDICAL SYSTEM N</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4.21%</w:t>
            </w:r>
          </w:p>
        </w:tc>
        <w:tc>
          <w:tcPr>
            <w:tcW w:type="dxa" w:w="850"/>
          </w:tcPr>
          <w:p>
            <w:pPr>
              <w:spacing w:after="0"/>
              <w:ind w:firstLine="0" w:firstLineChars="0"/>
            </w:pPr>
            <w:r>
              <w:rPr>
                <w:rFonts w:ascii="Times New Roman" w:hAnsi="Times New Roman" w:eastAsia="ＭＳ 明朝"/>
                <w:b w:val="0"/>
                <w:color w:val="000000"/>
                <w:sz w:val="16"/>
              </w:rPr>
              <w:t>409</w:t>
            </w:r>
          </w:p>
        </w:tc>
        <w:tc>
          <w:tcPr>
            <w:tcW w:type="dxa" w:w="1134"/>
          </w:tcPr>
          <w:p>
            <w:pPr>
              <w:spacing w:after="0"/>
              <w:ind w:firstLine="0" w:firstLineChars="0"/>
            </w:pPr>
            <w:r>
              <w:rPr>
                <w:rFonts w:ascii="Times New Roman" w:hAnsi="Times New Roman" w:eastAsia="ＭＳ 明朝"/>
                <w:b w:val="0"/>
                <w:color w:val="000000"/>
                <w:sz w:val="16"/>
              </w:rPr>
              <w:t>210,226</w:t>
            </w:r>
          </w:p>
        </w:tc>
      </w:tr>
      <w:tr>
        <w:trPr>
          <w:cantSplit/>
        </w:trPr>
        <w:tc>
          <w:tcPr>
            <w:tcW w:type="dxa" w:w="737"/>
          </w:tcPr>
          <w:p>
            <w:pPr>
              <w:spacing w:after="0"/>
              <w:ind w:firstLine="0" w:firstLineChars="0"/>
            </w:pPr>
            <w:r>
              <w:rPr>
                <w:rFonts w:ascii="Times New Roman" w:hAnsi="Times New Roman" w:eastAsia="ＭＳ 明朝"/>
                <w:b w:val="0"/>
                <w:color w:val="000000"/>
                <w:sz w:val="16"/>
              </w:rPr>
              <w:t>7803</w:t>
            </w:r>
          </w:p>
        </w:tc>
        <w:tc>
          <w:tcPr>
            <w:tcW w:type="dxa" w:w="1928"/>
          </w:tcPr>
          <w:p>
            <w:pPr>
              <w:spacing w:after="0"/>
              <w:ind w:firstLine="0" w:firstLineChars="0"/>
            </w:pPr>
            <w:r>
              <w:rPr>
                <w:rFonts w:ascii="Times New Roman" w:hAnsi="Times New Roman" w:eastAsia="ＭＳ 明朝"/>
                <w:b w:val="0"/>
                <w:color w:val="000000"/>
                <w:sz w:val="16"/>
              </w:rPr>
              <w:t>Bushiroad Inc.</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2.90%</w:t>
            </w:r>
          </w:p>
        </w:tc>
        <w:tc>
          <w:tcPr>
            <w:tcW w:type="dxa" w:w="850"/>
          </w:tcPr>
          <w:p>
            <w:pPr>
              <w:spacing w:after="0"/>
              <w:ind w:firstLine="0" w:firstLineChars="0"/>
            </w:pPr>
            <w:r>
              <w:rPr>
                <w:rFonts w:ascii="Times New Roman" w:hAnsi="Times New Roman" w:eastAsia="ＭＳ 明朝"/>
                <w:b w:val="0"/>
                <w:color w:val="000000"/>
                <w:sz w:val="16"/>
              </w:rPr>
              <w:t>562</w:t>
            </w:r>
          </w:p>
        </w:tc>
        <w:tc>
          <w:tcPr>
            <w:tcW w:type="dxa" w:w="1134"/>
          </w:tcPr>
          <w:p>
            <w:pPr>
              <w:spacing w:after="0"/>
              <w:ind w:firstLine="0" w:firstLineChars="0"/>
            </w:pPr>
            <w:r>
              <w:rPr>
                <w:rFonts w:ascii="Times New Roman" w:hAnsi="Times New Roman" w:eastAsia="ＭＳ 明朝"/>
                <w:b w:val="0"/>
                <w:color w:val="000000"/>
                <w:sz w:val="16"/>
              </w:rPr>
              <w:t>144,996</w:t>
            </w:r>
          </w:p>
        </w:tc>
      </w:tr>
      <w:tr>
        <w:trPr>
          <w:cantSplit/>
        </w:trPr>
        <w:tc>
          <w:tcPr>
            <w:tcW w:type="dxa" w:w="737"/>
          </w:tcPr>
          <w:p>
            <w:pPr>
              <w:spacing w:after="0"/>
              <w:ind w:firstLine="0" w:firstLineChars="0"/>
            </w:pPr>
            <w:r>
              <w:rPr>
                <w:rFonts w:ascii="Times New Roman" w:hAnsi="Times New Roman" w:eastAsia="ＭＳ 明朝"/>
                <w:b w:val="0"/>
                <w:color w:val="000000"/>
                <w:sz w:val="16"/>
              </w:rPr>
              <w:t>5902</w:t>
            </w:r>
          </w:p>
        </w:tc>
        <w:tc>
          <w:tcPr>
            <w:tcW w:type="dxa" w:w="1928"/>
          </w:tcPr>
          <w:p>
            <w:pPr>
              <w:spacing w:after="0"/>
              <w:ind w:firstLine="0" w:firstLineChars="0"/>
            </w:pPr>
            <w:r>
              <w:rPr>
                <w:rFonts w:ascii="Times New Roman" w:hAnsi="Times New Roman" w:eastAsia="ＭＳ 明朝"/>
                <w:b w:val="0"/>
                <w:color w:val="000000"/>
                <w:sz w:val="16"/>
              </w:rPr>
              <w:t xml:space="preserve">HOKKAN HOLDINGS </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6.70%</w:t>
            </w:r>
          </w:p>
        </w:tc>
        <w:tc>
          <w:tcPr>
            <w:tcW w:type="dxa" w:w="850"/>
          </w:tcPr>
          <w:p>
            <w:pPr>
              <w:spacing w:after="0"/>
              <w:ind w:firstLine="0" w:firstLineChars="0"/>
            </w:pPr>
            <w:r>
              <w:rPr>
                <w:rFonts w:ascii="Times New Roman" w:hAnsi="Times New Roman" w:eastAsia="ＭＳ 明朝"/>
                <w:b w:val="0"/>
                <w:color w:val="000000"/>
                <w:sz w:val="16"/>
              </w:rPr>
              <w:t>150</w:t>
            </w:r>
          </w:p>
        </w:tc>
        <w:tc>
          <w:tcPr>
            <w:tcW w:type="dxa" w:w="1134"/>
          </w:tcPr>
          <w:p>
            <w:pPr>
              <w:spacing w:after="0"/>
              <w:ind w:firstLine="0" w:firstLineChars="0"/>
            </w:pPr>
            <w:r>
              <w:rPr>
                <w:rFonts w:ascii="Times New Roman" w:hAnsi="Times New Roman" w:eastAsia="ＭＳ 明朝"/>
                <w:b w:val="0"/>
                <w:color w:val="000000"/>
                <w:sz w:val="16"/>
              </w:rPr>
              <w:t>333,000</w:t>
            </w:r>
          </w:p>
        </w:tc>
      </w:tr>
      <w:tr>
        <w:trPr>
          <w:cantSplit/>
        </w:trPr>
        <w:tc>
          <w:tcPr>
            <w:tcW w:type="dxa" w:w="737"/>
          </w:tcPr>
          <w:p>
            <w:pPr>
              <w:spacing w:after="0"/>
              <w:ind w:firstLine="0" w:firstLineChars="0"/>
            </w:pPr>
            <w:r>
              <w:rPr>
                <w:rFonts w:ascii="Times New Roman" w:hAnsi="Times New Roman" w:eastAsia="ＭＳ 明朝"/>
                <w:b w:val="0"/>
                <w:color w:val="000000"/>
                <w:sz w:val="16"/>
              </w:rPr>
              <w:t>9828</w:t>
            </w:r>
          </w:p>
        </w:tc>
        <w:tc>
          <w:tcPr>
            <w:tcW w:type="dxa" w:w="1928"/>
          </w:tcPr>
          <w:p>
            <w:pPr>
              <w:spacing w:after="0"/>
              <w:ind w:firstLine="0" w:firstLineChars="0"/>
            </w:pPr>
            <w:r>
              <w:rPr>
                <w:rFonts w:ascii="Times New Roman" w:hAnsi="Times New Roman" w:eastAsia="ＭＳ 明朝"/>
                <w:b w:val="0"/>
                <w:color w:val="000000"/>
                <w:sz w:val="16"/>
              </w:rPr>
              <w:t>Genki Global Din</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5.50%</w:t>
            </w:r>
          </w:p>
        </w:tc>
        <w:tc>
          <w:tcPr>
            <w:tcW w:type="dxa" w:w="850"/>
          </w:tcPr>
          <w:p>
            <w:pPr>
              <w:spacing w:after="0"/>
              <w:ind w:firstLine="0" w:firstLineChars="0"/>
            </w:pPr>
            <w:r>
              <w:rPr>
                <w:rFonts w:ascii="Times New Roman" w:hAnsi="Times New Roman" w:eastAsia="ＭＳ 明朝"/>
                <w:b w:val="0"/>
                <w:color w:val="000000"/>
                <w:sz w:val="16"/>
              </w:rPr>
              <w:t>99</w:t>
            </w:r>
          </w:p>
        </w:tc>
        <w:tc>
          <w:tcPr>
            <w:tcW w:type="dxa" w:w="1134"/>
          </w:tcPr>
          <w:p>
            <w:pPr>
              <w:spacing w:after="0"/>
              <w:ind w:firstLine="0" w:firstLineChars="0"/>
            </w:pPr>
            <w:r>
              <w:rPr>
                <w:rFonts w:ascii="Times New Roman" w:hAnsi="Times New Roman" w:eastAsia="ＭＳ 明朝"/>
                <w:b w:val="0"/>
                <w:color w:val="000000"/>
                <w:sz w:val="16"/>
              </w:rPr>
              <w:t>272,646</w:t>
            </w:r>
          </w:p>
        </w:tc>
      </w:tr>
      <w:tr>
        <w:trPr>
          <w:cantSplit/>
        </w:trPr>
        <w:tc>
          <w:tcPr>
            <w:tcW w:type="dxa" w:w="737"/>
          </w:tcPr>
          <w:p>
            <w:pPr>
              <w:spacing w:after="0"/>
              <w:ind w:firstLine="0" w:firstLineChars="0"/>
            </w:pPr>
            <w:r>
              <w:rPr>
                <w:rFonts w:ascii="Times New Roman" w:hAnsi="Times New Roman" w:eastAsia="ＭＳ 明朝"/>
                <w:b w:val="0"/>
                <w:color w:val="000000"/>
                <w:sz w:val="16"/>
              </w:rPr>
              <w:t>8037</w:t>
            </w:r>
          </w:p>
        </w:tc>
        <w:tc>
          <w:tcPr>
            <w:tcW w:type="dxa" w:w="1928"/>
          </w:tcPr>
          <w:p>
            <w:pPr>
              <w:spacing w:after="0"/>
              <w:ind w:firstLine="0" w:firstLineChars="0"/>
            </w:pPr>
            <w:r>
              <w:rPr>
                <w:rFonts w:ascii="Times New Roman" w:hAnsi="Times New Roman" w:eastAsia="ＭＳ 明朝"/>
                <w:b w:val="0"/>
                <w:color w:val="000000"/>
                <w:sz w:val="16"/>
              </w:rPr>
              <w:t>KAMEI CORPORATIO</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4.84%</w:t>
            </w:r>
          </w:p>
        </w:tc>
        <w:tc>
          <w:tcPr>
            <w:tcW w:type="dxa" w:w="850"/>
          </w:tcPr>
          <w:p>
            <w:pPr>
              <w:spacing w:after="0"/>
              <w:ind w:firstLine="0" w:firstLineChars="0"/>
            </w:pPr>
            <w:r>
              <w:rPr>
                <w:rFonts w:ascii="Times New Roman" w:hAnsi="Times New Roman" w:eastAsia="ＭＳ 明朝"/>
                <w:b w:val="0"/>
                <w:color w:val="000000"/>
                <w:sz w:val="16"/>
              </w:rPr>
              <w:t>69</w:t>
            </w:r>
          </w:p>
        </w:tc>
        <w:tc>
          <w:tcPr>
            <w:tcW w:type="dxa" w:w="1134"/>
          </w:tcPr>
          <w:p>
            <w:pPr>
              <w:spacing w:after="0"/>
              <w:ind w:firstLine="0" w:firstLineChars="0"/>
            </w:pPr>
            <w:r>
              <w:rPr>
                <w:rFonts w:ascii="Times New Roman" w:hAnsi="Times New Roman" w:eastAsia="ＭＳ 明朝"/>
                <w:b w:val="0"/>
                <w:color w:val="000000"/>
                <w:sz w:val="16"/>
              </w:rPr>
              <w:t>238,740</w:t>
            </w:r>
          </w:p>
        </w:tc>
      </w:tr>
      <w:tr>
        <w:trPr>
          <w:cantSplit/>
        </w:trPr>
        <w:tc>
          <w:tcPr>
            <w:tcW w:type="dxa" w:w="737"/>
          </w:tcPr>
          <w:p>
            <w:pPr>
              <w:spacing w:after="0"/>
              <w:ind w:firstLine="0" w:firstLineChars="0"/>
            </w:pPr>
            <w:r>
              <w:rPr>
                <w:rFonts w:ascii="Times New Roman" w:hAnsi="Times New Roman" w:eastAsia="ＭＳ 明朝"/>
                <w:b w:val="0"/>
                <w:color w:val="000000"/>
                <w:sz w:val="16"/>
              </w:rPr>
              <w:t>3863</w:t>
            </w:r>
          </w:p>
        </w:tc>
        <w:tc>
          <w:tcPr>
            <w:tcW w:type="dxa" w:w="1928"/>
          </w:tcPr>
          <w:p>
            <w:pPr>
              <w:spacing w:after="0"/>
              <w:ind w:firstLine="0" w:firstLineChars="0"/>
            </w:pPr>
            <w:r>
              <w:rPr>
                <w:rFonts w:ascii="Times New Roman" w:hAnsi="Times New Roman" w:eastAsia="ＭＳ 明朝"/>
                <w:b w:val="0"/>
                <w:color w:val="000000"/>
                <w:sz w:val="16"/>
              </w:rPr>
              <w:t>Nippon Paper Ind</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4.28%</w:t>
            </w:r>
          </w:p>
        </w:tc>
        <w:tc>
          <w:tcPr>
            <w:tcW w:type="dxa" w:w="850"/>
          </w:tcPr>
          <w:p>
            <w:pPr>
              <w:spacing w:after="0"/>
              <w:ind w:firstLine="0" w:firstLineChars="0"/>
            </w:pPr>
            <w:r>
              <w:rPr>
                <w:rFonts w:ascii="Times New Roman" w:hAnsi="Times New Roman" w:eastAsia="ＭＳ 明朝"/>
                <w:b w:val="0"/>
                <w:color w:val="000000"/>
                <w:sz w:val="16"/>
              </w:rPr>
              <w:t>174</w:t>
            </w:r>
          </w:p>
        </w:tc>
        <w:tc>
          <w:tcPr>
            <w:tcW w:type="dxa" w:w="1134"/>
          </w:tcPr>
          <w:p>
            <w:pPr>
              <w:spacing w:after="0"/>
              <w:ind w:firstLine="0" w:firstLineChars="0"/>
            </w:pPr>
            <w:r>
              <w:rPr>
                <w:rFonts w:ascii="Times New Roman" w:hAnsi="Times New Roman" w:eastAsia="ＭＳ 明朝"/>
                <w:b w:val="0"/>
                <w:color w:val="000000"/>
                <w:sz w:val="16"/>
              </w:rPr>
              <w:t>212,976</w:t>
            </w:r>
          </w:p>
        </w:tc>
      </w:tr>
      <w:tr>
        <w:trPr>
          <w:cantSplit/>
        </w:trPr>
        <w:tc>
          <w:tcPr>
            <w:tcW w:type="dxa" w:w="737"/>
          </w:tcPr>
          <w:p>
            <w:pPr>
              <w:spacing w:after="0"/>
              <w:ind w:firstLine="0" w:firstLineChars="0"/>
            </w:pPr>
            <w:r>
              <w:rPr>
                <w:rFonts w:ascii="Times New Roman" w:hAnsi="Times New Roman" w:eastAsia="ＭＳ 明朝"/>
                <w:b w:val="0"/>
                <w:color w:val="000000"/>
                <w:sz w:val="16"/>
              </w:rPr>
              <w:t>5233</w:t>
            </w:r>
          </w:p>
        </w:tc>
        <w:tc>
          <w:tcPr>
            <w:tcW w:type="dxa" w:w="1928"/>
          </w:tcPr>
          <w:p>
            <w:pPr>
              <w:spacing w:after="0"/>
              <w:ind w:firstLine="0" w:firstLineChars="0"/>
            </w:pPr>
            <w:r>
              <w:rPr>
                <w:rFonts w:ascii="Times New Roman" w:hAnsi="Times New Roman" w:eastAsia="ＭＳ 明朝"/>
                <w:b w:val="0"/>
                <w:color w:val="000000"/>
                <w:sz w:val="16"/>
              </w:rPr>
              <w:t xml:space="preserve">TAIHEIYO CEMENT </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3.68%</w:t>
            </w:r>
          </w:p>
        </w:tc>
        <w:tc>
          <w:tcPr>
            <w:tcW w:type="dxa" w:w="850"/>
          </w:tcPr>
          <w:p>
            <w:pPr>
              <w:spacing w:after="0"/>
              <w:ind w:firstLine="0" w:firstLineChars="0"/>
            </w:pPr>
            <w:r>
              <w:rPr>
                <w:rFonts w:ascii="Times New Roman" w:hAnsi="Times New Roman" w:eastAsia="ＭＳ 明朝"/>
                <w:b w:val="0"/>
                <w:color w:val="000000"/>
                <w:sz w:val="16"/>
              </w:rPr>
              <w:t>41</w:t>
            </w:r>
          </w:p>
        </w:tc>
        <w:tc>
          <w:tcPr>
            <w:tcW w:type="dxa" w:w="1134"/>
          </w:tcPr>
          <w:p>
            <w:pPr>
              <w:spacing w:after="0"/>
              <w:ind w:firstLine="0" w:firstLineChars="0"/>
            </w:pPr>
            <w:r>
              <w:rPr>
                <w:rFonts w:ascii="Times New Roman" w:hAnsi="Times New Roman" w:eastAsia="ＭＳ 明朝"/>
                <w:b w:val="0"/>
                <w:color w:val="000000"/>
                <w:sz w:val="16"/>
              </w:rPr>
              <w:t>182,778</w:t>
            </w:r>
          </w:p>
        </w:tc>
      </w:tr>
      <w:tr>
        <w:trPr>
          <w:cantSplit/>
        </w:trPr>
        <w:tc>
          <w:tcPr>
            <w:tcW w:type="dxa" w:w="737"/>
          </w:tcPr>
          <w:p>
            <w:pPr>
              <w:spacing w:after="0"/>
              <w:ind w:firstLine="0" w:firstLineChars="0"/>
            </w:pPr>
            <w:r>
              <w:rPr>
                <w:rFonts w:ascii="Times New Roman" w:hAnsi="Times New Roman" w:eastAsia="ＭＳ 明朝"/>
                <w:b w:val="0"/>
                <w:color w:val="000000"/>
                <w:sz w:val="16"/>
              </w:rPr>
              <w:t>6368</w:t>
            </w:r>
          </w:p>
        </w:tc>
        <w:tc>
          <w:tcPr>
            <w:tcW w:type="dxa" w:w="1928"/>
          </w:tcPr>
          <w:p>
            <w:pPr>
              <w:spacing w:after="0"/>
              <w:ind w:firstLine="0" w:firstLineChars="0"/>
            </w:pPr>
            <w:r>
              <w:rPr>
                <w:rFonts w:ascii="Times New Roman" w:hAnsi="Times New Roman" w:eastAsia="ＭＳ 明朝"/>
                <w:b w:val="0"/>
                <w:color w:val="000000"/>
                <w:sz w:val="16"/>
              </w:rPr>
              <w:t>ORGANO CORPORATI</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semiconductor</w:t>
            </w:r>
          </w:p>
        </w:tc>
        <w:tc>
          <w:tcPr>
            <w:tcW w:type="dxa" w:w="737"/>
          </w:tcPr>
          <w:p>
            <w:pPr>
              <w:spacing w:after="0"/>
              <w:ind w:firstLine="0" w:firstLineChars="0"/>
            </w:pPr>
            <w:r>
              <w:rPr>
                <w:rFonts w:ascii="Times New Roman" w:hAnsi="Times New Roman" w:eastAsia="ＭＳ 明朝"/>
                <w:b w:val="0"/>
                <w:color w:val="000000"/>
                <w:sz w:val="16"/>
              </w:rPr>
              <w:t>6.91%</w:t>
            </w:r>
          </w:p>
        </w:tc>
        <w:tc>
          <w:tcPr>
            <w:tcW w:type="dxa" w:w="850"/>
          </w:tcPr>
          <w:p>
            <w:pPr>
              <w:spacing w:after="0"/>
              <w:ind w:firstLine="0" w:firstLineChars="0"/>
            </w:pPr>
            <w:r>
              <w:rPr>
                <w:rFonts w:ascii="Times New Roman" w:hAnsi="Times New Roman" w:eastAsia="ＭＳ 明朝"/>
                <w:b w:val="0"/>
                <w:color w:val="000000"/>
                <w:sz w:val="16"/>
              </w:rPr>
              <w:t>21</w:t>
            </w:r>
          </w:p>
        </w:tc>
        <w:tc>
          <w:tcPr>
            <w:tcW w:type="dxa" w:w="1134"/>
          </w:tcPr>
          <w:p>
            <w:pPr>
              <w:spacing w:after="0"/>
              <w:ind w:firstLine="0" w:firstLineChars="0"/>
            </w:pPr>
            <w:r>
              <w:rPr>
                <w:rFonts w:ascii="Times New Roman" w:hAnsi="Times New Roman" w:eastAsia="ＭＳ 明朝"/>
                <w:b w:val="0"/>
                <w:color w:val="000000"/>
                <w:sz w:val="16"/>
              </w:rPr>
              <w:t>330,750</w:t>
            </w:r>
          </w:p>
        </w:tc>
      </w:tr>
      <w:tr>
        <w:trPr>
          <w:cantSplit/>
        </w:trPr>
        <w:tc>
          <w:tcPr>
            <w:tcW w:type="dxa" w:w="737"/>
          </w:tcPr>
          <w:p>
            <w:pPr>
              <w:spacing w:after="0"/>
              <w:ind w:firstLine="0" w:firstLineChars="0"/>
            </w:pPr>
            <w:r>
              <w:rPr>
                <w:rFonts w:ascii="Times New Roman" w:hAnsi="Times New Roman" w:eastAsia="ＭＳ 明朝"/>
                <w:b w:val="0"/>
                <w:color w:val="000000"/>
                <w:sz w:val="16"/>
              </w:rPr>
              <w:t>6526</w:t>
            </w:r>
          </w:p>
        </w:tc>
        <w:tc>
          <w:tcPr>
            <w:tcW w:type="dxa" w:w="1928"/>
          </w:tcPr>
          <w:p>
            <w:pPr>
              <w:spacing w:after="0"/>
              <w:ind w:firstLine="0" w:firstLineChars="0"/>
            </w:pPr>
            <w:r>
              <w:rPr>
                <w:rFonts w:ascii="Times New Roman" w:hAnsi="Times New Roman" w:eastAsia="ＭＳ 明朝"/>
                <w:b w:val="0"/>
                <w:color w:val="000000"/>
                <w:sz w:val="16"/>
              </w:rPr>
              <w:t>Socionext Inc.</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semiconductor</w:t>
            </w:r>
          </w:p>
        </w:tc>
        <w:tc>
          <w:tcPr>
            <w:tcW w:type="dxa" w:w="737"/>
          </w:tcPr>
          <w:p>
            <w:pPr>
              <w:spacing w:after="0"/>
              <w:ind w:firstLine="0" w:firstLineChars="0"/>
            </w:pPr>
            <w:r>
              <w:rPr>
                <w:rFonts w:ascii="Times New Roman" w:hAnsi="Times New Roman" w:eastAsia="ＭＳ 明朝"/>
                <w:b w:val="0"/>
                <w:color w:val="000000"/>
                <w:sz w:val="16"/>
              </w:rPr>
              <w:t>4.90%</w:t>
            </w:r>
          </w:p>
        </w:tc>
        <w:tc>
          <w:tcPr>
            <w:tcW w:type="dxa" w:w="850"/>
          </w:tcPr>
          <w:p>
            <w:pPr>
              <w:spacing w:after="0"/>
              <w:ind w:firstLine="0" w:firstLineChars="0"/>
            </w:pPr>
            <w:r>
              <w:rPr>
                <w:rFonts w:ascii="Times New Roman" w:hAnsi="Times New Roman" w:eastAsia="ＭＳ 明朝"/>
                <w:b w:val="0"/>
                <w:color w:val="000000"/>
                <w:sz w:val="16"/>
              </w:rPr>
              <w:t>85</w:t>
            </w:r>
          </w:p>
        </w:tc>
        <w:tc>
          <w:tcPr>
            <w:tcW w:type="dxa" w:w="1134"/>
          </w:tcPr>
          <w:p>
            <w:pPr>
              <w:spacing w:after="0"/>
              <w:ind w:firstLine="0" w:firstLineChars="0"/>
            </w:pPr>
            <w:r>
              <w:rPr>
                <w:rFonts w:ascii="Times New Roman" w:hAnsi="Times New Roman" w:eastAsia="ＭＳ 明朝"/>
                <w:b w:val="0"/>
                <w:color w:val="000000"/>
                <w:sz w:val="16"/>
              </w:rPr>
              <w:t>243,270</w:t>
            </w:r>
          </w:p>
        </w:tc>
      </w:tr>
      <w:tr>
        <w:trPr>
          <w:cantSplit/>
        </w:trPr>
        <w:tc>
          <w:tcPr>
            <w:tcW w:type="dxa" w:w="737"/>
          </w:tcPr>
          <w:p>
            <w:pPr>
              <w:spacing w:after="0"/>
              <w:ind w:firstLine="0" w:firstLineChars="0"/>
            </w:pPr>
            <w:r>
              <w:rPr>
                <w:rFonts w:ascii="Times New Roman" w:hAnsi="Times New Roman" w:eastAsia="ＭＳ 明朝"/>
                <w:b w:val="0"/>
                <w:color w:val="000000"/>
                <w:sz w:val="16"/>
              </w:rPr>
              <w:t>6920</w:t>
            </w:r>
          </w:p>
        </w:tc>
        <w:tc>
          <w:tcPr>
            <w:tcW w:type="dxa" w:w="1928"/>
          </w:tcPr>
          <w:p>
            <w:pPr>
              <w:spacing w:after="0"/>
              <w:ind w:firstLine="0" w:firstLineChars="0"/>
            </w:pPr>
            <w:r>
              <w:rPr>
                <w:rFonts w:ascii="Times New Roman" w:hAnsi="Times New Roman" w:eastAsia="ＭＳ 明朝"/>
                <w:b w:val="0"/>
                <w:color w:val="000000"/>
                <w:sz w:val="16"/>
              </w:rPr>
              <w:t>Lasertec Corpora</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quality_assurance</w:t>
            </w:r>
          </w:p>
        </w:tc>
        <w:tc>
          <w:tcPr>
            <w:tcW w:type="dxa" w:w="737"/>
          </w:tcPr>
          <w:p>
            <w:pPr>
              <w:spacing w:after="0"/>
              <w:ind w:firstLine="0" w:firstLineChars="0"/>
            </w:pPr>
            <w:r>
              <w:rPr>
                <w:rFonts w:ascii="Times New Roman" w:hAnsi="Times New Roman" w:eastAsia="ＭＳ 明朝"/>
                <w:b w:val="0"/>
                <w:color w:val="000000"/>
                <w:sz w:val="16"/>
              </w:rPr>
              <w:t>4.82%</w:t>
            </w:r>
          </w:p>
        </w:tc>
        <w:tc>
          <w:tcPr>
            <w:tcW w:type="dxa" w:w="850"/>
          </w:tcPr>
          <w:p>
            <w:pPr>
              <w:spacing w:after="0"/>
              <w:ind w:firstLine="0" w:firstLineChars="0"/>
            </w:pPr>
            <w:r>
              <w:rPr>
                <w:rFonts w:ascii="Times New Roman" w:hAnsi="Times New Roman" w:eastAsia="ＭＳ 明朝"/>
                <w:b w:val="0"/>
                <w:color w:val="000000"/>
                <w:sz w:val="16"/>
              </w:rPr>
              <w:t>6</w:t>
            </w:r>
          </w:p>
        </w:tc>
        <w:tc>
          <w:tcPr>
            <w:tcW w:type="dxa" w:w="1134"/>
          </w:tcPr>
          <w:p>
            <w:pPr>
              <w:spacing w:after="0"/>
              <w:ind w:firstLine="0" w:firstLineChars="0"/>
            </w:pPr>
            <w:r>
              <w:rPr>
                <w:rFonts w:ascii="Times New Roman" w:hAnsi="Times New Roman" w:eastAsia="ＭＳ 明朝"/>
                <w:b w:val="0"/>
                <w:color w:val="000000"/>
                <w:sz w:val="16"/>
              </w:rPr>
              <w:t>230,280</w:t>
            </w:r>
          </w:p>
        </w:tc>
      </w:tr>
      <w:tr>
        <w:trPr>
          <w:cantSplit/>
        </w:trPr>
        <w:tc>
          <w:tcPr>
            <w:tcW w:type="dxa" w:w="737"/>
          </w:tcPr>
          <w:p>
            <w:pPr>
              <w:spacing w:after="0"/>
              <w:ind w:firstLine="0" w:firstLineChars="0"/>
            </w:pPr>
            <w:r>
              <w:rPr>
                <w:rFonts w:ascii="Times New Roman" w:hAnsi="Times New Roman" w:eastAsia="ＭＳ 明朝"/>
                <w:b w:val="0"/>
                <w:color w:val="000000"/>
                <w:sz w:val="16"/>
              </w:rPr>
              <w:t>6315</w:t>
            </w:r>
          </w:p>
        </w:tc>
        <w:tc>
          <w:tcPr>
            <w:tcW w:type="dxa" w:w="1928"/>
          </w:tcPr>
          <w:p>
            <w:pPr>
              <w:spacing w:after="0"/>
              <w:ind w:firstLine="0" w:firstLineChars="0"/>
            </w:pPr>
            <w:r>
              <w:rPr>
                <w:rFonts w:ascii="Times New Roman" w:hAnsi="Times New Roman" w:eastAsia="ＭＳ 明朝"/>
                <w:b w:val="0"/>
                <w:color w:val="000000"/>
                <w:sz w:val="16"/>
              </w:rPr>
              <w:t>TOWA CORPORATION</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semiconductor</w:t>
            </w:r>
          </w:p>
        </w:tc>
        <w:tc>
          <w:tcPr>
            <w:tcW w:type="dxa" w:w="737"/>
          </w:tcPr>
          <w:p>
            <w:pPr>
              <w:spacing w:after="0"/>
              <w:ind w:firstLine="0" w:firstLineChars="0"/>
            </w:pPr>
            <w:r>
              <w:rPr>
                <w:rFonts w:ascii="Times New Roman" w:hAnsi="Times New Roman" w:eastAsia="ＭＳ 明朝"/>
                <w:b w:val="0"/>
                <w:color w:val="000000"/>
                <w:sz w:val="16"/>
              </w:rPr>
              <w:t>4.35%</w:t>
            </w:r>
          </w:p>
        </w:tc>
        <w:tc>
          <w:tcPr>
            <w:tcW w:type="dxa" w:w="850"/>
          </w:tcPr>
          <w:p>
            <w:pPr>
              <w:spacing w:after="0"/>
              <w:ind w:firstLine="0" w:firstLineChars="0"/>
            </w:pPr>
            <w:r>
              <w:rPr>
                <w:rFonts w:ascii="Times New Roman" w:hAnsi="Times New Roman" w:eastAsia="ＭＳ 明朝"/>
                <w:b w:val="0"/>
                <w:color w:val="000000"/>
                <w:sz w:val="16"/>
              </w:rPr>
              <w:t>75</w:t>
            </w:r>
          </w:p>
        </w:tc>
        <w:tc>
          <w:tcPr>
            <w:tcW w:type="dxa" w:w="1134"/>
          </w:tcPr>
          <w:p>
            <w:pPr>
              <w:spacing w:after="0"/>
              <w:ind w:firstLine="0" w:firstLineChars="0"/>
            </w:pPr>
            <w:r>
              <w:rPr>
                <w:rFonts w:ascii="Times New Roman" w:hAnsi="Times New Roman" w:eastAsia="ＭＳ 明朝"/>
                <w:b w:val="0"/>
                <w:color w:val="000000"/>
                <w:sz w:val="16"/>
              </w:rPr>
              <w:t>216,600</w:t>
            </w:r>
          </w:p>
        </w:tc>
      </w:tr>
      <w:tr>
        <w:trPr>
          <w:cantSplit/>
        </w:trPr>
        <w:tc>
          <w:tcPr>
            <w:tcW w:type="dxa" w:w="737"/>
          </w:tcPr>
          <w:p>
            <w:pPr>
              <w:spacing w:after="0"/>
              <w:ind w:firstLine="0" w:firstLineChars="0"/>
            </w:pPr>
            <w:r>
              <w:rPr>
                <w:rFonts w:ascii="Times New Roman" w:hAnsi="Times New Roman" w:eastAsia="ＭＳ 明朝"/>
                <w:b w:val="0"/>
                <w:color w:val="000000"/>
                <w:sz w:val="16"/>
              </w:rPr>
              <w:t>5803</w:t>
            </w:r>
          </w:p>
        </w:tc>
        <w:tc>
          <w:tcPr>
            <w:tcW w:type="dxa" w:w="1928"/>
          </w:tcPr>
          <w:p>
            <w:pPr>
              <w:spacing w:after="0"/>
              <w:ind w:firstLine="0" w:firstLineChars="0"/>
            </w:pPr>
            <w:r>
              <w:rPr>
                <w:rFonts w:ascii="Times New Roman" w:hAnsi="Times New Roman" w:eastAsia="ＭＳ 明朝"/>
                <w:b w:val="0"/>
                <w:color w:val="000000"/>
                <w:sz w:val="16"/>
              </w:rPr>
              <w:t>Fujikura Ltd.</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optical_communication</w:t>
            </w:r>
          </w:p>
        </w:tc>
        <w:tc>
          <w:tcPr>
            <w:tcW w:type="dxa" w:w="737"/>
          </w:tcPr>
          <w:p>
            <w:pPr>
              <w:spacing w:after="0"/>
              <w:ind w:firstLine="0" w:firstLineChars="0"/>
            </w:pPr>
            <w:r>
              <w:rPr>
                <w:rFonts w:ascii="Times New Roman" w:hAnsi="Times New Roman" w:eastAsia="ＭＳ 明朝"/>
                <w:b w:val="0"/>
                <w:color w:val="000000"/>
                <w:sz w:val="16"/>
              </w:rPr>
              <w:t>4.02%</w:t>
            </w:r>
          </w:p>
        </w:tc>
        <w:tc>
          <w:tcPr>
            <w:tcW w:type="dxa" w:w="850"/>
          </w:tcPr>
          <w:p>
            <w:pPr>
              <w:spacing w:after="0"/>
              <w:ind w:firstLine="0" w:firstLineChars="0"/>
            </w:pPr>
            <w:r>
              <w:rPr>
                <w:rFonts w:ascii="Times New Roman" w:hAnsi="Times New Roman" w:eastAsia="ＭＳ 明朝"/>
                <w:b w:val="0"/>
                <w:color w:val="000000"/>
                <w:sz w:val="16"/>
              </w:rPr>
              <w:t>42</w:t>
            </w:r>
          </w:p>
        </w:tc>
        <w:tc>
          <w:tcPr>
            <w:tcW w:type="dxa" w:w="1134"/>
          </w:tcPr>
          <w:p>
            <w:pPr>
              <w:spacing w:after="0"/>
              <w:ind w:firstLine="0" w:firstLineChars="0"/>
            </w:pPr>
            <w:r>
              <w:rPr>
                <w:rFonts w:ascii="Times New Roman" w:hAnsi="Times New Roman" w:eastAsia="ＭＳ 明朝"/>
                <w:b w:val="0"/>
                <w:color w:val="000000"/>
                <w:sz w:val="16"/>
              </w:rPr>
              <w:t>196,434</w:t>
            </w:r>
          </w:p>
        </w:tc>
      </w:tr>
      <w:tr>
        <w:trPr>
          <w:cantSplit/>
        </w:trPr>
        <w:tc>
          <w:tcPr>
            <w:tcW w:type="dxa" w:w="737"/>
          </w:tcPr>
          <w:p>
            <w:pPr>
              <w:spacing w:after="0"/>
              <w:ind w:firstLine="0" w:firstLineChars="0"/>
            </w:pPr>
            <w:r>
              <w:rPr>
                <w:rFonts w:ascii="Times New Roman" w:hAnsi="Times New Roman" w:eastAsia="ＭＳ 明朝"/>
                <w:b w:val="0"/>
                <w:color w:val="000000"/>
                <w:sz w:val="16"/>
              </w:rPr>
              <w:t>9474</w:t>
            </w:r>
          </w:p>
        </w:tc>
        <w:tc>
          <w:tcPr>
            <w:tcW w:type="dxa" w:w="1928"/>
          </w:tcPr>
          <w:p>
            <w:pPr>
              <w:spacing w:after="0"/>
              <w:ind w:firstLine="0" w:firstLineChars="0"/>
            </w:pPr>
            <w:r>
              <w:rPr>
                <w:rFonts w:ascii="Times New Roman" w:hAnsi="Times New Roman" w:eastAsia="ＭＳ 明朝"/>
                <w:b w:val="0"/>
                <w:color w:val="000000"/>
                <w:sz w:val="16"/>
              </w:rPr>
              <w:t>ZENRIN CO.,LTD.</w:t>
            </w:r>
          </w:p>
        </w:tc>
        <w:tc>
          <w:tcPr>
            <w:tcW w:type="dxa" w:w="1247"/>
          </w:tcPr>
          <w:p>
            <w:pPr>
              <w:spacing w:after="0"/>
              <w:ind w:firstLine="0" w:firstLineChars="0"/>
            </w:pPr>
            <w:r>
              <w:rPr>
                <w:rFonts w:ascii="Times New Roman" w:hAnsi="Times New Roman" w:eastAsia="ＭＳ 明朝"/>
                <w:b w:val="0"/>
                <w:color w:val="000000"/>
                <w:sz w:val="16"/>
              </w:rPr>
              <w:t>両立型</w:t>
            </w:r>
          </w:p>
        </w:tc>
        <w:tc>
          <w:tcPr>
            <w:tcW w:type="dxa" w:w="1247"/>
          </w:tcPr>
          <w:p>
            <w:pPr>
              <w:spacing w:after="0"/>
              <w:ind w:firstLine="0" w:firstLineChars="0"/>
            </w:pPr>
            <w:r>
              <w:rPr>
                <w:rFonts w:ascii="Times New Roman" w:hAnsi="Times New Roman" w:eastAsia="ＭＳ 明朝"/>
                <w:b w:val="0"/>
                <w:color w:val="000000"/>
                <w:sz w:val="16"/>
              </w:rPr>
              <w:t>business_data</w:t>
            </w:r>
          </w:p>
        </w:tc>
        <w:tc>
          <w:tcPr>
            <w:tcW w:type="dxa" w:w="737"/>
          </w:tcPr>
          <w:p>
            <w:pPr>
              <w:spacing w:after="0"/>
              <w:ind w:firstLine="0" w:firstLineChars="0"/>
            </w:pPr>
            <w:r>
              <w:rPr>
                <w:rFonts w:ascii="Times New Roman" w:hAnsi="Times New Roman" w:eastAsia="ＭＳ 明朝"/>
                <w:b w:val="0"/>
                <w:color w:val="000000"/>
                <w:sz w:val="16"/>
              </w:rPr>
              <w:t>7.46%</w:t>
            </w:r>
          </w:p>
        </w:tc>
        <w:tc>
          <w:tcPr>
            <w:tcW w:type="dxa" w:w="850"/>
          </w:tcPr>
          <w:p>
            <w:pPr>
              <w:spacing w:after="0"/>
              <w:ind w:firstLine="0" w:firstLineChars="0"/>
            </w:pPr>
            <w:r>
              <w:rPr>
                <w:rFonts w:ascii="Times New Roman" w:hAnsi="Times New Roman" w:eastAsia="ＭＳ 明朝"/>
                <w:b w:val="0"/>
                <w:color w:val="000000"/>
                <w:sz w:val="16"/>
              </w:rPr>
              <w:t>428</w:t>
            </w:r>
          </w:p>
        </w:tc>
        <w:tc>
          <w:tcPr>
            <w:tcW w:type="dxa" w:w="1134"/>
          </w:tcPr>
          <w:p>
            <w:pPr>
              <w:spacing w:after="0"/>
              <w:ind w:firstLine="0" w:firstLineChars="0"/>
            </w:pPr>
            <w:r>
              <w:rPr>
                <w:rFonts w:ascii="Times New Roman" w:hAnsi="Times New Roman" w:eastAsia="ＭＳ 明朝"/>
                <w:b w:val="0"/>
                <w:color w:val="000000"/>
                <w:sz w:val="16"/>
              </w:rPr>
              <w:t>372,360</w:t>
            </w:r>
          </w:p>
        </w:tc>
      </w:tr>
      <w:tr>
        <w:trPr>
          <w:cantSplit/>
        </w:trPr>
        <w:tc>
          <w:tcPr>
            <w:tcW w:type="dxa" w:w="737"/>
          </w:tcPr>
          <w:p>
            <w:pPr>
              <w:spacing w:after="0"/>
              <w:ind w:firstLine="0" w:firstLineChars="0"/>
            </w:pPr>
            <w:r>
              <w:rPr>
                <w:rFonts w:ascii="Times New Roman" w:hAnsi="Times New Roman" w:eastAsia="ＭＳ 明朝"/>
                <w:b w:val="0"/>
                <w:color w:val="000000"/>
                <w:sz w:val="16"/>
              </w:rPr>
              <w:t>6841</w:t>
            </w:r>
          </w:p>
        </w:tc>
        <w:tc>
          <w:tcPr>
            <w:tcW w:type="dxa" w:w="1928"/>
          </w:tcPr>
          <w:p>
            <w:pPr>
              <w:spacing w:after="0"/>
              <w:ind w:firstLine="0" w:firstLineChars="0"/>
            </w:pPr>
            <w:r>
              <w:rPr>
                <w:rFonts w:ascii="Times New Roman" w:hAnsi="Times New Roman" w:eastAsia="ＭＳ 明朝"/>
                <w:b w:val="0"/>
                <w:color w:val="000000"/>
                <w:sz w:val="16"/>
              </w:rPr>
              <w:t>YOKOGAWA ELECTRI</w:t>
            </w:r>
          </w:p>
        </w:tc>
        <w:tc>
          <w:tcPr>
            <w:tcW w:type="dxa" w:w="1247"/>
          </w:tcPr>
          <w:p>
            <w:pPr>
              <w:spacing w:after="0"/>
              <w:ind w:firstLine="0" w:firstLineChars="0"/>
            </w:pPr>
            <w:r>
              <w:rPr>
                <w:rFonts w:ascii="Times New Roman" w:hAnsi="Times New Roman" w:eastAsia="ＭＳ 明朝"/>
                <w:b w:val="0"/>
                <w:color w:val="000000"/>
                <w:sz w:val="16"/>
              </w:rPr>
              <w:t>両立型</w:t>
            </w:r>
          </w:p>
        </w:tc>
        <w:tc>
          <w:tcPr>
            <w:tcW w:type="dxa" w:w="1247"/>
          </w:tcPr>
          <w:p>
            <w:pPr>
              <w:spacing w:after="0"/>
              <w:ind w:firstLine="0" w:firstLineChars="0"/>
            </w:pPr>
            <w:r>
              <w:rPr>
                <w:rFonts w:ascii="Times New Roman" w:hAnsi="Times New Roman" w:eastAsia="ＭＳ 明朝"/>
                <w:b w:val="0"/>
                <w:color w:val="000000"/>
                <w:sz w:val="16"/>
              </w:rPr>
              <w:t>factory_automation</w:t>
            </w:r>
          </w:p>
        </w:tc>
        <w:tc>
          <w:tcPr>
            <w:tcW w:type="dxa" w:w="737"/>
          </w:tcPr>
          <w:p>
            <w:pPr>
              <w:spacing w:after="0"/>
              <w:ind w:firstLine="0" w:firstLineChars="0"/>
            </w:pPr>
            <w:r>
              <w:rPr>
                <w:rFonts w:ascii="Times New Roman" w:hAnsi="Times New Roman" w:eastAsia="ＭＳ 明朝"/>
                <w:b w:val="0"/>
                <w:color w:val="000000"/>
                <w:sz w:val="16"/>
              </w:rPr>
              <w:t>4.55%</w:t>
            </w:r>
          </w:p>
        </w:tc>
        <w:tc>
          <w:tcPr>
            <w:tcW w:type="dxa" w:w="850"/>
          </w:tcPr>
          <w:p>
            <w:pPr>
              <w:spacing w:after="0"/>
              <w:ind w:firstLine="0" w:firstLineChars="0"/>
            </w:pPr>
            <w:r>
              <w:rPr>
                <w:rFonts w:ascii="Times New Roman" w:hAnsi="Times New Roman" w:eastAsia="ＭＳ 明朝"/>
                <w:b w:val="0"/>
                <w:color w:val="000000"/>
                <w:sz w:val="16"/>
              </w:rPr>
              <w:t>44</w:t>
            </w:r>
          </w:p>
        </w:tc>
        <w:tc>
          <w:tcPr>
            <w:tcW w:type="dxa" w:w="1134"/>
          </w:tcPr>
          <w:p>
            <w:pPr>
              <w:spacing w:after="0"/>
              <w:ind w:firstLine="0" w:firstLineChars="0"/>
            </w:pPr>
            <w:r>
              <w:rPr>
                <w:rFonts w:ascii="Times New Roman" w:hAnsi="Times New Roman" w:eastAsia="ＭＳ 明朝"/>
                <w:b w:val="0"/>
                <w:color w:val="000000"/>
                <w:sz w:val="16"/>
              </w:rPr>
              <w:t>223,388</w:t>
            </w:r>
          </w:p>
        </w:tc>
      </w:tr>
      <w:tr>
        <w:trPr>
          <w:cantSplit/>
        </w:trPr>
        <w:tc>
          <w:tcPr>
            <w:tcW w:type="dxa" w:w="737"/>
          </w:tcPr>
          <w:p>
            <w:pPr>
              <w:spacing w:after="0"/>
              <w:ind w:firstLine="0" w:firstLineChars="0"/>
            </w:pPr>
            <w:r>
              <w:rPr>
                <w:rFonts w:ascii="Times New Roman" w:hAnsi="Times New Roman" w:eastAsia="ＭＳ 明朝"/>
                <w:b w:val="0"/>
                <w:color w:val="000000"/>
                <w:sz w:val="16"/>
              </w:rPr>
              <w:t>3697</w:t>
            </w:r>
          </w:p>
        </w:tc>
        <w:tc>
          <w:tcPr>
            <w:tcW w:type="dxa" w:w="1928"/>
          </w:tcPr>
          <w:p>
            <w:pPr>
              <w:spacing w:after="0"/>
              <w:ind w:firstLine="0" w:firstLineChars="0"/>
            </w:pPr>
            <w:r>
              <w:rPr>
                <w:rFonts w:ascii="Times New Roman" w:hAnsi="Times New Roman" w:eastAsia="ＭＳ 明朝"/>
                <w:b w:val="0"/>
                <w:color w:val="000000"/>
                <w:sz w:val="16"/>
              </w:rPr>
              <w:t>SHIFT Inc.</w:t>
            </w:r>
          </w:p>
        </w:tc>
        <w:tc>
          <w:tcPr>
            <w:tcW w:type="dxa" w:w="1247"/>
          </w:tcPr>
          <w:p>
            <w:pPr>
              <w:spacing w:after="0"/>
              <w:ind w:firstLine="0" w:firstLineChars="0"/>
            </w:pPr>
            <w:r>
              <w:rPr>
                <w:rFonts w:ascii="Times New Roman" w:hAnsi="Times New Roman" w:eastAsia="ＭＳ 明朝"/>
                <w:b w:val="0"/>
                <w:color w:val="000000"/>
                <w:sz w:val="16"/>
              </w:rPr>
              <w:t>両立型</w:t>
            </w:r>
          </w:p>
        </w:tc>
        <w:tc>
          <w:tcPr>
            <w:tcW w:type="dxa" w:w="1247"/>
          </w:tcPr>
          <w:p>
            <w:pPr>
              <w:spacing w:after="0"/>
              <w:ind w:firstLine="0" w:firstLineChars="0"/>
            </w:pPr>
            <w:r>
              <w:rPr>
                <w:rFonts w:ascii="Times New Roman" w:hAnsi="Times New Roman" w:eastAsia="ＭＳ 明朝"/>
                <w:b w:val="0"/>
                <w:color w:val="000000"/>
                <w:sz w:val="16"/>
              </w:rPr>
              <w:t>quality_assurance</w:t>
            </w:r>
          </w:p>
        </w:tc>
        <w:tc>
          <w:tcPr>
            <w:tcW w:type="dxa" w:w="737"/>
          </w:tcPr>
          <w:p>
            <w:pPr>
              <w:spacing w:after="0"/>
              <w:ind w:firstLine="0" w:firstLineChars="0"/>
            </w:pPr>
            <w:r>
              <w:rPr>
                <w:rFonts w:ascii="Times New Roman" w:hAnsi="Times New Roman" w:eastAsia="ＭＳ 明朝"/>
                <w:b w:val="0"/>
                <w:color w:val="000000"/>
                <w:sz w:val="16"/>
              </w:rPr>
              <w:t>2.99%</w:t>
            </w:r>
          </w:p>
        </w:tc>
        <w:tc>
          <w:tcPr>
            <w:tcW w:type="dxa" w:w="850"/>
          </w:tcPr>
          <w:p>
            <w:pPr>
              <w:spacing w:after="0"/>
              <w:ind w:firstLine="0" w:firstLineChars="0"/>
            </w:pPr>
            <w:r>
              <w:rPr>
                <w:rFonts w:ascii="Times New Roman" w:hAnsi="Times New Roman" w:eastAsia="ＭＳ 明朝"/>
                <w:b w:val="0"/>
                <w:color w:val="000000"/>
                <w:sz w:val="16"/>
              </w:rPr>
              <w:t>205</w:t>
            </w:r>
          </w:p>
        </w:tc>
        <w:tc>
          <w:tcPr>
            <w:tcW w:type="dxa" w:w="1134"/>
          </w:tcPr>
          <w:p>
            <w:pPr>
              <w:spacing w:after="0"/>
              <w:ind w:firstLine="0" w:firstLineChars="0"/>
            </w:pPr>
            <w:r>
              <w:rPr>
                <w:rFonts w:ascii="Times New Roman" w:hAnsi="Times New Roman" w:eastAsia="ＭＳ 明朝"/>
                <w:b w:val="0"/>
                <w:color w:val="000000"/>
                <w:sz w:val="16"/>
              </w:rPr>
              <w:t>149,076</w:t>
            </w:r>
          </w:p>
        </w:tc>
      </w:tr>
      <w:tr>
        <w:trPr>
          <w:cantSplit/>
        </w:trPr>
        <w:tc>
          <w:tcPr>
            <w:tcW w:type="dxa" w:w="737"/>
          </w:tcPr>
          <w:p>
            <w:pPr>
              <w:spacing w:after="0"/>
              <w:ind w:firstLine="0" w:firstLineChars="0"/>
            </w:pPr>
            <w:r>
              <w:rPr>
                <w:rFonts w:ascii="Times New Roman" w:hAnsi="Times New Roman" w:eastAsia="ＭＳ 明朝"/>
                <w:b w:val="0"/>
                <w:color w:val="000000"/>
                <w:sz w:val="16"/>
              </w:rPr>
              <w:t>2112</w:t>
            </w:r>
          </w:p>
        </w:tc>
        <w:tc>
          <w:tcPr>
            <w:tcW w:type="dxa" w:w="1928"/>
          </w:tcPr>
          <w:p>
            <w:pPr>
              <w:spacing w:after="0"/>
              <w:ind w:firstLine="0" w:firstLineChars="0"/>
            </w:pPr>
            <w:r>
              <w:rPr>
                <w:rFonts w:ascii="Times New Roman" w:hAnsi="Times New Roman" w:eastAsia="ＭＳ 明朝"/>
                <w:b w:val="0"/>
                <w:color w:val="000000"/>
                <w:sz w:val="16"/>
              </w:rPr>
              <w:t>Ensuiko Sugar Re</w:t>
            </w:r>
          </w:p>
        </w:tc>
        <w:tc>
          <w:tcPr>
            <w:tcW w:type="dxa" w:w="1247"/>
          </w:tcPr>
          <w:p>
            <w:pPr>
              <w:spacing w:after="0"/>
              <w:ind w:firstLine="0" w:firstLineChars="0"/>
            </w:pPr>
            <w:r>
              <w:rPr>
                <w:rFonts w:ascii="Times New Roman" w:hAnsi="Times New Roman" w:eastAsia="ＭＳ 明朝"/>
                <w:b w:val="0"/>
                <w:color w:val="000000"/>
                <w:sz w:val="16"/>
              </w:rPr>
              <w:t>分散役</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6.40%</w:t>
            </w:r>
          </w:p>
        </w:tc>
        <w:tc>
          <w:tcPr>
            <w:tcW w:type="dxa" w:w="850"/>
          </w:tcPr>
          <w:p>
            <w:pPr>
              <w:spacing w:after="0"/>
              <w:ind w:firstLine="0" w:firstLineChars="0"/>
            </w:pPr>
            <w:r>
              <w:rPr>
                <w:rFonts w:ascii="Times New Roman" w:hAnsi="Times New Roman" w:eastAsia="ＭＳ 明朝"/>
                <w:b w:val="0"/>
                <w:color w:val="000000"/>
                <w:sz w:val="16"/>
              </w:rPr>
              <w:t>749</w:t>
            </w:r>
          </w:p>
        </w:tc>
        <w:tc>
          <w:tcPr>
            <w:tcW w:type="dxa" w:w="1134"/>
          </w:tcPr>
          <w:p>
            <w:pPr>
              <w:spacing w:after="0"/>
              <w:ind w:firstLine="0" w:firstLineChars="0"/>
            </w:pPr>
            <w:r>
              <w:rPr>
                <w:rFonts w:ascii="Times New Roman" w:hAnsi="Times New Roman" w:eastAsia="ＭＳ 明朝"/>
                <w:b w:val="0"/>
                <w:color w:val="000000"/>
                <w:sz w:val="16"/>
              </w:rPr>
              <w:t>319,823</w:t>
            </w:r>
          </w:p>
        </w:tc>
      </w:tr>
      <w:tr>
        <w:trPr>
          <w:cantSplit/>
        </w:trPr>
        <w:tc>
          <w:tcPr>
            <w:tcW w:type="dxa" w:w="737"/>
          </w:tcPr>
          <w:p>
            <w:pPr>
              <w:spacing w:after="0"/>
              <w:ind w:firstLine="0" w:firstLineChars="0"/>
            </w:pPr>
            <w:r>
              <w:rPr>
                <w:rFonts w:ascii="Times New Roman" w:hAnsi="Times New Roman" w:eastAsia="ＭＳ 明朝"/>
                <w:b w:val="0"/>
                <w:color w:val="000000"/>
                <w:sz w:val="16"/>
              </w:rPr>
              <w:t>3089</w:t>
            </w:r>
          </w:p>
        </w:tc>
        <w:tc>
          <w:tcPr>
            <w:tcW w:type="dxa" w:w="1928"/>
          </w:tcPr>
          <w:p>
            <w:pPr>
              <w:spacing w:after="0"/>
              <w:ind w:firstLine="0" w:firstLineChars="0"/>
            </w:pPr>
            <w:r>
              <w:rPr>
                <w:rFonts w:ascii="Times New Roman" w:hAnsi="Times New Roman" w:eastAsia="ＭＳ 明朝"/>
                <w:b w:val="0"/>
                <w:color w:val="000000"/>
                <w:sz w:val="16"/>
              </w:rPr>
              <w:t>Techno Alpha Co.</w:t>
            </w:r>
          </w:p>
        </w:tc>
        <w:tc>
          <w:tcPr>
            <w:tcW w:type="dxa" w:w="1247"/>
          </w:tcPr>
          <w:p>
            <w:pPr>
              <w:spacing w:after="0"/>
              <w:ind w:firstLine="0" w:firstLineChars="0"/>
            </w:pPr>
            <w:r>
              <w:rPr>
                <w:rFonts w:ascii="Times New Roman" w:hAnsi="Times New Roman" w:eastAsia="ＭＳ 明朝"/>
                <w:b w:val="0"/>
                <w:color w:val="000000"/>
                <w:sz w:val="16"/>
              </w:rPr>
              <w:t>分散役</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3.60%</w:t>
            </w:r>
          </w:p>
        </w:tc>
        <w:tc>
          <w:tcPr>
            <w:tcW w:type="dxa" w:w="850"/>
          </w:tcPr>
          <w:p>
            <w:pPr>
              <w:spacing w:after="0"/>
              <w:ind w:firstLine="0" w:firstLineChars="0"/>
            </w:pPr>
            <w:r>
              <w:rPr>
                <w:rFonts w:ascii="Times New Roman" w:hAnsi="Times New Roman" w:eastAsia="ＭＳ 明朝"/>
                <w:b w:val="0"/>
                <w:color w:val="000000"/>
                <w:sz w:val="16"/>
              </w:rPr>
              <w:t>143</w:t>
            </w:r>
          </w:p>
        </w:tc>
        <w:tc>
          <w:tcPr>
            <w:tcW w:type="dxa" w:w="1134"/>
          </w:tcPr>
          <w:p>
            <w:pPr>
              <w:spacing w:after="0"/>
              <w:ind w:firstLine="0" w:firstLineChars="0"/>
            </w:pPr>
            <w:r>
              <w:rPr>
                <w:rFonts w:ascii="Times New Roman" w:hAnsi="Times New Roman" w:eastAsia="ＭＳ 明朝"/>
                <w:b w:val="0"/>
                <w:color w:val="000000"/>
                <w:sz w:val="16"/>
              </w:rPr>
              <w:t>179,036</w:t>
            </w:r>
          </w:p>
        </w:tc>
      </w:tr>
    </w:tbl>
    <w:p>
      <w:pPr>
        <w:spacing w:after="80"/>
        <w:ind w:firstLine="0" w:firstLineChars="0"/>
      </w:pPr>
    </w:p>
    <w:p>
      <w:pPr/>
      <w:r>
        <w:rPr>
          <w:rFonts w:ascii="Times New Roman" w:hAnsi="Times New Roman" w:eastAsia="ＭＳ 明朝"/>
          <w:b w:val="0"/>
          <w:sz w:val="18"/>
        </w:rPr>
        <w:t>図表 Ⅲ-1　最終ポートフォリオ（配分案・単元未満株 L=1 基準）。出所：allocation_final.csv。</w:t>
      </w:r>
    </w:p>
    <w:p>
      <w:pPr>
        <w:pStyle w:val="Heading2"/>
      </w:pPr>
      <w:r>
        <w:rPr>
          <w:rFonts w:ascii="ＭＳ ゴシック" w:hAnsi="ＭＳ ゴシック" w:eastAsia="ＭＳ ゴシック"/>
          <w:b/>
          <w:color w:val="000000"/>
          <w:sz w:val="22"/>
        </w:rPr>
        <w:t>最終20社の紹介（記入テンプレート）</w:t>
      </w:r>
    </w:p>
    <w:p>
      <w:pPr/>
      <w:r>
        <w:rPr>
          <w:rFonts w:ascii="Times New Roman" w:hAnsi="Times New Roman" w:eastAsia="ＭＳ 明朝"/>
          <w:b w:val="0"/>
          <w:sz w:val="18"/>
        </w:rPr>
        <w:t>各社の事業概要・堀の根拠・採用理由・主なリスク・一次資料の出典は、提出者が各社IR・有価証券報告書に基づいて記入する（捏造を避け空欄とした）。左の定量値は正典データから自動記入済み。</w:t>
      </w:r>
    </w:p>
    <w:tbl>
      <w:tblPr>
        <w:tblStyle w:val="TableGrid"/>
        <w:tblW w:type="auto" w:w="0"/>
        <w:jc w:val="center"/>
        <w:tblLook w:firstColumn="1" w:firstRow="1" w:lastColumn="0" w:lastRow="0" w:noHBand="0" w:noVBand="1" w:val="04A0"/>
      </w:tblPr>
      <w:tblGrid>
        <w:gridCol w:w="2759"/>
        <w:gridCol w:w="2759"/>
        <w:gridCol w:w="2759"/>
      </w:tblGrid>
      <w:tr>
        <w:trPr>
          <w:cantSplit/>
        </w:trPr>
        <w:tc>
          <w:tcPr>
            <w:tcW w:type="dxa" w:w="2268"/>
            <w:shd w:val="clear" w:color="auto" w:fill="808080"/>
          </w:tcPr>
          <w:p>
            <w:pPr>
              <w:spacing w:after="0"/>
              <w:ind w:firstLine="0" w:firstLineChars="0"/>
            </w:pPr>
            <w:r>
              <w:rPr>
                <w:rFonts w:ascii="ＭＳ ゴシック" w:hAnsi="ＭＳ ゴシック" w:eastAsia="ＭＳ ゴシック"/>
                <w:b/>
                <w:color w:val="FFFFFF"/>
                <w:sz w:val="16"/>
              </w:rPr>
              <w:t>コード・企業名／業種</w:t>
            </w:r>
          </w:p>
        </w:tc>
        <w:tc>
          <w:tcPr>
            <w:tcW w:type="dxa" w:w="2268"/>
            <w:shd w:val="clear" w:color="auto" w:fill="808080"/>
          </w:tcPr>
          <w:p>
            <w:pPr>
              <w:spacing w:after="0"/>
              <w:ind w:firstLine="0" w:firstLineChars="0"/>
            </w:pPr>
            <w:r>
              <w:rPr>
                <w:rFonts w:ascii="ＭＳ ゴシック" w:hAnsi="ＭＳ ゴシック" w:eastAsia="ＭＳ ゴシック"/>
                <w:b/>
                <w:color w:val="FFFFFF"/>
                <w:sz w:val="16"/>
              </w:rPr>
              <w:t>役割・定量（自動）</w:t>
            </w:r>
          </w:p>
        </w:tc>
        <w:tc>
          <w:tcPr>
            <w:tcW w:type="dxa" w:w="3742"/>
            <w:shd w:val="clear" w:color="auto" w:fill="808080"/>
          </w:tcPr>
          <w:p>
            <w:pPr>
              <w:spacing w:after="0"/>
              <w:ind w:firstLine="0" w:firstLineChars="0"/>
            </w:pPr>
            <w:r>
              <w:rPr>
                <w:rFonts w:ascii="ＭＳ ゴシック" w:hAnsi="ＭＳ ゴシック" w:eastAsia="ＭＳ ゴシック"/>
                <w:b/>
                <w:color w:val="FFFFFF"/>
                <w:sz w:val="16"/>
              </w:rPr>
              <w:t>事業概要・堀の根拠・採用理由・リスク・出典（記入）</w:t>
            </w:r>
          </w:p>
        </w:tc>
      </w:tr>
      <w:tr>
        <w:trPr>
          <w:cantSplit/>
        </w:trPr>
        <w:tc>
          <w:tcPr>
            <w:tcW w:type="dxa" w:w="2268"/>
          </w:tcPr>
          <w:p>
            <w:pPr>
              <w:spacing w:after="0"/>
              <w:ind w:firstLine="0" w:firstLineChars="0"/>
            </w:pPr>
            <w:r>
              <w:rPr>
                <w:rFonts w:ascii="Times New Roman" w:hAnsi="Times New Roman" w:eastAsia="ＭＳ 明朝"/>
                <w:b w:val="0"/>
                <w:color w:val="000000"/>
                <w:sz w:val="16"/>
              </w:rPr>
              <w:t>9470 GAKKEN HOLDING／Information &amp; Communication</w:t>
            </w:r>
          </w:p>
        </w:tc>
        <w:tc>
          <w:tcPr>
            <w:tcW w:type="dxa" w:w="2268"/>
          </w:tcPr>
          <w:p>
            <w:pPr>
              <w:spacing w:after="0"/>
              <w:ind w:firstLine="0" w:firstLineChars="0"/>
            </w:pPr>
            <w:r>
              <w:rPr>
                <w:rFonts w:ascii="Times New Roman" w:hAnsi="Times New Roman" w:eastAsia="ＭＳ 明朝"/>
                <w:b w:val="0"/>
                <w:color w:val="000000"/>
                <w:sz w:val="16"/>
              </w:rPr>
              <w:t>役割=完成した堀／T73.4/E21.5/L3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3539 JM HOLDINGS CO／Retail Trade</w:t>
            </w:r>
          </w:p>
        </w:tc>
        <w:tc>
          <w:tcPr>
            <w:tcW w:type="dxa" w:w="2268"/>
          </w:tcPr>
          <w:p>
            <w:pPr>
              <w:spacing w:after="0"/>
              <w:ind w:firstLine="0" w:firstLineChars="0"/>
            </w:pPr>
            <w:r>
              <w:rPr>
                <w:rFonts w:ascii="Times New Roman" w:hAnsi="Times New Roman" w:eastAsia="ＭＳ 明朝"/>
                <w:b w:val="0"/>
                <w:color w:val="000000"/>
                <w:sz w:val="16"/>
              </w:rPr>
              <w:t>役割=完成した堀／T71.8/E18.6/L3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6430 DAIKOKU DENKI ／Machinery</w:t>
            </w:r>
          </w:p>
        </w:tc>
        <w:tc>
          <w:tcPr>
            <w:tcW w:type="dxa" w:w="2268"/>
          </w:tcPr>
          <w:p>
            <w:pPr>
              <w:spacing w:after="0"/>
              <w:ind w:firstLine="0" w:firstLineChars="0"/>
            </w:pPr>
            <w:r>
              <w:rPr>
                <w:rFonts w:ascii="Times New Roman" w:hAnsi="Times New Roman" w:eastAsia="ＭＳ 明朝"/>
                <w:b w:val="0"/>
                <w:color w:val="000000"/>
                <w:sz w:val="16"/>
              </w:rPr>
              <w:t>役割=完成した堀／T73.7/E18.9/L3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4350 MEDICAL SYSTEM／Retail Trade</w:t>
            </w:r>
          </w:p>
        </w:tc>
        <w:tc>
          <w:tcPr>
            <w:tcW w:type="dxa" w:w="2268"/>
          </w:tcPr>
          <w:p>
            <w:pPr>
              <w:spacing w:after="0"/>
              <w:ind w:firstLine="0" w:firstLineChars="0"/>
            </w:pPr>
            <w:r>
              <w:rPr>
                <w:rFonts w:ascii="Times New Roman" w:hAnsi="Times New Roman" w:eastAsia="ＭＳ 明朝"/>
                <w:b w:val="0"/>
                <w:color w:val="000000"/>
                <w:sz w:val="16"/>
              </w:rPr>
              <w:t>役割=完成した堀／T71.6/E22.0/L1</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7803 Bushiroad Inc.／Other Products</w:t>
            </w:r>
          </w:p>
        </w:tc>
        <w:tc>
          <w:tcPr>
            <w:tcW w:type="dxa" w:w="2268"/>
          </w:tcPr>
          <w:p>
            <w:pPr>
              <w:spacing w:after="0"/>
              <w:ind w:firstLine="0" w:firstLineChars="0"/>
            </w:pPr>
            <w:r>
              <w:rPr>
                <w:rFonts w:ascii="Times New Roman" w:hAnsi="Times New Roman" w:eastAsia="ＭＳ 明朝"/>
                <w:b w:val="0"/>
                <w:color w:val="000000"/>
                <w:sz w:val="16"/>
              </w:rPr>
              <w:t>役割=完成した堀／T76.5/E17.2/L3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5902 HOKKAN HOLDING／Metal Products</w:t>
            </w:r>
          </w:p>
        </w:tc>
        <w:tc>
          <w:tcPr>
            <w:tcW w:type="dxa" w:w="2268"/>
          </w:tcPr>
          <w:p>
            <w:pPr>
              <w:spacing w:after="0"/>
              <w:ind w:firstLine="0" w:firstLineChars="0"/>
            </w:pPr>
            <w:r>
              <w:rPr>
                <w:rFonts w:ascii="Times New Roman" w:hAnsi="Times New Roman" w:eastAsia="ＭＳ 明朝"/>
                <w:b w:val="0"/>
                <w:color w:val="000000"/>
                <w:sz w:val="16"/>
              </w:rPr>
              <w:t>役割=変わる堀／T82.0/E13.7/L3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9828 Genki Global D／Retail Trade</w:t>
            </w:r>
          </w:p>
        </w:tc>
        <w:tc>
          <w:tcPr>
            <w:tcW w:type="dxa" w:w="2268"/>
          </w:tcPr>
          <w:p>
            <w:pPr>
              <w:spacing w:after="0"/>
              <w:ind w:firstLine="0" w:firstLineChars="0"/>
            </w:pPr>
            <w:r>
              <w:rPr>
                <w:rFonts w:ascii="Times New Roman" w:hAnsi="Times New Roman" w:eastAsia="ＭＳ 明朝"/>
                <w:b w:val="0"/>
                <w:color w:val="000000"/>
                <w:sz w:val="16"/>
              </w:rPr>
              <w:t>役割=変わる堀／T80.3/E19.5/L3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8037 KAMEI CORPORAT／Wholesale Trade</w:t>
            </w:r>
          </w:p>
        </w:tc>
        <w:tc>
          <w:tcPr>
            <w:tcW w:type="dxa" w:w="2268"/>
          </w:tcPr>
          <w:p>
            <w:pPr>
              <w:spacing w:after="0"/>
              <w:ind w:firstLine="0" w:firstLineChars="0"/>
            </w:pPr>
            <w:r>
              <w:rPr>
                <w:rFonts w:ascii="Times New Roman" w:hAnsi="Times New Roman" w:eastAsia="ＭＳ 明朝"/>
                <w:b w:val="0"/>
                <w:color w:val="000000"/>
                <w:sz w:val="16"/>
              </w:rPr>
              <w:t>役割=変わる堀／T79.4/E16.4/L3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3863 Nippon Paper I／Pulp and Paper</w:t>
            </w:r>
          </w:p>
        </w:tc>
        <w:tc>
          <w:tcPr>
            <w:tcW w:type="dxa" w:w="2268"/>
          </w:tcPr>
          <w:p>
            <w:pPr>
              <w:spacing w:after="0"/>
              <w:ind w:firstLine="0" w:firstLineChars="0"/>
            </w:pPr>
            <w:r>
              <w:rPr>
                <w:rFonts w:ascii="Times New Roman" w:hAnsi="Times New Roman" w:eastAsia="ＭＳ 明朝"/>
                <w:b w:val="0"/>
                <w:color w:val="000000"/>
                <w:sz w:val="16"/>
              </w:rPr>
              <w:t>役割=変わる堀／T79.4/E14.4/L3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5233 TAIHEIYO CEMEN／Glass and Ceramics Products</w:t>
            </w:r>
          </w:p>
        </w:tc>
        <w:tc>
          <w:tcPr>
            <w:tcW w:type="dxa" w:w="2268"/>
          </w:tcPr>
          <w:p>
            <w:pPr>
              <w:spacing w:after="0"/>
              <w:ind w:firstLine="0" w:firstLineChars="0"/>
            </w:pPr>
            <w:r>
              <w:rPr>
                <w:rFonts w:ascii="Times New Roman" w:hAnsi="Times New Roman" w:eastAsia="ＭＳ 明朝"/>
                <w:b w:val="0"/>
                <w:color w:val="000000"/>
                <w:sz w:val="16"/>
              </w:rPr>
              <w:t>役割=変わる堀／T79.9/E16.2/L3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6368 ORGANO CORPORA／Machinery</w:t>
            </w:r>
          </w:p>
        </w:tc>
        <w:tc>
          <w:tcPr>
            <w:tcW w:type="dxa" w:w="2268"/>
          </w:tcPr>
          <w:p>
            <w:pPr>
              <w:spacing w:after="0"/>
              <w:ind w:firstLine="0" w:firstLineChars="0"/>
            </w:pPr>
            <w:r>
              <w:rPr>
                <w:rFonts w:ascii="Times New Roman" w:hAnsi="Times New Roman" w:eastAsia="ＭＳ 明朝"/>
                <w:b w:val="0"/>
                <w:color w:val="000000"/>
                <w:sz w:val="16"/>
              </w:rPr>
              <w:t>役割=生まれる堀／T66.9/E74.3/L3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6526 Socionext Inc.／Electric Appliances</w:t>
            </w:r>
          </w:p>
        </w:tc>
        <w:tc>
          <w:tcPr>
            <w:tcW w:type="dxa" w:w="2268"/>
          </w:tcPr>
          <w:p>
            <w:pPr>
              <w:spacing w:after="0"/>
              <w:ind w:firstLine="0" w:firstLineChars="0"/>
            </w:pPr>
            <w:r>
              <w:rPr>
                <w:rFonts w:ascii="Times New Roman" w:hAnsi="Times New Roman" w:eastAsia="ＭＳ 明朝"/>
                <w:b w:val="0"/>
                <w:color w:val="000000"/>
                <w:sz w:val="16"/>
              </w:rPr>
              <w:t>役割=生まれる堀／T73.1/E64.1/L2</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6920 Lasertec Corpo／Electric Appliances</w:t>
            </w:r>
          </w:p>
        </w:tc>
        <w:tc>
          <w:tcPr>
            <w:tcW w:type="dxa" w:w="2268"/>
          </w:tcPr>
          <w:p>
            <w:pPr>
              <w:spacing w:after="0"/>
              <w:ind w:firstLine="0" w:firstLineChars="0"/>
            </w:pPr>
            <w:r>
              <w:rPr>
                <w:rFonts w:ascii="Times New Roman" w:hAnsi="Times New Roman" w:eastAsia="ＭＳ 明朝"/>
                <w:b w:val="0"/>
                <w:color w:val="000000"/>
                <w:sz w:val="16"/>
              </w:rPr>
              <w:t>役割=生まれる堀／T66.3/E73.1/L2</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6315 TOWA CORPORATI／Machinery</w:t>
            </w:r>
          </w:p>
        </w:tc>
        <w:tc>
          <w:tcPr>
            <w:tcW w:type="dxa" w:w="2268"/>
          </w:tcPr>
          <w:p>
            <w:pPr>
              <w:spacing w:after="0"/>
              <w:ind w:firstLine="0" w:firstLineChars="0"/>
            </w:pPr>
            <w:r>
              <w:rPr>
                <w:rFonts w:ascii="Times New Roman" w:hAnsi="Times New Roman" w:eastAsia="ＭＳ 明朝"/>
                <w:b w:val="0"/>
                <w:color w:val="000000"/>
                <w:sz w:val="16"/>
              </w:rPr>
              <w:t>役割=生まれる堀／T55.3/E73.4/L3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5803 Fujikura Ltd.／Nonferrous Metals</w:t>
            </w:r>
          </w:p>
        </w:tc>
        <w:tc>
          <w:tcPr>
            <w:tcW w:type="dxa" w:w="2268"/>
          </w:tcPr>
          <w:p>
            <w:pPr>
              <w:spacing w:after="0"/>
              <w:ind w:firstLine="0" w:firstLineChars="0"/>
            </w:pPr>
            <w:r>
              <w:rPr>
                <w:rFonts w:ascii="Times New Roman" w:hAnsi="Times New Roman" w:eastAsia="ＭＳ 明朝"/>
                <w:b w:val="0"/>
                <w:color w:val="000000"/>
                <w:sz w:val="16"/>
              </w:rPr>
              <w:t>役割=生まれる堀／T64.7/E52.2/L2</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9474 ZENRIN CO.,LTD／Information &amp; Communication</w:t>
            </w:r>
          </w:p>
        </w:tc>
        <w:tc>
          <w:tcPr>
            <w:tcW w:type="dxa" w:w="2268"/>
          </w:tcPr>
          <w:p>
            <w:pPr>
              <w:spacing w:after="0"/>
              <w:ind w:firstLine="0" w:firstLineChars="0"/>
            </w:pPr>
            <w:r>
              <w:rPr>
                <w:rFonts w:ascii="Times New Roman" w:hAnsi="Times New Roman" w:eastAsia="ＭＳ 明朝"/>
                <w:b w:val="0"/>
                <w:color w:val="000000"/>
                <w:sz w:val="16"/>
              </w:rPr>
              <w:t>役割=両立型／T67.7/E77.5/L3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6841 YOKOGAWA ELECT／Electric Appliances</w:t>
            </w:r>
          </w:p>
        </w:tc>
        <w:tc>
          <w:tcPr>
            <w:tcW w:type="dxa" w:w="2268"/>
          </w:tcPr>
          <w:p>
            <w:pPr>
              <w:spacing w:after="0"/>
              <w:ind w:firstLine="0" w:firstLineChars="0"/>
            </w:pPr>
            <w:r>
              <w:rPr>
                <w:rFonts w:ascii="Times New Roman" w:hAnsi="Times New Roman" w:eastAsia="ＭＳ 明朝"/>
                <w:b w:val="0"/>
                <w:color w:val="000000"/>
                <w:sz w:val="16"/>
              </w:rPr>
              <w:t>役割=両立型／T72.8/E78.8/L3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3697 SHIFT Inc.／Information &amp; Communication</w:t>
            </w:r>
          </w:p>
        </w:tc>
        <w:tc>
          <w:tcPr>
            <w:tcW w:type="dxa" w:w="2268"/>
          </w:tcPr>
          <w:p>
            <w:pPr>
              <w:spacing w:after="0"/>
              <w:ind w:firstLine="0" w:firstLineChars="0"/>
            </w:pPr>
            <w:r>
              <w:rPr>
                <w:rFonts w:ascii="Times New Roman" w:hAnsi="Times New Roman" w:eastAsia="ＭＳ 明朝"/>
                <w:b w:val="0"/>
                <w:color w:val="000000"/>
                <w:sz w:val="16"/>
              </w:rPr>
              <w:t>役割=両立型／T61.2/E92.4/L2</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2112 Ensuiko Sugar ／Foods</w:t>
            </w:r>
          </w:p>
        </w:tc>
        <w:tc>
          <w:tcPr>
            <w:tcW w:type="dxa" w:w="2268"/>
          </w:tcPr>
          <w:p>
            <w:pPr>
              <w:spacing w:after="0"/>
              <w:ind w:firstLine="0" w:firstLineChars="0"/>
            </w:pPr>
            <w:r>
              <w:rPr>
                <w:rFonts w:ascii="Times New Roman" w:hAnsi="Times New Roman" w:eastAsia="ＭＳ 明朝"/>
                <w:b w:val="0"/>
                <w:color w:val="000000"/>
                <w:sz w:val="16"/>
              </w:rPr>
              <w:t>役割=分散役／T77.4/E10.1/L3</w:t>
            </w:r>
          </w:p>
        </w:tc>
        <w:tc>
          <w:tcPr>
            <w:tcW w:type="dxa" w:w="3742"/>
          </w:tcPr>
          <w:p>
            <w:pPr>
              <w:spacing w:after="0"/>
              <w:ind w:firstLine="0" w:firstLineChars="0"/>
            </w:pPr>
            <w:r>
              <w:rPr>
                <w:rFonts w:ascii="Times New Roman" w:hAnsi="Times New Roman" w:eastAsia="ＭＳ 明朝"/>
                <w:b w:val="0"/>
                <w:color w:val="000000"/>
                <w:sz w:val="16"/>
              </w:rPr>
              <w:t>（記入）</w:t>
            </w:r>
          </w:p>
        </w:tc>
      </w:tr>
      <w:tr>
        <w:trPr>
          <w:cantSplit/>
        </w:trPr>
        <w:tc>
          <w:tcPr>
            <w:tcW w:type="dxa" w:w="2268"/>
          </w:tcPr>
          <w:p>
            <w:pPr>
              <w:spacing w:after="0"/>
              <w:ind w:firstLine="0" w:firstLineChars="0"/>
            </w:pPr>
            <w:r>
              <w:rPr>
                <w:rFonts w:ascii="Times New Roman" w:hAnsi="Times New Roman" w:eastAsia="ＭＳ 明朝"/>
                <w:b w:val="0"/>
                <w:color w:val="000000"/>
                <w:sz w:val="16"/>
              </w:rPr>
              <w:t>3089 Techno Alpha C／Wholesale Trade</w:t>
            </w:r>
          </w:p>
        </w:tc>
        <w:tc>
          <w:tcPr>
            <w:tcW w:type="dxa" w:w="2268"/>
          </w:tcPr>
          <w:p>
            <w:pPr>
              <w:spacing w:after="0"/>
              <w:ind w:firstLine="0" w:firstLineChars="0"/>
            </w:pPr>
            <w:r>
              <w:rPr>
                <w:rFonts w:ascii="Times New Roman" w:hAnsi="Times New Roman" w:eastAsia="ＭＳ 明朝"/>
                <w:b w:val="0"/>
                <w:color w:val="000000"/>
                <w:sz w:val="16"/>
              </w:rPr>
              <w:t>役割=分散役／T78.7/E15.5/L3</w:t>
            </w:r>
          </w:p>
        </w:tc>
        <w:tc>
          <w:tcPr>
            <w:tcW w:type="dxa" w:w="3742"/>
          </w:tcPr>
          <w:p>
            <w:pPr>
              <w:spacing w:after="0"/>
              <w:ind w:firstLine="0" w:firstLineChars="0"/>
            </w:pPr>
            <w:r>
              <w:rPr>
                <w:rFonts w:ascii="Times New Roman" w:hAnsi="Times New Roman" w:eastAsia="ＭＳ 明朝"/>
                <w:b w:val="0"/>
                <w:color w:val="000000"/>
                <w:sz w:val="16"/>
              </w:rPr>
              <w:t>（記入）</w:t>
            </w:r>
          </w:p>
        </w:tc>
      </w:tr>
    </w:tbl>
    <w:p>
      <w:pPr>
        <w:spacing w:after="80"/>
        <w:ind w:firstLine="0" w:firstLineChars="0"/>
      </w:pPr>
    </w:p>
    <w:p>
      <w:pPr>
        <w:pStyle w:val="Heading1"/>
      </w:pPr>
      <w:r>
        <w:rPr>
          <w:rFonts w:ascii="ＭＳ ゴシック" w:hAnsi="ＭＳ ゴシック" w:eastAsia="ＭＳ ゴシック"/>
          <w:b/>
          <w:color w:val="000000"/>
          <w:sz w:val="24"/>
        </w:rPr>
        <w:t>Ⅳ．検証・アブレーション・限界</w:t>
      </w:r>
    </w:p>
    <w:p>
      <w:pPr>
        <w:pStyle w:val="Heading2"/>
      </w:pPr>
      <w:r>
        <w:rPr>
          <w:rFonts w:ascii="ＭＳ ゴシック" w:hAnsi="ＭＳ ゴシック" w:eastAsia="ＭＳ ゴシック"/>
          <w:b/>
          <w:color w:val="000000"/>
          <w:sz w:val="22"/>
        </w:rPr>
        <w:t>1．検証の位置づけ（in-sample・成績の主張ではない）</w:t>
      </w:r>
    </w:p>
    <w:p>
      <w:pPr/>
      <w:r>
        <w:rPr>
          <w:rFonts w:ascii="Times New Roman" w:hAnsi="Times New Roman" w:eastAsia="ＭＳ 明朝"/>
          <w:b w:val="0"/>
          <w:sz w:val="18"/>
        </w:rPr>
        <w:t>本ポートフォリオは 2026 年 6 月時点のデータで作ったため、過去をさかのぼった成績計算はすべて標本内（in-sample）である。したがって以下の数値は「過去データ上のリスクの姿」の確認であって、将来の成績や優位性の証明ではない。ベンチマークの 1306.T には未調整の株式分割があったため補正した（注1）。</w:t>
      </w:r>
    </w:p>
    <w:p>
      <w:pPr/>
      <w:r>
        <w:rPr>
          <w:rFonts w:ascii="Times New Roman" w:hAnsi="Times New Roman" w:eastAsia="ＭＳ 明朝"/>
          <w:b w:val="0"/>
          <w:sz w:val="18"/>
        </w:rPr>
        <w:t>3年（in-sample）の主な数値は、年率リターン +30.8%、リスク（年率変動）21.9%、最大下落 −24.9%、市場連動度ベータ 0.925、Sharpe 1.41、Jensen α +7.3%/年である。いずれも標本内の値であり、優位性の主張ではない。とくに直近1年のインフォメーション・レシオは −0.405（負）で、市場に負けている（式 5.4）。</w:t>
      </w:r>
    </w:p>
    <w:p>
      <w:pPr>
        <w:pStyle w:val="Heading4"/>
        <w:ind w:firstLine="0" w:firstLineChars="0"/>
      </w:pPr>
      <w:r>
        <w:rPr>
          <w:rFonts w:ascii="ＭＳ ゴシック" w:hAnsi="ＭＳ ゴシック" w:eastAsia="ＭＳ ゴシック"/>
          <w:b/>
          <w:color w:val="000000"/>
          <w:sz w:val="18"/>
        </w:rPr>
        <w:t>（5.1）Sharpe Ratio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過去データ上、負ったリスクの割にリターンは大きかったか。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超過リターンを価格変動の大きさ（リスク）で割った値。大きいほど「リスクの割に効率的」だったことを示す（Sharpe, 1966; 1994）。</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（5.1）Sharpe Ratio（とったリスクに見合うリターンだったか）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S</m:t>
                </m:r>
                <m:r>
                  <m:rPr>
                    <m:sty m:val="p"/>
                  </m:rPr>
                  <m:t>h</m:t>
                </m:r>
                <m:r>
                  <m:rPr>
                    <m:sty m:val="p"/>
                  </m:rPr>
                  <m:t>a</m:t>
                </m:r>
                <m:r>
                  <m:rPr>
                    <m:sty m:val="p"/>
                  </m:rPr>
                  <m:t>r</m:t>
                </m:r>
                <m:r>
                  <m:rPr>
                    <m:sty m:val="p"/>
                  </m:rPr>
                  <m:t>p</m:t>
                </m:r>
                <m:r>
                  <m:rPr>
                    <m:sty m:val="p"/>
                  </m:rPr>
                  <m:t>e</m:t>
                </m:r>
                <m:r>
                  <m:rPr>
                    <m:sty m:val="p"/>
                  </m:rPr>
                  <m:t>=</m:t>
                </m:r>
                <m:f>
                  <m:fPr>
                    <m:type m:val="bar"/>
                  </m:fPr>
                  <m:num>
                    <m:sSub>
                      <m:e>
                        <m:acc>
                          <m:accPr>
                            <m:chr m:val="‾"/>
                          </m:accPr>
                          <m:e>
                            <m:r>
                              <m:t>r</m:t>
                            </m:r>
                          </m:e>
                        </m:acc>
                      </m:e>
                      <m:sub>
                        <m:r>
                          <m:t>p</m:t>
                        </m:r>
                      </m:sub>
                    </m:sSub>
                    <m:r>
                      <m:rPr>
                        <m:sty m:val="p"/>
                      </m:rPr>
                      <m:t>−</m:t>
                    </m:r>
                    <m:sSub>
                      <m:e>
                        <m:r>
                          <m:t>r</m:t>
                        </m:r>
                      </m:e>
                      <m:sub>
                        <m:r>
                          <m:t>f</m:t>
                        </m:r>
                      </m:sub>
                    </m:sSub>
                  </m:num>
                  <m:den>
                    <m:sSub>
                      <m:e>
                        <m:r>
                          <m:t>σ</m:t>
                        </m:r>
                      </m:e>
                      <m:sub>
                        <m:r>
                          <m:t>p</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Sharpe＝シャープ比　r̄_p＝年率リターン　r_f＝無リスク金利　σ_p＝リスク</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銘柄選定には一切使っていない。過去データ上のリスク特性を確認するためだけに計算した。</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過去データ上は効率的なリスク・リターンだった、という事実の記述。</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全期間が標本内（in-sample）。将来の成果を証明するものではない。</w:t>
      </w:r>
    </w:p>
    <w:p>
      <w:pPr>
        <w:pStyle w:val="Heading4"/>
        <w:ind w:firstLine="0" w:firstLineChars="0"/>
      </w:pPr>
      <w:r>
        <w:rPr>
          <w:rFonts w:ascii="ＭＳ ゴシック" w:hAnsi="ＭＳ ゴシック" w:eastAsia="ＭＳ ゴシック"/>
          <w:b/>
          <w:color w:val="000000"/>
          <w:sz w:val="18"/>
        </w:rPr>
        <w:t>（5.2）最大ドローダウン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過去データ上、山（最高値）からどれだけ大きく下落したか。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累積価値がピークから最も下がったときの下落率。下方リスク（最悪の落ち込み）の目安。</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（5.2）最大ドローダウン（最悪期にどれだけ下がったか）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M</m:t>
                </m:r>
                <m:r>
                  <m:rPr>
                    <m:sty m:val="p"/>
                  </m:rPr>
                  <m:t>D</m:t>
                </m:r>
                <m:r>
                  <m:rPr>
                    <m:sty m:val="p"/>
                  </m:rPr>
                  <m:t>D</m:t>
                </m:r>
                <m:r>
                  <m:rPr>
                    <m:sty m:val="p"/>
                  </m:rPr>
                  <m:t>=</m:t>
                </m:r>
                <m:limLow>
                  <m:e>
                    <m:r>
                      <m:rPr>
                        <m:sty m:val="p"/>
                      </m:rPr>
                      <m:t>min</m:t>
                    </m:r>
                  </m:e>
                  <m:lim>
                    <m:r>
                      <m:t>t</m:t>
                    </m:r>
                  </m:lim>
                </m:limLow>
                <m:d>
                  <m:dPr>
                    <m:begChr m:val="("/>
                    <m:sepChr m:val=""/>
                    <m:endChr m:val=")"/>
                    <m:grow/>
                  </m:dPr>
                  <m:e>
                    <m:f>
                      <m:fPr>
                        <m:type m:val="bar"/>
                      </m:fPr>
                      <m:num>
                        <m:sSub>
                          <m:e>
                            <m:r>
                              <m:t>C</m:t>
                            </m:r>
                          </m:e>
                          <m:sub>
                            <m:r>
                              <m:t>t</m:t>
                            </m:r>
                          </m:sub>
                        </m:sSub>
                      </m:num>
                      <m:den>
                        <m:limLow>
                          <m:e>
                            <m:r>
                              <m:rPr>
                                <m:sty m:val="p"/>
                              </m:rPr>
                              <m:t>max</m:t>
                            </m:r>
                          </m:e>
                          <m:lim>
                            <m:r>
                              <m:t>s</m:t>
                            </m:r>
                            <m:r>
                              <m:rPr>
                                <m:sty m:val="p"/>
                              </m:rPr>
                              <m:t>≤</m:t>
                            </m:r>
                            <m:r>
                              <m:t>t</m:t>
                            </m:r>
                          </m:lim>
                        </m:limLow>
                        <m:sSub>
                          <m:e>
                            <m:r>
                              <m:t>C</m:t>
                            </m:r>
                          </m:e>
                          <m:sub>
                            <m:r>
                              <m:t>s</m:t>
                            </m:r>
                          </m:sub>
                        </m:sSub>
                      </m:den>
                    </m:f>
                    <m:r>
                      <m:rPr>
                        <m:sty m:val="p"/>
                      </m:rPr>
                      <m:t>−</m:t>
                    </m:r>
                    <m:r>
                      <m:t>1</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MDD＝最大ドローダウン　C_t＝累積価値</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銘柄選定には未使用。下方リスクの参考として計算。</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最悪期の落ち込みが市場並みで、極端にリスクを取っていないことの確認。</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標本内の一期間の値。将来の最大下落を上回らない保証はない。</w:t>
      </w:r>
    </w:p>
    <w:p>
      <w:pPr>
        <w:pStyle w:val="Heading4"/>
        <w:ind w:firstLine="0" w:firstLineChars="0"/>
      </w:pPr>
      <w:r>
        <w:rPr>
          <w:rFonts w:ascii="ＭＳ ゴシック" w:hAnsi="ＭＳ ゴシック" w:eastAsia="ＭＳ ゴシック"/>
          <w:b/>
          <w:color w:val="000000"/>
          <w:sz w:val="18"/>
        </w:rPr>
        <w:t>（5.3）Jensen のアルファ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市場全体の動きで説明できない「上乗せリターン」は過去データ上あったか。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市場感応度（ベータ）で説明される分を差し引いた超過リターン。プラスなら市場変動だけでは説明できない上乗せがあったことを示す（Jensen, 1968）。</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（5.3）Jensen のアルファ（市場変動で説明できない上乗せ分）</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α</m:t>
                    </m:r>
                  </m:e>
                  <m:sub>
                    <m:r>
                      <m:t>p</m:t>
                    </m:r>
                  </m:sub>
                </m:sSub>
                <m:r>
                  <m:rPr>
                    <m:sty m:val="p"/>
                  </m:rPr>
                  <m:t>=</m:t>
                </m:r>
                <m:sSub>
                  <m:e>
                    <m:acc>
                      <m:accPr>
                        <m:chr m:val="‾"/>
                      </m:accPr>
                      <m:e>
                        <m:r>
                          <m:t>r</m:t>
                        </m:r>
                      </m:e>
                    </m:acc>
                  </m:e>
                  <m:sub>
                    <m:r>
                      <m:t>p</m:t>
                    </m:r>
                  </m:sub>
                </m:sSub>
                <m:r>
                  <m:rPr>
                    <m:sty m:val="p"/>
                  </m:rPr>
                  <m:t>−</m:t>
                </m:r>
                <m:sSub>
                  <m:e>
                    <m:r>
                      <m:t>β</m:t>
                    </m:r>
                  </m:e>
                  <m:sub>
                    <m:r>
                      <m:t>p</m:t>
                    </m:r>
                  </m:sub>
                </m:sSub>
                <m:r>
                  <m:t> </m:t>
                </m:r>
                <m:sSub>
                  <m:e>
                    <m:acc>
                      <m:accPr>
                        <m:chr m:val="‾"/>
                      </m:accPr>
                      <m:e>
                        <m:r>
                          <m:t>r</m:t>
                        </m:r>
                      </m:e>
                    </m:acc>
                  </m:e>
                  <m:sub>
                    <m:r>
                      <m:t>m</m:t>
                    </m:r>
                  </m:sub>
                </m:sSub>
                <m:r>
                  <m:rPr>
                    <m:sty m:val="p"/>
                  </m:rPr>
                  <m:t>,</m:t>
                </m:r>
                <m:r>
                  <m:t>  </m:t>
                </m:r>
                <m:sSub>
                  <m:e>
                    <m:r>
                      <m:t>β</m:t>
                    </m:r>
                  </m:e>
                  <m:sub>
                    <m:r>
                      <m:t>p</m:t>
                    </m:r>
                  </m:sub>
                </m:sSub>
                <m:r>
                  <m:rPr>
                    <m:sty m:val="p"/>
                  </m:rPr>
                  <m:t>=</m:t>
                </m:r>
                <m:f>
                  <m:fPr>
                    <m:type m:val="bar"/>
                  </m:fPr>
                  <m:num>
                    <m:r>
                      <m:rPr>
                        <m:sty m:val="p"/>
                      </m:rPr>
                      <m:t>C</m:t>
                    </m:r>
                    <m:r>
                      <m:rPr>
                        <m:sty m:val="p"/>
                      </m:rPr>
                      <m:t>o</m:t>
                    </m:r>
                    <m:r>
                      <m:rPr>
                        <m:sty m:val="p"/>
                      </m:rPr>
                      <m:t>v</m:t>
                    </m:r>
                    <m:r>
                      <m:rPr>
                        <m:sty m:val="p"/>
                      </m:rPr>
                      <m:t>(</m:t>
                    </m:r>
                    <m:sSub>
                      <m:e>
                        <m:r>
                          <m:t>r</m:t>
                        </m:r>
                      </m:e>
                      <m:sub>
                        <m:r>
                          <m:t>p</m:t>
                        </m:r>
                      </m:sub>
                    </m:sSub>
                    <m:r>
                      <m:rPr>
                        <m:sty m:val="p"/>
                      </m:rPr>
                      <m:t>,</m:t>
                    </m:r>
                    <m:sSub>
                      <m:e>
                        <m:r>
                          <m:t>r</m:t>
                        </m:r>
                      </m:e>
                      <m:sub>
                        <m:r>
                          <m:t>m</m:t>
                        </m:r>
                      </m:sub>
                    </m:sSub>
                    <m:r>
                      <m:rPr>
                        <m:sty m:val="p"/>
                      </m:rPr>
                      <m:t>)</m:t>
                    </m:r>
                  </m:num>
                  <m:den>
                    <m:r>
                      <m:rPr>
                        <m:sty m:val="p"/>
                      </m:rPr>
                      <m:t>V</m:t>
                    </m:r>
                    <m:r>
                      <m:rPr>
                        <m:sty m:val="p"/>
                      </m:rPr>
                      <m:t>a</m:t>
                    </m:r>
                    <m:r>
                      <m:rPr>
                        <m:sty m:val="p"/>
                      </m:rPr>
                      <m:t>r</m:t>
                    </m:r>
                    <m:r>
                      <m:rPr>
                        <m:sty m:val="p"/>
                      </m:rPr>
                      <m:t>(</m:t>
                    </m:r>
                    <m:sSub>
                      <m:e>
                        <m:r>
                          <m:t>r</m:t>
                        </m:r>
                      </m:e>
                      <m:sub>
                        <m:r>
                          <m:t>m</m:t>
                        </m:r>
                      </m:sub>
                    </m:sSub>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α_p＝アルファ　β_p＝ベータ　r_m＝市場リターン</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銘柄選定には未使用。in-sample の特性確認のみ。</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過去データ上は市場変動で説明できない上乗せがあった、という記述。</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標本内であり、将来のアルファを約束しない。</w:t>
      </w:r>
    </w:p>
    <w:p>
      <w:pPr>
        <w:pStyle w:val="Heading4"/>
        <w:ind w:firstLine="0" w:firstLineChars="0"/>
      </w:pPr>
      <w:r>
        <w:rPr>
          <w:rFonts w:ascii="ＭＳ ゴシック" w:hAnsi="ＭＳ ゴシック" w:eastAsia="ＭＳ ゴシック"/>
          <w:b/>
          <w:color w:val="000000"/>
          <w:sz w:val="18"/>
        </w:rPr>
        <w:t>（5.4）インフォメーション・レシオ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市場（ベンチマーク）に対する超過リターンは、安定して出ていたか。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ベンチマークに対する超過リターンを、その超過のブレ（トラッキングエラー）で割った値。プラスで大きいほど安定して勝っていたことを示す。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（5.4）インフォメーション・レシオ（市場に対する超過の安定度）</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I</m:t>
                </m:r>
                <m:r>
                  <m:rPr>
                    <m:sty m:val="p"/>
                  </m:rPr>
                  <m:t>R</m:t>
                </m:r>
                <m:r>
                  <m:rPr>
                    <m:sty m:val="p"/>
                  </m:rPr>
                  <m:t>=</m:t>
                </m:r>
                <m:f>
                  <m:fPr>
                    <m:type m:val="bar"/>
                  </m:fPr>
                  <m:num>
                    <m:sSub>
                      <m:e>
                        <m:acc>
                          <m:accPr>
                            <m:chr m:val="‾"/>
                          </m:accPr>
                          <m:e>
                            <m:r>
                              <m:t>r</m:t>
                            </m:r>
                          </m:e>
                        </m:acc>
                      </m:e>
                      <m:sub>
                        <m:r>
                          <m:t>p</m:t>
                        </m:r>
                      </m:sub>
                    </m:sSub>
                    <m:r>
                      <m:rPr>
                        <m:sty m:val="p"/>
                      </m:rPr>
                      <m:t>−</m:t>
                    </m:r>
                    <m:sSub>
                      <m:e>
                        <m:acc>
                          <m:accPr>
                            <m:chr m:val="‾"/>
                          </m:accPr>
                          <m:e>
                            <m:r>
                              <m:t>r</m:t>
                            </m:r>
                          </m:e>
                        </m:acc>
                      </m:e>
                      <m:sub>
                        <m:r>
                          <m:t>b</m:t>
                        </m:r>
                      </m:sub>
                    </m:sSub>
                  </m:num>
                  <m:den>
                    <m:sSub>
                      <m:e>
                        <m:r>
                          <m:t>σ</m:t>
                        </m:r>
                      </m:e>
                      <m:sub>
                        <m:r>
                          <m:t>p</m:t>
                        </m:r>
                        <m:r>
                          <m:rPr>
                            <m:sty m:val="p"/>
                          </m:rPr>
                          <m:t>−</m:t>
                        </m:r>
                        <m:r>
                          <m:t>b</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IR＝情報比　r̄_b＝ベンチマーク　σ_{p-b}＝トラッキングエラー</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銘柄選定には未使用。直近1年で負であることを主要リスクとして本文に明記する根拠。</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期間により符号が変わる（3年は正・1年は負）。優位性は主張できない。</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標本内。直近1年が負である事実は、本研究が超過収益を主張しないことの直接的な根拠。</w:t>
      </w:r>
    </w:p>
    <w:p>
      <w:pPr>
        <w:pStyle w:val="Heading4"/>
        <w:ind w:firstLine="0" w:firstLineChars="0"/>
      </w:pPr>
      <w:r>
        <w:rPr>
          <w:rFonts w:ascii="ＭＳ ゴシック" w:hAnsi="ＭＳ ゴシック" w:eastAsia="ＭＳ ゴシック"/>
          <w:b/>
          <w:color w:val="000000"/>
          <w:sz w:val="18"/>
        </w:rPr>
        <w:t>（5.5）集中度指数 HHI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ポートフォリオは、特定の銘柄・業種・テーマに偏りすぎていないか。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各グループの比率を2乗して合計した値。大きいほど一部に集中していることを示す。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（5.5）集中度指数 HHI（一部に偏っていないか）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H</m:t>
                </m:r>
                <m:r>
                  <m:rPr>
                    <m:sty m:val="p"/>
                  </m:rPr>
                  <m:t>H</m:t>
                </m:r>
                <m:r>
                  <m:rPr>
                    <m:sty m:val="p"/>
                  </m:rPr>
                  <m:t>I</m:t>
                </m:r>
                <m:r>
                  <m:rPr>
                    <m:sty m:val="p"/>
                  </m:rPr>
                  <m:t>=</m:t>
                </m:r>
                <m:nary>
                  <m:naryPr>
                    <m:chr m:val="∑"/>
                    <m:limLoc m:val="undOvr"/>
                    <m:subHide m:val="off"/>
                    <m:supHide m:val="on"/>
                  </m:naryPr>
                  <m:sub>
                    <m:r>
                      <m:t>g</m:t>
                    </m:r>
                  </m:sub>
                  <m:sup>
                    <m:r>
                      <m:t>​</m:t>
                    </m:r>
                  </m:sup>
                  <m:e>
                    <m:sSup>
                      <m:e>
                        <m:d>
                          <m:dPr>
                            <m:begChr m:val="("/>
                            <m:sepChr m:val=""/>
                            <m:endChr m:val=")"/>
                            <m:grow/>
                          </m:dPr>
                          <m:e>
                            <m:nary>
                              <m:naryPr>
                                <m:chr m:val="∑"/>
                                <m:limLoc m:val="undOvr"/>
                                <m:subHide m:val="off"/>
                                <m:supHide m:val="on"/>
                              </m:naryPr>
                              <m:sub>
                                <m:r>
                                  <m:t>i</m:t>
                                </m:r>
                                <m:r>
                                  <m:rPr>
                                    <m:sty m:val="p"/>
                                  </m:rPr>
                                  <m:t>∈</m:t>
                                </m:r>
                                <m:r>
                                  <m:t>g</m:t>
                                </m:r>
                              </m:sub>
                              <m:sup>
                                <m:r>
                                  <m:t>​</m:t>
                                </m:r>
                              </m:sup>
                              <m:e>
                                <m:sSub>
                                  <m:e>
                                    <m:r>
                                      <m:t>ω</m:t>
                                    </m:r>
                                  </m:e>
                                  <m:sub>
                                    <m:r>
                                      <m:t>i</m:t>
                                    </m:r>
                                  </m:sub>
                                </m:sSub>
                              </m:e>
                            </m:nary>
                          </m:e>
                        </m:d>
                      </m:e>
                      <m:sup>
                        <m:r>
                          <m:t>2</m:t>
                        </m:r>
                      </m:sup>
                    </m:sSup>
                  </m:e>
                </m:nary>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HHI＝集中度　g＝グループ　ω_i＝比率</w:t>
            </w:r>
          </w:p>
        </w:tc>
      </w:tr>
    </w:tbl>
    <w:p>
      <w:pPr>
        <w:spacing w:after="40"/>
        <w:ind w:firstLine="0" w:firstLineChars="0"/>
      </w:pP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銘柄選定には未使用。分散の度合いを確認し、テーマ集中をリスクとして開示する。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銘柄・業種は分散しているが、テーマ（AI基盤など）はやや集中している、という事実。</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集中度の数値だけでは、その集中が良いか悪いかは判断できない（リスク開示の材料）。</w:t>
      </w:r>
    </w:p>
    <w:p>
      <w:pPr>
        <w:keepNext/>
        <w:spacing w:before="120" w:after="40"/>
        <w:ind w:firstLine="0" w:firstLineChars="0"/>
      </w:pPr>
      <w:r>
        <w:rPr>
          <w:rFonts w:ascii="ＭＳ ゴシック" w:hAnsi="ＭＳ ゴシック" w:eastAsia="ＭＳ ゴシック"/>
          <w:b/>
          <w:color w:val="000000"/>
          <w:sz w:val="18"/>
        </w:rPr>
        <w:t>図表 Ⅳ-1　ドローダウン（3年・in-sample）</w:t>
      </w:r>
    </w:p>
    <w:p>
      <w:pPr>
        <w:jc w:val="center"/>
        <w:keepNext/>
        <w:ind w:firstLine="0" w:firstLineChars="0"/>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drawdown_chart.png"/>
                    <pic:cNvPicPr/>
                  </pic:nvPicPr>
                  <pic:blipFill>
                    <a:blip r:embed="rId12"/>
                    <a:stretch>
                      <a:fillRect/>
                    </a:stretch>
                  </pic:blipFill>
                  <pic:spPr>
                    <a:xfrm>
                      <a:off x="0" y="0"/>
                      <a:ext cx="5040000" cy="3780000"/>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注：リスク特性の確認であり成績の主張ではない。1306.T は分割補正済み。出所：phase5_validation_summary.json。</w:t>
      </w:r>
    </w:p>
    <w:p>
      <w:pPr>
        <w:pStyle w:val="Heading2"/>
      </w:pPr>
      <w:r>
        <w:rPr>
          <w:rFonts w:ascii="ＭＳ ゴシック" w:hAnsi="ＭＳ ゴシック" w:eastAsia="ＭＳ ゴシック"/>
          <w:b/>
          <w:color w:val="000000"/>
          <w:sz w:val="22"/>
        </w:rPr>
        <w:t>2．主要なリスクと限界</w:t>
      </w:r>
    </w:p>
    <w:p>
      <w:pPr/>
      <w:r>
        <w:rPr>
          <w:rFonts w:ascii="Times New Roman" w:hAnsi="Times New Roman" w:eastAsia="ＭＳ 明朝"/>
          <w:b w:val="0"/>
          <w:sz w:val="18"/>
        </w:rPr>
        <w:t>本研究の主なリスクと限界は次の通りである。①将来の堀（Emerging Core）への寄与集中、②AIテーマの過熱（テーマ集中 HHI 0.402）、③変わる堀の割安のワナ、④開示不足による過小・過大評価（Emergingの証拠 Level 2 以上は14社の手作業精査に依存）、⑤流動性・小型株リスク、⑥業種集中、⑦単元株の丸めによる歪み（実単元では9社買えず、単元未満株が前提）、⑧標本内評価の限界（直近1年の超過は負）、⑨独自合成式の恣意性（重みは設計値で、±20%動かしても選定は不変）。これらはすべて本文に明記し、過大な主張を避けた。</w:t>
      </w:r>
    </w:p>
    <w:p>
      <w:pPr>
        <w:pStyle w:val="Heading1"/>
      </w:pPr>
      <w:r>
        <w:rPr>
          <w:rFonts w:ascii="ＭＳ ゴシック" w:hAnsi="ＭＳ ゴシック" w:eastAsia="ＭＳ ゴシック"/>
          <w:b/>
          <w:color w:val="000000"/>
          <w:sz w:val="24"/>
        </w:rPr>
        <w:t>Ⅴ．一次情報と学び</w:t>
      </w:r>
    </w:p>
    <w:p>
      <w:pPr>
        <w:pStyle w:val="Heading2"/>
      </w:pPr>
      <w:r>
        <w:rPr>
          <w:rFonts w:ascii="ＭＳ ゴシック" w:hAnsi="ＭＳ ゴシック" w:eastAsia="ＭＳ ゴシック"/>
          <w:b/>
          <w:color w:val="000000"/>
          <w:sz w:val="22"/>
        </w:rPr>
        <w:t>1．企業・専門家インタビュー（記入欄）</w:t>
      </w:r>
    </w:p>
    <w:p>
      <w:pPr/>
      <w:r>
        <w:rPr>
          <w:rFonts w:ascii="Times New Roman" w:hAnsi="Times New Roman" w:eastAsia="ＭＳ 明朝"/>
          <w:b w:val="0"/>
          <w:sz w:val="18"/>
        </w:rPr>
        <w:t>選定が実態を反映しているかを確かめるため、投資対象企業へのインタビュー・アンケートを行う。未実施の回答は捏造しない。以下は記入欄である。</w:t>
      </w:r>
    </w:p>
    <w:p>
      <w:pPr>
        <w:spacing w:after="20"/>
        <w:ind w:firstLine="0" w:firstLineChars="0"/>
      </w:pPr>
      <w:r>
        <w:rPr>
          <w:rFonts w:ascii="Times New Roman" w:hAnsi="Times New Roman" w:eastAsia="ＭＳ 明朝"/>
          <w:b w:val="0"/>
          <w:sz w:val="18"/>
        </w:rPr>
        <w:t>・対象者（企業名・部署・役職）：［記入］</w:t>
      </w:r>
    </w:p>
    <w:p>
      <w:pPr>
        <w:spacing w:after="20"/>
        <w:ind w:firstLine="0" w:firstLineChars="0"/>
      </w:pPr>
      <w:r>
        <w:rPr>
          <w:rFonts w:ascii="Times New Roman" w:hAnsi="Times New Roman" w:eastAsia="ＭＳ 明朝"/>
          <w:b w:val="0"/>
          <w:sz w:val="18"/>
        </w:rPr>
        <w:t>・実施日・実施方法：［記入］</w:t>
      </w:r>
    </w:p>
    <w:p>
      <w:pPr>
        <w:spacing w:after="20"/>
        <w:ind w:firstLine="0" w:firstLineChars="0"/>
      </w:pPr>
      <w:r>
        <w:rPr>
          <w:rFonts w:ascii="Times New Roman" w:hAnsi="Times New Roman" w:eastAsia="ＭＳ 明朝"/>
          <w:b w:val="0"/>
          <w:sz w:val="18"/>
        </w:rPr>
        <w:t>・質問①〜③：［記入］</w:t>
      </w:r>
    </w:p>
    <w:p>
      <w:pPr>
        <w:spacing w:after="20"/>
        <w:ind w:firstLine="0" w:firstLineChars="0"/>
      </w:pPr>
      <w:r>
        <w:rPr>
          <w:rFonts w:ascii="Times New Roman" w:hAnsi="Times New Roman" w:eastAsia="ＭＳ 明朝"/>
          <w:b w:val="0"/>
          <w:sz w:val="18"/>
        </w:rPr>
        <w:t>・回答①〜③：［記入］</w:t>
      </w:r>
    </w:p>
    <w:p>
      <w:pPr>
        <w:spacing w:after="20"/>
        <w:ind w:firstLine="0" w:firstLineChars="0"/>
      </w:pPr>
      <w:r>
        <w:rPr>
          <w:rFonts w:ascii="Times New Roman" w:hAnsi="Times New Roman" w:eastAsia="ＭＳ 明朝"/>
          <w:b w:val="0"/>
          <w:sz w:val="18"/>
        </w:rPr>
        <w:t>・分析への反映：［記入］</w:t>
      </w:r>
    </w:p>
    <w:p>
      <w:pPr>
        <w:pStyle w:val="Heading2"/>
      </w:pPr>
      <w:r>
        <w:rPr>
          <w:rFonts w:ascii="ＭＳ ゴシック" w:hAnsi="ＭＳ ゴシック" w:eastAsia="ＭＳ ゴシック"/>
          <w:b/>
          <w:color w:val="000000"/>
          <w:sz w:val="22"/>
        </w:rPr>
        <w:t>2．研究を通じた学びと振り返り（記入欄）</w:t>
      </w:r>
    </w:p>
    <w:p>
      <w:pPr>
        <w:spacing w:after="20"/>
        <w:ind w:firstLine="0" w:firstLineChars="0"/>
      </w:pPr>
      <w:r>
        <w:rPr>
          <w:rFonts w:ascii="Times New Roman" w:hAnsi="Times New Roman" w:eastAsia="ＭＳ 明朝"/>
          <w:b w:val="0"/>
          <w:sz w:val="18"/>
        </w:rPr>
        <w:t>・仮説が変化した点：［記入］</w:t>
      </w:r>
    </w:p>
    <w:p>
      <w:pPr>
        <w:spacing w:after="20"/>
        <w:ind w:firstLine="0" w:firstLineChars="0"/>
      </w:pPr>
      <w:r>
        <w:rPr>
          <w:rFonts w:ascii="Times New Roman" w:hAnsi="Times New Roman" w:eastAsia="ＭＳ 明朝"/>
          <w:b w:val="0"/>
          <w:sz w:val="18"/>
        </w:rPr>
        <w:t>・分析で失敗した点・工夫した点：［記入］</w:t>
      </w:r>
    </w:p>
    <w:p>
      <w:pPr>
        <w:spacing w:after="20"/>
        <w:ind w:firstLine="0" w:firstLineChars="0"/>
      </w:pPr>
      <w:r>
        <w:rPr>
          <w:rFonts w:ascii="Times New Roman" w:hAnsi="Times New Roman" w:eastAsia="ＭＳ 明朝"/>
          <w:b w:val="0"/>
          <w:sz w:val="18"/>
        </w:rPr>
        <w:t>・チームで学んだ点：［記入］</w:t>
      </w:r>
    </w:p>
    <w:p>
      <w:pPr>
        <w:spacing w:after="20"/>
        <w:ind w:firstLine="0" w:firstLineChars="0"/>
      </w:pPr>
      <w:r>
        <w:rPr>
          <w:rFonts w:ascii="Times New Roman" w:hAnsi="Times New Roman" w:eastAsia="ＭＳ 明朝"/>
          <w:b w:val="0"/>
          <w:sz w:val="18"/>
        </w:rPr>
        <w:t>・今後の課題：［記入］</w:t>
      </w:r>
    </w:p>
    <w:p>
      <w:pPr>
        <w:pStyle w:val="Heading1"/>
      </w:pPr>
      <w:r>
        <w:rPr>
          <w:rFonts w:ascii="ＭＳ ゴシック" w:hAnsi="ＭＳ ゴシック" w:eastAsia="ＭＳ ゴシック"/>
          <w:b/>
          <w:color w:val="000000"/>
          <w:sz w:val="24"/>
        </w:rPr>
        <w:t>参考：通し計算例（9470 学研ホールディングス）</w:t>
      </w:r>
    </w:p>
    <w:p>
      <w:pPr/>
      <w:r>
        <w:rPr>
          <w:rFonts w:ascii="Times New Roman" w:hAnsi="Times New Roman" w:eastAsia="ＭＳ 明朝"/>
          <w:b w:val="0"/>
          <w:sz w:val="18"/>
        </w:rPr>
        <w:t>守で選ばれた完成した堀の一社、9470 学研ホールディングスの実際の値を使って、時価総額から最終投資額までを一つにつなぐ。全候補にすべての指標が計算されるため、1社で全ステップをたどれる。</w:t>
      </w:r>
    </w:p>
    <w:tbl>
      <w:tblPr>
        <w:tblStyle w:val="TableGrid"/>
        <w:tblW w:type="auto" w:w="0"/>
        <w:jc w:val="center"/>
        <w:tblLook w:firstColumn="1" w:firstRow="1" w:lastColumn="0" w:lastRow="0" w:noHBand="0" w:noVBand="1" w:val="04A0"/>
      </w:tblPr>
      <w:tblGrid>
        <w:gridCol w:w="4139"/>
        <w:gridCol w:w="4139"/>
      </w:tblGrid>
      <w:tr>
        <w:trPr>
          <w:cantSplit/>
        </w:trPr>
        <w:tc>
          <w:tcPr>
            <w:tcW w:type="dxa" w:w="2268"/>
            <w:shd w:val="clear" w:color="auto" w:fill="808080"/>
          </w:tcPr>
          <w:p>
            <w:pPr>
              <w:spacing w:after="0"/>
              <w:ind w:firstLine="0" w:firstLineChars="0"/>
            </w:pPr>
            <w:r>
              <w:rPr>
                <w:rFonts w:ascii="ＭＳ ゴシック" w:hAnsi="ＭＳ ゴシック" w:eastAsia="ＭＳ ゴシック"/>
                <w:b/>
                <w:color w:val="FFFFFF"/>
                <w:sz w:val="16"/>
              </w:rPr>
              <w:t>ステップ</w:t>
            </w:r>
          </w:p>
        </w:tc>
        <w:tc>
          <w:tcPr>
            <w:tcW w:type="dxa" w:w="6009"/>
            <w:shd w:val="clear" w:color="auto" w:fill="808080"/>
          </w:tcPr>
          <w:p>
            <w:pPr>
              <w:spacing w:after="0"/>
              <w:ind w:firstLine="0" w:firstLineChars="0"/>
            </w:pPr>
            <w:r>
              <w:rPr>
                <w:rFonts w:ascii="ＭＳ ゴシック" w:hAnsi="ＭＳ ゴシック" w:eastAsia="ＭＳ ゴシック"/>
                <w:b/>
                <w:color w:val="FFFFFF"/>
                <w:sz w:val="16"/>
              </w:rPr>
              <w:t>9470 学研HD の実際の値と判定</w:t>
            </w:r>
          </w:p>
        </w:tc>
      </w:tr>
      <w:tr>
        <w:trPr>
          <w:cantSplit/>
        </w:trPr>
        <w:tc>
          <w:tcPr>
            <w:tcW w:type="dxa" w:w="2268"/>
          </w:tcPr>
          <w:p>
            <w:pPr>
              <w:spacing w:after="0"/>
              <w:ind w:firstLine="0" w:firstLineChars="0"/>
            </w:pPr>
            <w:r>
              <w:rPr>
                <w:rFonts w:ascii="Times New Roman" w:hAnsi="Times New Roman" w:eastAsia="ＭＳ 明朝"/>
                <w:b w:val="0"/>
                <w:color w:val="000000"/>
                <w:sz w:val="16"/>
              </w:rPr>
              <w:t>① 時価総額</w:t>
            </w:r>
          </w:p>
        </w:tc>
        <w:tc>
          <w:tcPr>
            <w:tcW w:type="dxa" w:w="6009"/>
          </w:tcPr>
          <w:p>
            <w:pPr>
              <w:spacing w:after="0"/>
              <w:ind w:firstLine="0" w:firstLineChars="0"/>
            </w:pPr>
            <w:r>
              <w:rPr>
                <w:rFonts w:ascii="Times New Roman" w:hAnsi="Times New Roman" w:eastAsia="ＭＳ 明朝"/>
                <w:b w:val="0"/>
                <w:color w:val="000000"/>
                <w:sz w:val="16"/>
              </w:rPr>
              <w:t>株価 941円 × 約4,141万株 ≒ 389.7億円。会社全体の値段。</w:t>
            </w:r>
          </w:p>
        </w:tc>
      </w:tr>
      <w:tr>
        <w:trPr>
          <w:cantSplit/>
        </w:trPr>
        <w:tc>
          <w:tcPr>
            <w:tcW w:type="dxa" w:w="2268"/>
          </w:tcPr>
          <w:p>
            <w:pPr>
              <w:spacing w:after="0"/>
              <w:ind w:firstLine="0" w:firstLineChars="0"/>
            </w:pPr>
            <w:r>
              <w:rPr>
                <w:rFonts w:ascii="Times New Roman" w:hAnsi="Times New Roman" w:eastAsia="ＭＳ 明朝"/>
                <w:b w:val="0"/>
                <w:color w:val="000000"/>
                <w:sz w:val="16"/>
              </w:rPr>
              <w:t>② B/M（割安さ・純資産）</w:t>
            </w:r>
          </w:p>
        </w:tc>
        <w:tc>
          <w:tcPr>
            <w:tcW w:type="dxa" w:w="6009"/>
          </w:tcPr>
          <w:p>
            <w:pPr>
              <w:spacing w:after="0"/>
              <w:ind w:firstLine="0" w:firstLineChars="0"/>
            </w:pPr>
            <w:r>
              <w:rPr>
                <w:rFonts w:ascii="Times New Roman" w:hAnsi="Times New Roman" w:eastAsia="ＭＳ 明朝"/>
                <w:b w:val="0"/>
                <w:color w:val="000000"/>
                <w:sz w:val="16"/>
              </w:rPr>
              <w:t>1.526。純資産が時価総額の約1.5倍。市場上位30%の割安さで守の関門①を通過。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③ E/P（割安さ・利益）</w:t>
            </w:r>
          </w:p>
        </w:tc>
        <w:tc>
          <w:tcPr>
            <w:tcW w:type="dxa" w:w="6009"/>
          </w:tcPr>
          <w:p>
            <w:pPr>
              <w:spacing w:after="0"/>
              <w:ind w:firstLine="0" w:firstLineChars="0"/>
            </w:pPr>
            <w:r>
              <w:rPr>
                <w:rFonts w:ascii="Times New Roman" w:hAnsi="Times New Roman" w:eastAsia="ＭＳ 明朝"/>
                <w:b w:val="0"/>
                <w:color w:val="000000"/>
                <w:sz w:val="16"/>
              </w:rPr>
              <w:t>0.1215（PER約8倍）。黒字で割安。関門②を通過。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④ Gross Profitability（質）</w:t>
            </w:r>
          </w:p>
        </w:tc>
        <w:tc>
          <w:tcPr>
            <w:tcW w:type="dxa" w:w="6009"/>
          </w:tcPr>
          <w:p>
            <w:pPr>
              <w:spacing w:after="0"/>
              <w:ind w:firstLine="0" w:firstLineChars="0"/>
            </w:pPr>
            <w:r>
              <w:rPr>
                <w:rFonts w:ascii="Times New Roman" w:hAnsi="Times New Roman" w:eastAsia="ＭＳ 明朝"/>
                <w:b w:val="0"/>
                <w:color w:val="000000"/>
                <w:sz w:val="16"/>
              </w:rPr>
              <w:t>0.395。資産効率は市場中央値以上。関門③を通過。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⑤ Piotroski（財務健全性）</w:t>
            </w:r>
          </w:p>
        </w:tc>
        <w:tc>
          <w:tcPr>
            <w:tcW w:type="dxa" w:w="6009"/>
          </w:tcPr>
          <w:p>
            <w:pPr>
              <w:spacing w:after="0"/>
              <w:ind w:firstLine="0" w:firstLineChars="0"/>
            </w:pPr>
            <w:r>
              <w:rPr>
                <w:rFonts w:ascii="Times New Roman" w:hAnsi="Times New Roman" w:eastAsia="ＭＳ 明朝"/>
                <w:b w:val="0"/>
                <w:color w:val="000000"/>
                <w:sz w:val="16"/>
              </w:rPr>
              <w:t>1.0。計算できた全シグナルに合格。関門④を通過。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⑥ Sloan（利益の質）</w:t>
            </w:r>
          </w:p>
        </w:tc>
        <w:tc>
          <w:tcPr>
            <w:tcW w:type="dxa" w:w="6009"/>
          </w:tcPr>
          <w:p>
            <w:pPr>
              <w:spacing w:after="0"/>
              <w:ind w:firstLine="0" w:firstLineChars="0"/>
            </w:pPr>
            <w:r>
              <w:rPr>
                <w:rFonts w:ascii="Times New Roman" w:hAnsi="Times New Roman" w:eastAsia="ＭＳ 明朝"/>
                <w:b w:val="0"/>
                <w:color w:val="000000"/>
                <w:sz w:val="16"/>
              </w:rPr>
              <w:t>-0.0228。マイナス＝現金の裏づけが厚く良質。関門⑤を通過。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⑦ 危機ガードレール</w:t>
            </w:r>
          </w:p>
        </w:tc>
        <w:tc>
          <w:tcPr>
            <w:tcW w:type="dxa" w:w="6009"/>
          </w:tcPr>
          <w:p>
            <w:pPr>
              <w:spacing w:after="0"/>
              <w:ind w:firstLine="0" w:firstLineChars="0"/>
            </w:pPr>
            <w:r>
              <w:rPr>
                <w:rFonts w:ascii="Times New Roman" w:hAnsi="Times New Roman" w:eastAsia="ＭＳ 明朝"/>
                <w:b w:val="0"/>
                <w:color w:val="000000"/>
                <w:sz w:val="16"/>
              </w:rPr>
              <w:t>債務超過なし・3期連続赤字なし → D=0。関門を通過。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⑧ Phase2 信頼度</w:t>
            </w:r>
          </w:p>
        </w:tc>
        <w:tc>
          <w:tcPr>
            <w:tcW w:type="dxa" w:w="6009"/>
          </w:tcPr>
          <w:p>
            <w:pPr>
              <w:spacing w:after="0"/>
              <w:ind w:firstLine="0" w:firstLineChars="0"/>
            </w:pPr>
            <w:r>
              <w:rPr>
                <w:rFonts w:ascii="Times New Roman" w:hAnsi="Times New Roman" w:eastAsia="ＭＳ 明朝"/>
                <w:b w:val="0"/>
                <w:color w:val="000000"/>
                <w:sz w:val="16"/>
              </w:rPr>
              <w:t>0.98。データが安定し要確認が少ない。</w:t>
            </w:r>
          </w:p>
        </w:tc>
      </w:tr>
      <w:tr>
        <w:trPr>
          <w:cantSplit/>
        </w:trPr>
        <w:tc>
          <w:tcPr>
            <w:tcW w:type="dxa" w:w="2268"/>
          </w:tcPr>
          <w:p>
            <w:pPr>
              <w:spacing w:after="0"/>
              <w:ind w:firstLine="0" w:firstLineChars="0"/>
            </w:pPr>
            <w:r>
              <w:rPr>
                <w:rFonts w:ascii="Times New Roman" w:hAnsi="Times New Roman" w:eastAsia="ＭＳ 明朝"/>
                <w:b w:val="0"/>
                <w:color w:val="000000"/>
                <w:sz w:val="16"/>
              </w:rPr>
              <w:t>⑨ 変わる堀／生まれる堀</w:t>
            </w:r>
          </w:p>
        </w:tc>
        <w:tc>
          <w:tcPr>
            <w:tcW w:type="dxa" w:w="6009"/>
          </w:tcPr>
          <w:p>
            <w:pPr>
              <w:spacing w:after="0"/>
              <w:ind w:firstLine="0" w:firstLineChars="0"/>
            </w:pPr>
            <w:r>
              <w:rPr>
                <w:rFonts w:ascii="Times New Roman" w:hAnsi="Times New Roman" w:eastAsia="ＭＳ 明朝"/>
                <w:b w:val="0"/>
                <w:color w:val="000000"/>
                <w:sz w:val="16"/>
              </w:rPr>
              <w:t>Transformation=73.4（高め）だが Emerging=21.5（低い）。生まれる堀では選ばれない。</w:t>
            </w:r>
          </w:p>
        </w:tc>
      </w:tr>
      <w:tr>
        <w:trPr>
          <w:cantSplit/>
        </w:trPr>
        <w:tc>
          <w:tcPr>
            <w:tcW w:type="dxa" w:w="2268"/>
          </w:tcPr>
          <w:p>
            <w:pPr>
              <w:spacing w:after="0"/>
              <w:ind w:firstLine="0" w:firstLineChars="0"/>
            </w:pPr>
            <w:r>
              <w:rPr>
                <w:rFonts w:ascii="Times New Roman" w:hAnsi="Times New Roman" w:eastAsia="ＭＳ 明朝"/>
                <w:b w:val="0"/>
                <w:color w:val="000000"/>
                <w:sz w:val="16"/>
              </w:rPr>
              <w:t>⑩ 役割割当</w:t>
            </w:r>
          </w:p>
        </w:tc>
        <w:tc>
          <w:tcPr>
            <w:tcW w:type="dxa" w:w="6009"/>
          </w:tcPr>
          <w:p>
            <w:pPr>
              <w:spacing w:after="0"/>
              <w:ind w:firstLine="0" w:firstLineChars="0"/>
            </w:pPr>
            <w:r>
              <w:rPr>
                <w:rFonts w:ascii="Times New Roman" w:hAnsi="Times New Roman" w:eastAsia="ＭＳ 明朝"/>
                <w:b w:val="0"/>
                <w:color w:val="000000"/>
                <w:sz w:val="16"/>
              </w:rPr>
              <w:t>守 Top5 として固定 → 完成した堀（Buffett Core）。Evidence Level は L3。</w:t>
            </w:r>
          </w:p>
        </w:tc>
      </w:tr>
      <w:tr>
        <w:trPr>
          <w:cantSplit/>
        </w:trPr>
        <w:tc>
          <w:tcPr>
            <w:tcW w:type="dxa" w:w="2268"/>
          </w:tcPr>
          <w:p>
            <w:pPr>
              <w:spacing w:after="0"/>
              <w:ind w:firstLine="0" w:firstLineChars="0"/>
            </w:pPr>
            <w:r>
              <w:rPr>
                <w:rFonts w:ascii="Times New Roman" w:hAnsi="Times New Roman" w:eastAsia="ＭＳ 明朝"/>
                <w:b w:val="0"/>
                <w:color w:val="000000"/>
                <w:sz w:val="16"/>
              </w:rPr>
              <w:t>⑪ 配分優先度</w:t>
            </w:r>
          </w:p>
        </w:tc>
        <w:tc>
          <w:tcPr>
            <w:tcW w:type="dxa" w:w="6009"/>
          </w:tcPr>
          <w:p>
            <w:pPr>
              <w:spacing w:after="0"/>
              <w:ind w:firstLine="0" w:firstLineChars="0"/>
            </w:pPr>
            <w:r>
              <w:rPr>
                <w:rFonts w:ascii="Times New Roman" w:hAnsi="Times New Roman" w:eastAsia="ＭＳ 明朝"/>
                <w:b w:val="0"/>
                <w:color w:val="000000"/>
                <w:sz w:val="16"/>
              </w:rPr>
              <w:t>変動小・流動性高（ℓ=1.00）・証拠 L3（e=1.05）・信頼度0.98 → 役割内で厚め。</w:t>
            </w:r>
          </w:p>
        </w:tc>
      </w:tr>
      <w:tr>
        <w:trPr>
          <w:cantSplit/>
        </w:trPr>
        <w:tc>
          <w:tcPr>
            <w:tcW w:type="dxa" w:w="2268"/>
          </w:tcPr>
          <w:p>
            <w:pPr>
              <w:spacing w:after="0"/>
              <w:ind w:firstLine="0" w:firstLineChars="0"/>
            </w:pPr>
            <w:r>
              <w:rPr>
                <w:rFonts w:ascii="Times New Roman" w:hAnsi="Times New Roman" w:eastAsia="ＭＳ 明朝"/>
                <w:b w:val="0"/>
                <w:color w:val="000000"/>
                <w:sz w:val="16"/>
              </w:rPr>
              <w:t>⑫ 最終投資額</w:t>
            </w:r>
          </w:p>
        </w:tc>
        <w:tc>
          <w:tcPr>
            <w:tcW w:type="dxa" w:w="6009"/>
          </w:tcPr>
          <w:p>
            <w:pPr>
              <w:spacing w:after="0"/>
              <w:ind w:firstLine="0" w:firstLineChars="0"/>
            </w:pPr>
            <w:r>
              <w:rPr>
                <w:rFonts w:ascii="Times New Roman" w:hAnsi="Times New Roman" w:eastAsia="ＭＳ 明朝"/>
                <w:b w:val="0"/>
                <w:color w:val="000000"/>
                <w:sz w:val="16"/>
              </w:rPr>
              <w:t>目標比率 6.88% → 941円で 365株 → 343,465円（実測）。</w:t>
            </w:r>
          </w:p>
        </w:tc>
      </w:tr>
    </w:tbl>
    <w:p>
      <w:pPr>
        <w:spacing w:after="80"/>
        <w:ind w:firstLine="0" w:firstLineChars="0"/>
      </w:pPr>
    </w:p>
    <w:p>
      <w:pPr/>
      <w:r>
        <w:rPr>
          <w:rFonts w:ascii="Times New Roman" w:hAnsi="Times New Roman" w:eastAsia="ＭＳ 明朝"/>
          <w:b w:val="0"/>
          <w:sz w:val="18"/>
        </w:rPr>
        <w:t>このように、守の5つの関門を通り、変わる堀の評価は高いが生まれる堀は低いため、9470 は「完成した堀」の役割に落ち着き、約34万円が配分される。役割が分かれる判定点（ここでは Emerging が低いこと）を示すことで、恣意的でないことを確かめられる。</w:t>
      </w:r>
    </w:p>
    <w:p>
      <w:pPr>
        <w:pStyle w:val="Heading1"/>
        <w:ind w:firstLine="0" w:firstLineChars="0"/>
      </w:pPr>
      <w:r>
        <w:rPr>
          <w:rFonts w:ascii="ＭＳ ゴシック" w:hAnsi="ＭＳ ゴシック" w:eastAsia="ＭＳ ゴシック"/>
          <w:b/>
          <w:color w:val="000000"/>
          <w:sz w:val="24"/>
        </w:rPr>
        <w:t>注</w:t>
      </w:r>
    </w:p>
    <w:p>
      <w:pPr>
        <w:ind w:firstLine="0" w:firstLineChars="0"/>
      </w:pPr>
      <w:r>
        <w:rPr>
          <w:rFonts w:ascii="Times New Roman" w:hAnsi="Times New Roman" w:eastAsia="ＭＳ 明朝"/>
          <w:b w:val="0"/>
          <w:sz w:val="18"/>
        </w:rPr>
        <w:t>1) ベンチマーク 1306.T の未調整分割（2026-03-30）を補正した（同日以降を10倍）。構成銘柄に分割様の不連続はない。</w:t>
      </w:r>
    </w:p>
    <w:p>
      <w:pPr>
        <w:ind w:firstLine="0" w:firstLineChars="0"/>
      </w:pPr>
      <w:r>
        <w:rPr>
          <w:rFonts w:ascii="Times New Roman" w:hAnsi="Times New Roman" w:eastAsia="ＭＳ 明朝"/>
          <w:b w:val="0"/>
          <w:sz w:val="18"/>
        </w:rPr>
        <w:t>2) 株数は基準ケースで単元未満株（L=1）を前提とする。実単元（L=100）では株価の高い9社が買えず消化率46.7%へ低下する。</w:t>
      </w:r>
    </w:p>
    <w:p>
      <w:pPr>
        <w:ind w:firstLine="0" w:firstLineChars="0"/>
      </w:pPr>
      <w:r>
        <w:rPr>
          <w:rFonts w:ascii="Times New Roman" w:hAnsi="Times New Roman" w:eastAsia="ＭＳ 明朝"/>
          <w:b w:val="0"/>
          <w:sz w:val="18"/>
        </w:rPr>
        <w:t>3) すべての数値は 2026 年 6 月時点のデータに基づく。履歴計算は標本内であり将来を保証しない。</w:t>
      </w:r>
    </w:p>
    <w:p>
      <w:pPr>
        <w:pStyle w:val="Heading1"/>
        <w:ind w:firstLine="0" w:firstLineChars="0"/>
      </w:pPr>
      <w:r>
        <w:rPr>
          <w:rFonts w:ascii="ＭＳ ゴシック" w:hAnsi="ＭＳ ゴシック" w:eastAsia="ＭＳ ゴシック"/>
          <w:b/>
          <w:color w:val="000000"/>
          <w:sz w:val="24"/>
        </w:rPr>
        <w:t>参考文献</w:t>
      </w:r>
    </w:p>
    <w:p>
      <w:pPr>
        <w:ind w:firstLine="0" w:firstLineChars="0"/>
      </w:pPr>
      <w:r>
        <w:rPr>
          <w:rFonts w:ascii="ＭＳ ゴシック" w:hAnsi="ＭＳ ゴシック" w:eastAsia="ＭＳ ゴシック"/>
          <w:b/>
          <w:color w:val="000000"/>
          <w:sz w:val="18"/>
        </w:rPr>
        <w:t>英語文献</w:t>
      </w:r>
    </w:p>
    <w:p>
      <w:pPr>
        <w:spacing w:after="20"/>
        <w:ind w:left="360" w:hanging="360"/>
      </w:pPr>
      <w:r>
        <w:rPr>
          <w:rFonts w:ascii="Times New Roman" w:hAnsi="Times New Roman" w:eastAsia="ＭＳ 明朝"/>
          <w:b w:val="0"/>
          <w:color w:val="000000"/>
          <w:sz w:val="16"/>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color w:val="000000"/>
          <w:sz w:val="16"/>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16"/>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16"/>
        </w:rPr>
        <w:t>Bailey, D. H., Borwein, J., de Prado, M. L.,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16"/>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16"/>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16"/>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16"/>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16"/>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16"/>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16"/>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16"/>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16"/>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16"/>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16"/>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16"/>
        </w:rPr>
        <w:t>López de Prado, M. (2018) Advances in Financial Machine Learning, John Wiley &amp; Sons.</w:t>
      </w:r>
    </w:p>
    <w:p>
      <w:pPr>
        <w:spacing w:after="20"/>
        <w:ind w:left="360" w:hanging="360"/>
      </w:pPr>
      <w:r>
        <w:rPr>
          <w:rFonts w:ascii="Times New Roman" w:hAnsi="Times New Roman" w:eastAsia="ＭＳ 明朝"/>
          <w:b w:val="0"/>
          <w:color w:val="000000"/>
          <w:sz w:val="16"/>
        </w:rPr>
        <w:t>Markowitz, H. (1952) Portfolio Selection. The Journal of Finance, 7(1), pp.77-91.</w:t>
      </w:r>
    </w:p>
    <w:p>
      <w:pPr>
        <w:spacing w:after="20"/>
        <w:ind w:left="360" w:hanging="360"/>
      </w:pPr>
      <w:r>
        <w:rPr>
          <w:rFonts w:ascii="Times New Roman" w:hAnsi="Times New Roman" w:eastAsia="ＭＳ 明朝"/>
          <w:b w:val="0"/>
          <w:color w:val="000000"/>
          <w:sz w:val="16"/>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16"/>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16"/>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16"/>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16"/>
        </w:rPr>
        <w:t>Sharpe, W. F. (1966) Mutual Fund Performance. The Journal of Business, 39(1), pp.119-138.</w:t>
      </w:r>
    </w:p>
    <w:p>
      <w:pPr>
        <w:spacing w:after="20"/>
        <w:ind w:left="360" w:hanging="360"/>
      </w:pPr>
      <w:r>
        <w:rPr>
          <w:rFonts w:ascii="Times New Roman" w:hAnsi="Times New Roman" w:eastAsia="ＭＳ 明朝"/>
          <w:b w:val="0"/>
          <w:color w:val="000000"/>
          <w:sz w:val="16"/>
        </w:rPr>
        <w:t>Sharpe, W. F. (1994) The Sharpe Ratio. The Journal of Portfolio Management, 21(1), pp.49-58.</w:t>
      </w:r>
    </w:p>
    <w:p>
      <w:pPr>
        <w:spacing w:after="20"/>
        <w:ind w:left="360" w:hanging="360"/>
      </w:pPr>
      <w:r>
        <w:rPr>
          <w:rFonts w:ascii="Times New Roman" w:hAnsi="Times New Roman" w:eastAsia="ＭＳ 明朝"/>
          <w:b w:val="0"/>
          <w:color w:val="000000"/>
          <w:sz w:val="16"/>
        </w:rPr>
        <w:t>Sloan, R. G. (1996) Do Stock Prices Fully Reflect Information in Accruals and Cash Flows about Future Earnings? The Accounting Review, 71(3), pp.289-315.</w:t>
      </w:r>
    </w:p>
    <w:p>
      <w:pPr>
        <w:ind w:firstLine="0" w:firstLineChars="0"/>
      </w:pPr>
      <w:r>
        <w:rPr>
          <w:rFonts w:ascii="ＭＳ ゴシック" w:hAnsi="ＭＳ ゴシック" w:eastAsia="ＭＳ ゴシック"/>
          <w:b/>
          <w:color w:val="000000"/>
          <w:sz w:val="18"/>
        </w:rPr>
        <w:t>日本語文献</w:t>
      </w:r>
    </w:p>
    <w:p>
      <w:pPr>
        <w:spacing w:after="20"/>
        <w:ind w:left="360" w:hanging="360"/>
      </w:pPr>
      <w:r>
        <w:rPr>
          <w:rFonts w:ascii="Times New Roman" w:hAnsi="Times New Roman" w:eastAsia="ＭＳ 明朝"/>
          <w:b w:val="0"/>
          <w:color w:val="000000"/>
          <w:sz w:val="16"/>
        </w:rPr>
        <w:t>経済産業省（2014）『持続的成長への競争力とインセンティブ ―企業と投資家の望ましい関係構築― プロジェクト最終報告書（伊藤レポート）』経済産業省．</w:t>
      </w:r>
    </w:p>
    <w:p>
      <w:pPr>
        <w:spacing w:after="20"/>
        <w:ind w:left="360" w:hanging="360"/>
      </w:pPr>
      <w:r>
        <w:rPr>
          <w:rFonts w:ascii="Times New Roman" w:hAnsi="Times New Roman" w:eastAsia="ＭＳ 明朝"/>
          <w:b w:val="0"/>
          <w:color w:val="000000"/>
          <w:sz w:val="16"/>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16"/>
        </w:rPr>
        <w:t>金融庁「EDINET（金融商品取引法に基づく有価証券報告書等の開示書類に関する電子開示システム）」，https://disclosure2.edinet-fsa.go.jp/ （2026年7月8日）</w:t>
      </w:r>
    </w:p>
    <w:p>
      <w:pPr>
        <w:spacing w:after="20"/>
        <w:ind w:left="360" w:hanging="360"/>
      </w:pPr>
      <w:r>
        <w:rPr>
          <w:rFonts w:ascii="Times New Roman" w:hAnsi="Times New Roman" w:eastAsia="ＭＳ 明朝"/>
          <w:b w:val="0"/>
          <w:color w:val="000000"/>
          <w:sz w:val="16"/>
        </w:rPr>
        <w:t>日本取引所グループ「上場会社情報」，https://www.jpx.co.jp/listing/co-search/ （2026年7月8日）</w:t>
      </w:r>
    </w:p>
    <w:sectPr w:rsidR="00FC693F" w:rsidRPr="0006063C" w:rsidSect="00034616">
      <w:pgSz w:w="11906" w:h="16838"/>
      <w:pgMar w:top="2296" w:right="1814" w:bottom="2296"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