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spacing w:after="120"/>
        <w:ind w:firstLine="0" w:firstLineChars="0"/>
      </w:pPr>
      <w:r>
        <w:rPr>
          <w:rFonts w:ascii="ＭＳ ゴシック" w:hAnsi="ＭＳ ゴシック" w:eastAsia="ＭＳ ゴシック"/>
          <w:b/>
          <w:color w:val="000000"/>
          <w:sz w:val="32"/>
        </w:rPr>
        <w:t>BEYOND BUFFETT</w:t>
      </w:r>
    </w:p>
    <w:p>
      <w:pPr>
        <w:jc w:val="center"/>
        <w:spacing w:after="60"/>
        <w:ind w:firstLine="0" w:firstLineChars="0"/>
      </w:pPr>
      <w:r>
        <w:rPr>
          <w:rFonts w:ascii="Times New Roman" w:hAnsi="Times New Roman" w:eastAsia="ＭＳ 明朝"/>
          <w:b/>
          <w:color w:val="000000"/>
          <w:sz w:val="24"/>
        </w:rPr>
        <w:t>― Moat の時間軸拡張による日本株ポートフォリオ ―</w:t>
      </w:r>
    </w:p>
    <w:p>
      <w:pPr>
        <w:jc w:val="center"/>
        <w:spacing w:after="60"/>
        <w:ind w:firstLine="0" w:firstLineChars="0"/>
      </w:pPr>
      <w:r>
        <w:rPr>
          <w:rFonts w:ascii="Times New Roman" w:hAnsi="Times New Roman" w:eastAsia="ＭＳ 明朝"/>
          <w:b w:val="0"/>
          <w:color w:val="000000"/>
          <w:sz w:val="21"/>
        </w:rPr>
        <w:t>完成された Moat・変わる Moat・生まれる Moat の三世代設計</w:t>
      </w:r>
    </w:p>
    <w:p/>
    <w:p/>
    <w:p/>
    <w:p/>
    <w:p/>
    <w:p/>
    <w:p>
      <w:pPr>
        <w:jc w:val="right"/>
        <w:spacing w:after="60"/>
        <w:ind w:firstLine="0" w:firstLineChars="0"/>
      </w:pPr>
      <w:r>
        <w:rPr>
          <w:rFonts w:ascii="Times New Roman" w:hAnsi="Times New Roman" w:eastAsia="ＭＳ 明朝"/>
          <w:b w:val="0"/>
          <w:color w:val="FFFFFF"/>
          <w:sz w:val="22"/>
        </w:rPr>
        <w:t>［学部・学年］</w:t>
      </w:r>
    </w:p>
    <w:p>
      <w:pPr>
        <w:jc w:val="right"/>
        <w:spacing w:after="60"/>
        <w:ind w:firstLine="0" w:firstLineChars="0"/>
      </w:pPr>
      <w:r>
        <w:rPr>
          <w:rFonts w:ascii="Times New Roman" w:hAnsi="Times New Roman" w:eastAsia="ＭＳ 明朝"/>
          <w:b w:val="0"/>
          <w:color w:val="FFFFFF"/>
          <w:sz w:val="22"/>
        </w:rPr>
        <w:t>［氏名］</w:t>
      </w:r>
    </w:p>
    <w:p>
      <w:pPr>
        <w:jc w:val="center"/>
        <w:spacing w:before="480"/>
        <w:ind w:firstLine="0" w:firstLineChars="0"/>
      </w:pPr>
      <w:r>
        <w:rPr>
          <w:rFonts w:ascii="Times New Roman" w:hAnsi="Times New Roman" w:eastAsia="ＭＳ 明朝"/>
          <w:b w:val="0"/>
          <w:color w:val="000000"/>
          <w:sz w:val="16"/>
        </w:rPr>
        <w:t>（注：PDF 提出版は学部学年・氏名を白文字にする。本文・図表・注に個人名・所属ゼミ名・謝辞を記載しない。）</w:t>
      </w:r>
    </w:p>
    <w:p>
      <w:pPr>
        <w:pStyle w:val="Heading1"/>
        <w:ind w:firstLine="0" w:firstLineChars="0"/>
      </w:pPr>
      <w:r>
        <w:rPr>
          <w:rFonts w:ascii="ＭＳ ゴシック" w:hAnsi="ＭＳ ゴシック" w:eastAsia="ＭＳ ゴシック"/>
          <w:b/>
          <w:color w:val="000000"/>
          <w:sz w:val="24"/>
        </w:rPr>
        <w:t>要旨</w:t>
      </w:r>
    </w:p>
    <w:p>
      <w:pPr/>
      <w:r>
        <w:rPr>
          <w:rFonts w:ascii="Times New Roman" w:hAnsi="Times New Roman" w:eastAsia="ＭＳ 明朝"/>
          <w:b w:val="0"/>
          <w:sz w:val="18"/>
        </w:rPr>
        <w:t>本研究は，投資家 Warren Buffett の成果の本質が「持続的競争優位（economic moat）を持つ企業を割安に取得し長く保有する規律」にあり，それが Value・Quality・低リスクという再現可能な要素に分解できる（Frazzini, Kabiller and Pedersen, 2018）という理解から出発する。本研究の問いは，この規律を出発点として受け継ぎつつ，Moat を静的な現在の状態ではなく，時間とともに変化・新生する動的な概念へ拡張できるか，というものである。</w:t>
      </w:r>
    </w:p>
    <w:p>
      <w:pPr/>
      <w:r>
        <w:rPr>
          <w:rFonts w:ascii="Times New Roman" w:hAnsi="Times New Roman" w:eastAsia="ＭＳ 明朝"/>
          <w:b w:val="0"/>
          <w:sz w:val="18"/>
        </w:rPr>
        <w:t>本研究は Moat を三世代に分けて測定した。すなわち，先行研究の式で抽出できる完成された Moat，資本効率改革によって変わる Moat，産業構造の転換によって生まれる Moat である。この三世代を「守（先行研究式を変えずに完成 Moat を抽出）・破（式は変えず，その使い方を最適化して候補宇宙を広げる）・離（時間軸へ拡張して最終銘柄を構成する）」の三段階スクリーニングで選定し，完成・変化・新生の三世代からなる二〇社ポートフォリオを構築した。</w:t>
      </w:r>
    </w:p>
    <w:p>
      <w:pPr/>
      <w:r>
        <w:rPr>
          <w:rFonts w:ascii="Times New Roman" w:hAnsi="Times New Roman" w:eastAsia="ＭＳ 明朝"/>
          <w:b w:val="0"/>
          <w:sz w:val="18"/>
        </w:rPr>
        <w:t>本研究の主たる貢献は運用成績ではなく，第一に Moat の時間軸拡張という枠組み，第二に守・破・離による説明可能な選定過程，第三に証拠水準（Evidence Level）と除外監査による透明性，第四に五役割によるポートフォリオ構成，第五にリスク特性の参考的確認である。バックテストはすべて標本内（in-sample）であり，本研究は将来の運用成果を主張しない。</w:t>
      </w:r>
    </w:p>
    <w:p>
      <w:r>
        <w:br w:type="page"/>
      </w:r>
    </w:p>
    <w:p>
      <w:pPr>
        <w:pStyle w:val="Heading1"/>
        <w:ind w:firstLine="0" w:firstLineChars="0"/>
      </w:pPr>
      <w:r>
        <w:rPr>
          <w:rFonts w:ascii="ＭＳ ゴシック" w:hAnsi="ＭＳ ゴシック" w:eastAsia="ＭＳ ゴシック"/>
          <w:b/>
          <w:color w:val="000000"/>
          <w:sz w:val="24"/>
        </w:rPr>
        <w:t>目次</w:t>
      </w:r>
    </w:p>
    <w:p>
      <w:pPr/>
      <w:r>
        <w:rPr>
          <w:rFonts w:ascii="Times New Roman" w:hAnsi="Times New Roman" w:eastAsia="ＭＳ 明朝"/>
          <w:b w:val="0"/>
          <w:sz w:val="18"/>
        </w:rPr>
        <w:t>本文の構成は次の通りである。Ⅰ 投資テーマ，Ⅱ 守・破・離による選定方法，Ⅲ 最終二〇社とポートフォリオ，Ⅳ 検証・アブレーション・限界，Ⅴ 一次情報と学び，注・参考文献。</w:t>
      </w:r>
    </w:p>
    <w:p>
      <w:pPr>
        <w:keepNext/>
        <w:spacing w:before="120" w:after="40"/>
        <w:ind w:firstLine="0" w:firstLineChars="0"/>
      </w:pPr>
      <w:r>
        <w:rPr>
          <w:rFonts w:ascii="ＭＳ ゴシック" w:hAnsi="ＭＳ ゴシック" w:eastAsia="ＭＳ ゴシック"/>
          <w:b/>
          <w:color w:val="000000"/>
          <w:sz w:val="18"/>
        </w:rPr>
        <w:t>図表 序-1　研究全体の流れ（守・破・離）</w:t>
      </w:r>
    </w:p>
    <w:p>
      <w:pPr>
        <w:jc w:val="center"/>
        <w:keepNext/>
        <w:ind w:firstLine="0" w:firstLineChars="0"/>
      </w:pPr>
      <w:r>
        <w:drawing>
          <wp:inline xmlns:a="http://schemas.openxmlformats.org/drawingml/2006/main" xmlns:pic="http://schemas.openxmlformats.org/drawingml/2006/picture">
            <wp:extent cx="5040000" cy="1708745"/>
            <wp:docPr id="1" name="Picture 1"/>
            <wp:cNvGraphicFramePr>
              <a:graphicFrameLocks noChangeAspect="1"/>
            </wp:cNvGraphicFramePr>
            <a:graphic>
              <a:graphicData uri="http://schemas.openxmlformats.org/drawingml/2006/picture">
                <pic:pic>
                  <pic:nvPicPr>
                    <pic:cNvPr id="0" name="kenkyu_flow.png"/>
                    <pic:cNvPicPr/>
                  </pic:nvPicPr>
                  <pic:blipFill>
                    <a:blip r:embed="rId9"/>
                    <a:stretch>
                      <a:fillRect/>
                    </a:stretch>
                  </pic:blipFill>
                  <pic:spPr>
                    <a:xfrm>
                      <a:off x="0" y="0"/>
                      <a:ext cx="5040000" cy="1708745"/>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注：守（Phase1）→破（Phase2）→離（Phase3）→配分（Phase4）→検証（Phase5）。筆者作成。</w:t>
      </w:r>
    </w:p>
    <w:p>
      <w:r>
        <w:br w:type="page"/>
      </w:r>
    </w:p>
    <w:p>
      <w:pPr>
        <w:pStyle w:val="Heading1"/>
      </w:pPr>
      <w:r>
        <w:rPr>
          <w:rFonts w:ascii="ＭＳ ゴシック" w:hAnsi="ＭＳ ゴシック" w:eastAsia="ＭＳ ゴシック"/>
          <w:b/>
          <w:color w:val="000000"/>
          <w:sz w:val="24"/>
        </w:rPr>
        <w:t>Ⅰ．投資テーマ</w:t>
      </w:r>
    </w:p>
    <w:p>
      <w:pPr>
        <w:pStyle w:val="Heading2"/>
      </w:pPr>
      <w:r>
        <w:rPr>
          <w:rFonts w:ascii="ＭＳ ゴシック" w:hAnsi="ＭＳ ゴシック" w:eastAsia="ＭＳ ゴシック"/>
          <w:b/>
          <w:color w:val="000000"/>
          <w:sz w:val="22"/>
        </w:rPr>
        <w:t>1．バフェット型投資の本質と本研究の問い</w:t>
      </w:r>
    </w:p>
    <w:p>
      <w:pPr/>
      <w:r>
        <w:rPr>
          <w:rFonts w:ascii="Times New Roman" w:hAnsi="Times New Roman" w:eastAsia="ＭＳ 明朝"/>
          <w:b w:val="0"/>
          <w:sz w:val="18"/>
        </w:rPr>
        <w:t>Warren Buffett の長期の超過収益は，天才的な個別銘柄選択ではなく，安全（低ベータ）・優良（高クオリティ）・割安（バリュー）という要素の組み合わせとレバレッジによって統計的に説明できることが示されている（Frazzini, Kabiller and Pedersen, 2018）。すなわちバフェット型投資の本質は，Value・Quality・低リスクという再現可能な規律にある。本研究のテーマ「BEYOND BUFFETT（バフェットを超える）」は，この規律を否定するものではない。その本質である Moat を出発点として受け継ぎつつ，Moat を静的な現在の状態ではなく，時間とともに変化・新生する動的な概念へと捉え直すことを意味する。</w:t>
      </w:r>
    </w:p>
    <w:p>
      <w:pPr/>
      <w:r>
        <w:rPr>
          <w:rFonts w:ascii="Times New Roman" w:hAnsi="Times New Roman" w:eastAsia="ＭＳ 明朝"/>
          <w:b w:val="0"/>
          <w:sz w:val="18"/>
        </w:rPr>
        <w:t>本研究の問いは次の三つである。第一に，バフェット型投資の規律を，公刊された先行研究の式のみで日本株に再現できるか。第二に，その式を一切変えずに，閾値・分位・通過条件・候補数という「式の使い方」だけを最適化することで，変化・新生の Moat 候補を含む広い候補宇宙を形成できるか。第三に，その候補宇宙から，変わる Moat・生まれる Moat を測定し，三世代からなる二〇社ポートフォリオを，後付け最適化に頼らず説明可能な形で構築できるか。</w:t>
      </w:r>
    </w:p>
    <w:p>
      <w:pPr>
        <w:pStyle w:val="Heading2"/>
      </w:pPr>
      <w:r>
        <w:rPr>
          <w:rFonts w:ascii="ＭＳ ゴシック" w:hAnsi="ＭＳ ゴシック" w:eastAsia="ＭＳ ゴシック"/>
          <w:b/>
          <w:color w:val="000000"/>
          <w:sz w:val="22"/>
        </w:rPr>
        <w:t>2．なぜ現代日本株で Moat を時間軸へ拡張するか</w:t>
      </w:r>
    </w:p>
    <w:p>
      <w:pPr/>
      <w:r>
        <w:rPr>
          <w:rFonts w:ascii="Times New Roman" w:hAnsi="Times New Roman" w:eastAsia="ＭＳ 明朝"/>
          <w:b w:val="0"/>
          <w:sz w:val="18"/>
        </w:rPr>
        <w:t>第一の理由は資本効率改革である。日本株市場では，東京証券取引所（2023）による「資本コストや株価を意識した経営」の要請を契機に，これまで低く評価されてきた企業が，資本効率の改善・株主還元の強化・事業改革を通じて再評価される局面にある。この潮流は伊藤レポート（経済産業省，2014）以来の資本収益性重視の流れの延長にある。完成された Moat だけを見ると，この変化の途上にある企業を取りこぼす。ここに「変わる Moat」を測定する意義がある。</w:t>
      </w:r>
    </w:p>
    <w:p>
      <w:pPr/>
      <w:r>
        <w:rPr>
          <w:rFonts w:ascii="Times New Roman" w:hAnsi="Times New Roman" w:eastAsia="ＭＳ 明朝"/>
          <w:b w:val="0"/>
          <w:sz w:val="18"/>
        </w:rPr>
        <w:t>第二の理由は産業構造の転換である。AI・半導体・データセンター・光通信・電力・自動化・セキュリティといった領域で，新たな競争優位が形成されつつある。無形資産が企業価値の中心になりつつある一方で会計はそれを十分に捉えられていない（Lev and Gu, 2016；Peters and Taylor, 2017）。研究開発支出と株式リターンの関係も指摘されている（Chan, Lakonishok and Sougiannis, 2001）。しかしこれを単純な「AI テーマ株買い」で捉えると，キーワードだけで実体を伴わない銘柄を掴む危険がある。ここに「生まれる Moat」を，開示証拠の水準とともに測定する意義がある。</w:t>
      </w:r>
    </w:p>
    <w:p>
      <w:pPr/>
      <w:r>
        <w:rPr>
          <w:rFonts w:ascii="Times New Roman" w:hAnsi="Times New Roman" w:eastAsia="ＭＳ 明朝"/>
          <w:b w:val="0"/>
          <w:sz w:val="18"/>
        </w:rPr>
        <w:t>本研究の独自性は，新しい万能スコアの発明ではなく，意味の確立した既存の財務・会計指標を Moat の時間軸という枠組みへ再構成した点にある。</w:t>
      </w:r>
    </w:p>
    <w:p>
      <w:pPr>
        <w:pStyle w:val="Heading1"/>
      </w:pPr>
      <w:r>
        <w:rPr>
          <w:rFonts w:ascii="ＭＳ ゴシック" w:hAnsi="ＭＳ ゴシック" w:eastAsia="ＭＳ ゴシック"/>
          <w:b/>
          <w:color w:val="000000"/>
          <w:sz w:val="24"/>
        </w:rPr>
        <w:t>Ⅱ．守・破・離による選定方法</w:t>
      </w:r>
    </w:p>
    <w:p>
      <w:pPr/>
      <w:r>
        <w:rPr>
          <w:rFonts w:ascii="Times New Roman" w:hAnsi="Times New Roman" w:eastAsia="ＭＳ 明朝"/>
          <w:b w:val="0"/>
          <w:sz w:val="18"/>
        </w:rPr>
        <w:t>本章は本研究の中核である。守（第一段階）で完成された Moat を先行研究式で抽出し，破（第二段階）で式を変えずに候補宇宙を広げ，離（第三段階）で時間軸へ拡張して最終二〇社を構成する。最後に，選定が単一要素・単一テーマ・後付け最適化に依存しないことをアブレーションで点検する。以下では各段階で用いた式を，出典・目的・選定理由・使用段階・原式からの改変点・限界の順に説明する。式番号は各ボックスの見出しで一元管理し，本文からは「式（1.1）」のように参照する。</w:t>
      </w:r>
    </w:p>
    <w:p>
      <w:pPr>
        <w:pStyle w:val="Heading2"/>
      </w:pPr>
      <w:r>
        <w:rPr>
          <w:rFonts w:ascii="ＭＳ ゴシック" w:hAnsi="ＭＳ ゴシック" w:eastAsia="ＭＳ ゴシック"/>
          <w:b/>
          <w:color w:val="000000"/>
          <w:sz w:val="22"/>
        </w:rPr>
        <w:t>1．守 ― 完成された Moat の抽出（Phase1）</w:t>
      </w:r>
    </w:p>
    <w:p>
      <w:pPr/>
      <w:r>
        <w:rPr>
          <w:rFonts w:ascii="Times New Roman" w:hAnsi="Times New Roman" w:eastAsia="ＭＳ 明朝"/>
          <w:b w:val="0"/>
          <w:sz w:val="18"/>
        </w:rPr>
        <w:t>守では，バフェット型投資の規律を公刊された先行研究の式のみで再現する。独自の重み付き合成スコアは用いず，段階的スクリーニングとしてバリュートラップと財務危機を順に落とす過程として運用する。全体の絞り込みは図表 Ⅱ-1 に示す。</w:t>
      </w:r>
    </w:p>
    <w:p>
      <w:pPr>
        <w:keepNext/>
        <w:spacing w:before="120" w:after="40"/>
        <w:ind w:firstLine="0" w:firstLineChars="0"/>
      </w:pPr>
      <w:r>
        <w:rPr>
          <w:rFonts w:ascii="ＭＳ ゴシック" w:hAnsi="ＭＳ ゴシック" w:eastAsia="ＭＳ ゴシック"/>
          <w:b/>
          <w:color w:val="000000"/>
          <w:sz w:val="18"/>
        </w:rPr>
        <w:t>図表 Ⅱ-1　Phase1 の段階的スクリーニング（全段階）</w:t>
      </w:r>
    </w:p>
    <w:p>
      <w:pPr>
        <w:jc w:val="center"/>
        <w:keepNext/>
        <w:ind w:firstLine="0" w:firstLineChars="0"/>
      </w:pPr>
      <w:r>
        <w:drawing>
          <wp:inline xmlns:a="http://schemas.openxmlformats.org/drawingml/2006/main" xmlns:pic="http://schemas.openxmlformats.org/drawingml/2006/picture">
            <wp:extent cx="5040000" cy="2576741"/>
            <wp:docPr id="2" name="Picture 2"/>
            <wp:cNvGraphicFramePr>
              <a:graphicFrameLocks noChangeAspect="1"/>
            </wp:cNvGraphicFramePr>
            <a:graphic>
              <a:graphicData uri="http://schemas.openxmlformats.org/drawingml/2006/picture">
                <pic:pic>
                  <pic:nvPicPr>
                    <pic:cNvPr id="0" name="phase1_funnel.png"/>
                    <pic:cNvPicPr/>
                  </pic:nvPicPr>
                  <pic:blipFill>
                    <a:blip r:embed="rId10"/>
                    <a:stretch>
                      <a:fillRect/>
                    </a:stretch>
                  </pic:blipFill>
                  <pic:spPr>
                    <a:xfrm>
                      <a:off x="0" y="0"/>
                      <a:ext cx="5040000" cy="2576741"/>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注：各段階の通過社数。非金融普通株 3,099 社から Buffett Core Top5 まで。筆者作成（正典：phase1_review）。</w:t>
      </w:r>
    </w:p>
    <w:p>
      <w:pPr/>
      <w:r>
        <w:rPr>
          <w:rFonts w:ascii="Times New Roman" w:hAnsi="Times New Roman" w:eastAsia="ＭＳ 明朝"/>
          <w:b w:val="0"/>
          <w:sz w:val="18"/>
        </w:rPr>
        <w:t>まず Value を，簿価時価比率（式 1.1）と益回り（式 1.2）で測る。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（1.1）簿価時価比率 B/M ― 引用式（守：選定使用）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B</m:t>
                    </m:r>
                    <m:r>
                      <m:rPr>
                        <m:sty m:val="p"/>
                      </m:rPr>
                      <m:t>M</m:t>
                    </m:r>
                  </m:e>
                  <m:sub>
                    <m:r>
                      <m:t>i</m:t>
                    </m:r>
                  </m:sub>
                </m:sSub>
                <m:r>
                  <m:rPr>
                    <m:sty m:val="p"/>
                  </m:rPr>
                  <m:t>=</m:t>
                </m:r>
                <m:f>
                  <m:fPr>
                    <m:type m:val="bar"/>
                  </m:fPr>
                  <m:num>
                    <m:r>
                      <m:t>B</m:t>
                    </m:r>
                    <m:sSub>
                      <m:e>
                        <m:r>
                          <m:t>E</m:t>
                        </m:r>
                      </m:e>
                      <m:sub>
                        <m:r>
                          <m:t>i</m:t>
                        </m:r>
                      </m:sub>
                    </m:sSub>
                  </m:num>
                  <m:den>
                    <m:r>
                      <m:t>M</m:t>
                    </m:r>
                    <m:sSub>
                      <m:e>
                        <m:r>
                          <m:t>E</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BE_i：自己資本（簿価）；　ME_i：時価総額。値が大きいほど割安（Value）を示す。</w:t>
            </w:r>
          </w:p>
        </w:tc>
      </w:tr>
    </w:tbl>
    <w:p>
      <w:pPr>
        <w:spacing w:after="40"/>
        <w:ind w:firstLine="0" w:firstLineChars="0"/>
      </w:pPr>
    </w:p>
    <w:p>
      <w:pPr/>
      <w:r>
        <w:rPr>
          <w:rFonts w:ascii="Times New Roman" w:hAnsi="Times New Roman" w:eastAsia="ＭＳ 明朝"/>
          <w:b w:val="0"/>
          <w:sz w:val="18"/>
        </w:rPr>
        <w:t>式（1.1）は Fama and French（1993）が用いた簿価時価比率であり，企業の帳簿価値が市場でどれだけ割り引かれているかを測る割安性（Value）の代表的指標である。本研究では守の第一関門として用い，B/M 上位三〇%を通過とした。原式からの変更はなく，将来リターンを保証するものではない点が限界である。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（1.2）益回り E/P ― 引用式（守：選定使用）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E</m:t>
                    </m:r>
                    <m:r>
                      <m:rPr>
                        <m:sty m:val="p"/>
                      </m:rPr>
                      <m:t>P</m:t>
                    </m:r>
                  </m:e>
                  <m:sub>
                    <m:r>
                      <m:t>i</m:t>
                    </m:r>
                  </m:sub>
                </m:sSub>
                <m:r>
                  <m:rPr>
                    <m:sty m:val="p"/>
                  </m:rPr>
                  <m:t>=</m:t>
                </m:r>
                <m:f>
                  <m:fPr>
                    <m:type m:val="bar"/>
                  </m:fPr>
                  <m:num>
                    <m:sSub>
                      <m:e>
                        <m:r>
                          <m:t>E</m:t>
                        </m:r>
                      </m:e>
                      <m:sub>
                        <m:r>
                          <m:t>i</m:t>
                        </m:r>
                      </m:sub>
                    </m:sSub>
                  </m:num>
                  <m:den>
                    <m:r>
                      <m:t>M</m:t>
                    </m:r>
                    <m:sSub>
                      <m:e>
                        <m:r>
                          <m:t>E</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E_i：当期純利益；　ME_i：時価総額。正で高いほど収益に対して割安。</w:t>
            </w:r>
          </w:p>
        </w:tc>
      </w:tr>
    </w:tbl>
    <w:p>
      <w:pPr>
        <w:spacing w:after="40"/>
        <w:ind w:firstLine="0" w:firstLineChars="0"/>
      </w:pPr>
    </w:p>
    <w:p>
      <w:pPr/>
      <w:r>
        <w:rPr>
          <w:rFonts w:ascii="Times New Roman" w:hAnsi="Times New Roman" w:eastAsia="ＭＳ 明朝"/>
          <w:b w:val="0"/>
          <w:sz w:val="18"/>
        </w:rPr>
        <w:t>式（1.2）は Basu（1977）の益回りであり，収益に対する株価の割安性を測る。本研究では正の益回りの上位五〇%を通過とし，赤字企業を実質的に除外する役割も果たす。原式からの変更はない。会計利益の質の問題は式（1.5）で別途扱う。</w:t>
      </w:r>
    </w:p>
    <w:p>
      <w:pPr/>
      <w:r>
        <w:rPr>
          <w:rFonts w:ascii="Times New Roman" w:hAnsi="Times New Roman" w:eastAsia="ＭＳ 明朝"/>
          <w:b w:val="0"/>
          <w:sz w:val="18"/>
        </w:rPr>
        <w:t>次に Quality を Gross Profitability（式 1.3）で測る。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（1.3）Gross Profitability ― 引用式（守：選定使用）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G</m:t>
                    </m:r>
                    <m:r>
                      <m:rPr>
                        <m:sty m:val="p"/>
                      </m:rPr>
                      <m:t>P</m:t>
                    </m:r>
                  </m:e>
                  <m:sub>
                    <m:r>
                      <m:t>i</m:t>
                    </m:r>
                  </m:sub>
                </m:sSub>
                <m:r>
                  <m:rPr>
                    <m:sty m:val="p"/>
                  </m:rPr>
                  <m:t>=</m:t>
                </m:r>
                <m:f>
                  <m:fPr>
                    <m:type m:val="bar"/>
                  </m:fPr>
                  <m:num>
                    <m:sSub>
                      <m:e>
                        <m:r>
                          <m:rPr>
                            <m:sty m:val="p"/>
                          </m:rPr>
                          <m:t>R</m:t>
                        </m:r>
                        <m:r>
                          <m:rPr>
                            <m:sty m:val="p"/>
                          </m:rPr>
                          <m:t>e</m:t>
                        </m:r>
                        <m:r>
                          <m:rPr>
                            <m:sty m:val="p"/>
                          </m:rPr>
                          <m:t>v</m:t>
                        </m:r>
                        <m:r>
                          <m:rPr>
                            <m:sty m:val="p"/>
                          </m:rPr>
                          <m:t>e</m:t>
                        </m:r>
                        <m:r>
                          <m:rPr>
                            <m:sty m:val="p"/>
                          </m:rPr>
                          <m:t>n</m:t>
                        </m:r>
                        <m:r>
                          <m:rPr>
                            <m:sty m:val="p"/>
                          </m:rPr>
                          <m:t>u</m:t>
                        </m:r>
                        <m:r>
                          <m:rPr>
                            <m:sty m:val="p"/>
                          </m:rPr>
                          <m:t>e</m:t>
                        </m:r>
                      </m:e>
                      <m:sub>
                        <m:r>
                          <m:t>i</m:t>
                        </m:r>
                      </m:sub>
                    </m:sSub>
                    <m:r>
                      <m:rPr>
                        <m:sty m:val="p"/>
                      </m:rPr>
                      <m:t>−</m:t>
                    </m:r>
                    <m:sSub>
                      <m:e>
                        <m:r>
                          <m:rPr>
                            <m:sty m:val="p"/>
                          </m:rPr>
                          <m:t>C</m:t>
                        </m:r>
                        <m:r>
                          <m:rPr>
                            <m:sty m:val="p"/>
                          </m:rPr>
                          <m:t>O</m:t>
                        </m:r>
                        <m:r>
                          <m:rPr>
                            <m:sty m:val="p"/>
                          </m:rPr>
                          <m:t>G</m:t>
                        </m:r>
                        <m:r>
                          <m:rPr>
                            <m:sty m:val="p"/>
                          </m:rPr>
                          <m:t>S</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Revenue_i：売上高；　COGS_i：売上原価；　TotalAssets_i：総資産。資産効率を伴う収益性（Quality）。</w:t>
            </w:r>
          </w:p>
        </w:tc>
      </w:tr>
    </w:tbl>
    <w:p>
      <w:pPr>
        <w:spacing w:after="40"/>
        <w:ind w:firstLine="0" w:firstLineChars="0"/>
      </w:pPr>
    </w:p>
    <w:p>
      <w:pPr/>
      <w:r>
        <w:rPr>
          <w:rFonts w:ascii="Times New Roman" w:hAnsi="Times New Roman" w:eastAsia="ＭＳ 明朝"/>
          <w:b w:val="0"/>
          <w:sz w:val="18"/>
        </w:rPr>
        <w:t>式（1.3）は Novy-Marx（2013）の総収益性であり，バリュー指標が見落としがちな「割安だが優良」な企業を捉える。本研究では中央値以上を通過とした。業種によって値の出やすさが異なるため，後段の逐次比較で同一業種を原則二社までに制限してバイアスを緩和した。この業種差が限界である。</w:t>
      </w:r>
    </w:p>
    <w:p>
      <w:pPr/>
      <w:r>
        <w:rPr>
          <w:rFonts w:ascii="Times New Roman" w:hAnsi="Times New Roman" w:eastAsia="ＭＳ 明朝"/>
          <w:b w:val="0"/>
          <w:sz w:val="18"/>
        </w:rPr>
        <w:t>財務健全性と利益の質を，Piotroski（式 1.4）と Sloan（式 1.5）で確認する。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（1.4）Piotroski available signal ratio ― 改変式・部分実装（守：選定使用）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rPr>
                        <m:sty m:val="p"/>
                      </m:rPr>
                      <m:t>P</m:t>
                    </m:r>
                    <m:r>
                      <m:rPr>
                        <m:sty m:val="p"/>
                      </m:rPr>
                      <m:t>F</m:t>
                    </m:r>
                  </m:e>
                  <m:sub>
                    <m:r>
                      <m:t>i</m:t>
                    </m:r>
                  </m:sub>
                  <m:sup>
                    <m:r>
                      <m:rPr>
                        <m:sty m:val="p"/>
                      </m:rPr>
                      <m:t>a</m:t>
                    </m:r>
                    <m:r>
                      <m:rPr>
                        <m:sty m:val="p"/>
                      </m:rPr>
                      <m:t>v</m:t>
                    </m:r>
                    <m:r>
                      <m:rPr>
                        <m:sty m:val="p"/>
                      </m:rPr>
                      <m:t>a</m:t>
                    </m:r>
                    <m:r>
                      <m:rPr>
                        <m:sty m:val="p"/>
                      </m:rPr>
                      <m:t>i</m:t>
                    </m:r>
                    <m:r>
                      <m:rPr>
                        <m:sty m:val="p"/>
                      </m:rPr>
                      <m:t>l</m:t>
                    </m:r>
                  </m:sup>
                </m:sSubSup>
                <m:r>
                  <m:rPr>
                    <m:sty m:val="p"/>
                  </m:rPr>
                  <m:t>=</m:t>
                </m:r>
                <m:f>
                  <m:fPr>
                    <m:type m:val="bar"/>
                  </m:fPr>
                  <m:num>
                    <m:nary>
                      <m:naryPr>
                        <m:chr m:val="∑"/>
                        <m:limLoc m:val="undOvr"/>
                        <m:subHide m:val="off"/>
                        <m:supHide m:val="on"/>
                      </m:naryPr>
                      <m:sub>
                        <m:r>
                          <m:t>s</m:t>
                        </m:r>
                        <m:r>
                          <m:rPr>
                            <m:sty m:val="p"/>
                          </m:rPr>
                          <m:t>∈</m:t>
                        </m:r>
                        <m:sSub>
                          <m:e>
                            <m:r>
                              <m:rPr>
                                <m:scr m:val="script"/>
                                <m:sty m:val="p"/>
                              </m:rPr>
                              <m:t>S</m:t>
                            </m:r>
                          </m:e>
                          <m:sub>
                            <m:r>
                              <m:t>i</m:t>
                            </m:r>
                          </m:sub>
                        </m:sSub>
                      </m:sub>
                      <m:sup>
                        <m:r>
                          <m:t>​</m:t>
                        </m:r>
                      </m:sup>
                      <m:e>
                        <m:r>
                          <m:rPr>
                            <m:sty m:val="b"/>
                          </m:rPr>
                          <m:t>1</m:t>
                        </m:r>
                      </m:e>
                    </m:nary>
                    <m:r>
                      <m:rPr>
                        <m:sty m:val="p"/>
                      </m:rPr>
                      <m:t>[</m:t>
                    </m:r>
                    <m:r>
                      <m:rPr>
                        <m:nor/>
                        <m:sty m:val="p"/>
                      </m:rPr>
                      <m:t>signal </m:t>
                    </m:r>
                    <m:r>
                      <m:t>s</m:t>
                    </m:r>
                    <m:r>
                      <m:rPr>
                        <m:nor/>
                        <m:sty m:val="p"/>
                      </m:rPr>
                      <m:t> passes</m:t>
                    </m:r>
                    <m:r>
                      <m:rPr>
                        <m:sty m:val="p"/>
                      </m:rPr>
                      <m:t>]</m:t>
                    </m:r>
                  </m:num>
                  <m:den>
                    <m:r>
                      <m:rPr>
                        <m:sty m:val="p"/>
                      </m:rPr>
                      <m:t>|</m:t>
                    </m:r>
                    <m:sSub>
                      <m:e>
                        <m:r>
                          <m:rPr>
                            <m:scr m:val="script"/>
                            <m:sty m:val="p"/>
                          </m:rPr>
                          <m:t>S</m:t>
                        </m:r>
                      </m:e>
                      <m:sub>
                        <m:r>
                          <m:t>i</m:t>
                        </m:r>
                      </m:sub>
                    </m:sSub>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S_i：企業 i で算出可能なシグナル集合；　1[・]：合格シグナルの指示関数。9 指標中 6 指標の部分実装のため、算出可能シグナル中の合格比率で評価する。</w:t>
            </w:r>
          </w:p>
        </w:tc>
      </w:tr>
    </w:tbl>
    <w:p>
      <w:pPr>
        <w:spacing w:after="40"/>
        <w:ind w:firstLine="0" w:firstLineChars="0"/>
      </w:pPr>
    </w:p>
    <w:p>
      <w:pPr/>
      <w:r>
        <w:rPr>
          <w:rFonts w:ascii="Times New Roman" w:hAnsi="Times New Roman" w:eastAsia="ＭＳ 明朝"/>
          <w:b w:val="0"/>
          <w:sz w:val="18"/>
        </w:rPr>
        <w:t>式（1.4）は Piotroski（2000）の F-Score の考え方を用いる。原式は収益性・レバレッジ・効率性の九つの二値シグナルの合計だが，本研究では入力データの制約から算出可能なのは六シグナルであり，算出可能シグナル中の合格比率（available signal ratio）として実装した。この部分実装が原式からの改変であり，限界である。本研究では比率〇.六五以上を通過とした。</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（1.5）Sloan Accruals ― 引用式（守：選定使用）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A</m:t>
                    </m:r>
                    <m:r>
                      <m:rPr>
                        <m:sty m:val="p"/>
                      </m:rPr>
                      <m:t>C</m:t>
                    </m:r>
                    <m:r>
                      <m:rPr>
                        <m:sty m:val="p"/>
                      </m:rPr>
                      <m:t>C</m:t>
                    </m:r>
                  </m:e>
                  <m:sub>
                    <m:r>
                      <m:t>i</m:t>
                    </m:r>
                  </m:sub>
                </m:sSub>
                <m:r>
                  <m:rPr>
                    <m:sty m:val="p"/>
                  </m:rPr>
                  <m:t>=</m:t>
                </m:r>
                <m:f>
                  <m:fPr>
                    <m:type m:val="bar"/>
                  </m:fPr>
                  <m:num>
                    <m:sSub>
                      <m:e>
                        <m:r>
                          <m:rPr>
                            <m:sty m:val="p"/>
                          </m:rPr>
                          <m:t>N</m:t>
                        </m:r>
                        <m:r>
                          <m:rPr>
                            <m:sty m:val="p"/>
                          </m:rPr>
                          <m:t>I</m:t>
                        </m:r>
                      </m:e>
                      <m:sub>
                        <m:r>
                          <m:t>i</m:t>
                        </m:r>
                      </m:sub>
                    </m:sSub>
                    <m:r>
                      <m:rPr>
                        <m:sty m:val="p"/>
                      </m:rPr>
                      <m:t>−</m:t>
                    </m:r>
                    <m:sSub>
                      <m:e>
                        <m:r>
                          <m:rPr>
                            <m:sty m:val="p"/>
                          </m:rPr>
                          <m:t>C</m:t>
                        </m:r>
                        <m:r>
                          <m:rPr>
                            <m:sty m:val="p"/>
                          </m:rPr>
                          <m:t>F</m:t>
                        </m:r>
                        <m:r>
                          <m:rPr>
                            <m:sty m:val="p"/>
                          </m:rPr>
                          <m:t>O</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NI_i：当期純利益；　CFO_i：営業キャッシュフロー。アクルーアルが大きいほど利益の質が低い。</w:t>
            </w:r>
          </w:p>
        </w:tc>
      </w:tr>
    </w:tbl>
    <w:p>
      <w:pPr>
        <w:spacing w:after="40"/>
        <w:ind w:firstLine="0" w:firstLineChars="0"/>
      </w:pPr>
    </w:p>
    <w:p>
      <w:pPr/>
      <w:r>
        <w:rPr>
          <w:rFonts w:ascii="Times New Roman" w:hAnsi="Times New Roman" w:eastAsia="ＭＳ 明朝"/>
          <w:b w:val="0"/>
          <w:sz w:val="18"/>
        </w:rPr>
        <w:t>式（1.5）は Sloan（1996）のアクルーアルであり，利益がキャッシュフローに裏づけられているかを測る。アクルーアルが大きい企業は将来リターンが劣後する傾向があるため，本研究では悪い側の上位を除外した。原式からの変更は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（1.6）60 日平均売買代金（流動性）― 実装式（守：選定使用）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A</m:t>
                    </m:r>
                    <m:r>
                      <m:rPr>
                        <m:sty m:val="p"/>
                      </m:rPr>
                      <m:t>D</m:t>
                    </m:r>
                    <m:r>
                      <m:rPr>
                        <m:sty m:val="p"/>
                      </m:rPr>
                      <m:t>V</m:t>
                    </m:r>
                  </m:e>
                  <m:sub>
                    <m:r>
                      <m:t>i</m:t>
                    </m:r>
                    <m:r>
                      <m:rPr>
                        <m:sty m:val="p"/>
                      </m:rPr>
                      <m:t>,</m:t>
                    </m:r>
                    <m:r>
                      <m:t>60</m:t>
                    </m:r>
                  </m:sub>
                </m:sSub>
                <m:r>
                  <m:rPr>
                    <m:sty m:val="p"/>
                  </m:rPr>
                  <m:t>=</m:t>
                </m:r>
                <m:f>
                  <m:fPr>
                    <m:type m:val="bar"/>
                  </m:fPr>
                  <m:num>
                    <m:r>
                      <m:t>1</m:t>
                    </m:r>
                  </m:num>
                  <m:den>
                    <m:r>
                      <m:t>60</m:t>
                    </m:r>
                  </m:den>
                </m:f>
                <m:nary>
                  <m:naryPr>
                    <m:chr m:val="∑"/>
                    <m:limLoc m:val="undOvr"/>
                    <m:subHide m:val="off"/>
                    <m:supHide m:val="off"/>
                  </m:naryPr>
                  <m:sub>
                    <m:r>
                      <m:t>d</m:t>
                    </m:r>
                    <m:r>
                      <m:rPr>
                        <m:sty m:val="p"/>
                      </m:rPr>
                      <m:t>=</m:t>
                    </m:r>
                    <m:r>
                      <m:t>1</m:t>
                    </m:r>
                  </m:sub>
                  <m:sup>
                    <m:r>
                      <m:t>60</m:t>
                    </m:r>
                  </m:sup>
                  <m:e>
                    <m:sSub>
                      <m:e>
                        <m:r>
                          <m:t>P</m:t>
                        </m:r>
                      </m:e>
                      <m:sub>
                        <m:r>
                          <m:t>i</m:t>
                        </m:r>
                        <m:r>
                          <m:rPr>
                            <m:sty m:val="p"/>
                          </m:rPr>
                          <m:t>,</m:t>
                        </m:r>
                        <m:r>
                          <m:t>d</m:t>
                        </m:r>
                      </m:sub>
                    </m:sSub>
                  </m:e>
                </m:nary>
                <m:r>
                  <m:t> </m:t>
                </m:r>
                <m:sSub>
                  <m:e>
                    <m:r>
                      <m:t>V</m:t>
                    </m:r>
                  </m:e>
                  <m:sub>
                    <m:r>
                      <m:t>i</m:t>
                    </m:r>
                    <m:r>
                      <m:rPr>
                        <m:sty m:val="p"/>
                      </m:rPr>
                      <m:t>,</m:t>
                    </m:r>
                    <m:r>
                      <m:t>d</m:t>
                    </m:r>
                  </m:sub>
                </m:sSub>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P_{i,d}：d 日前の終値；　V_{i,d}：出来高。実務上 1,000 万円以上を優先。</w:t>
            </w:r>
          </w:p>
        </w:tc>
      </w:tr>
    </w:tbl>
    <w:p>
      <w:pPr>
        <w:spacing w:after="40"/>
        <w:ind w:firstLine="0" w:firstLineChars="0"/>
      </w:pPr>
    </w:p>
    <w:p>
      <w:pPr/>
      <w:r>
        <w:rPr>
          <w:rFonts w:ascii="Times New Roman" w:hAnsi="Times New Roman" w:eastAsia="ＭＳ 明朝"/>
          <w:b w:val="0"/>
          <w:sz w:val="18"/>
        </w:rPr>
        <w:t>式（1.6）は六〇日平均売買代金であり，仮想ポートフォリオが現実に執行可能かを担保する流動性指標である。本研究では一,〇〇〇万円以上を優先した。小型株の情報非効率は残る限界である。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（1.7）簡易 distress ガードレール ― 改変式・原式代替（守：選定使用）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D</m:t>
                    </m:r>
                    <m:r>
                      <m:rPr>
                        <m:sty m:val="p"/>
                      </m:rPr>
                      <m:t>i</m:t>
                    </m:r>
                    <m:r>
                      <m:rPr>
                        <m:sty m:val="p"/>
                      </m:rPr>
                      <m:t>s</m:t>
                    </m:r>
                    <m:r>
                      <m:rPr>
                        <m:sty m:val="p"/>
                      </m:rPr>
                      <m:t>t</m:t>
                    </m:r>
                    <m:r>
                      <m:rPr>
                        <m:sty m:val="p"/>
                      </m:rPr>
                      <m:t>r</m:t>
                    </m:r>
                    <m:r>
                      <m:rPr>
                        <m:sty m:val="p"/>
                      </m:rPr>
                      <m:t>e</m:t>
                    </m:r>
                    <m:r>
                      <m:rPr>
                        <m:sty m:val="p"/>
                      </m:rPr>
                      <m:t>s</m:t>
                    </m:r>
                    <m:r>
                      <m:rPr>
                        <m:sty m:val="p"/>
                      </m:rPr>
                      <m:t>s</m:t>
                    </m:r>
                  </m:e>
                  <m:sub>
                    <m:r>
                      <m:t>i</m:t>
                    </m:r>
                  </m:sub>
                </m:sSub>
                <m:r>
                  <m:rPr>
                    <m:sty m:val="p"/>
                  </m:rPr>
                  <m:t>=</m:t>
                </m:r>
                <m:r>
                  <m:rPr>
                    <m:sty m:val="b"/>
                  </m:rPr>
                  <m:t>1</m:t>
                </m:r>
                <m:r>
                  <m:rPr>
                    <m:sty m:val="p"/>
                  </m:rPr>
                  <m:t>[</m:t>
                </m:r>
                <m:r>
                  <m:rPr>
                    <m:nor/>
                    <m:sty m:val="p"/>
                  </m:rPr>
                  <m:t>債務超過</m:t>
                </m:r>
                <m:r>
                  <m:t> </m:t>
                </m:r>
                <m:r>
                  <m:rPr>
                    <m:sty m:val="p"/>
                  </m:rPr>
                  <m:t>∨</m:t>
                </m:r>
                <m:r>
                  <m:t> </m:t>
                </m:r>
                <m:r>
                  <m:rPr>
                    <m:nor/>
                    <m:sty m:val="p"/>
                  </m:rPr>
                  <m:t>連続損失</m:t>
                </m:r>
                <m:r>
                  <m:t> </m:t>
                </m:r>
                <m:r>
                  <m:rPr>
                    <m:sty m:val="p"/>
                  </m:rPr>
                  <m:t>∨</m:t>
                </m:r>
                <m:r>
                  <m:t> </m:t>
                </m:r>
                <m:sSub>
                  <m:e>
                    <m:r>
                      <m:rPr>
                        <m:sty m:val="p"/>
                      </m:rPr>
                      <m:t>C</m:t>
                    </m:r>
                    <m:r>
                      <m:rPr>
                        <m:sty m:val="p"/>
                      </m:rPr>
                      <m:t>F</m:t>
                    </m:r>
                    <m:r>
                      <m:rPr>
                        <m:sty m:val="p"/>
                      </m:rPr>
                      <m:t>O</m:t>
                    </m:r>
                  </m:e>
                  <m:sub>
                    <m:r>
                      <m:t>i</m:t>
                    </m:r>
                  </m:sub>
                </m:sSub>
                <m:r>
                  <m:rPr>
                    <m:sty m:val="p"/>
                  </m:rPr>
                  <m:t>&lt;</m:t>
                </m:r>
                <m:r>
                  <m:t>0</m:t>
                </m:r>
                <m:r>
                  <m:rPr>
                    <m:sty m:val="p"/>
                  </m:rPr>
                  <m:t>]</m:t>
                </m:r>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Ohlson (1980)・Altman (1968) の原式が入力変数の制約で実装不能なため、債務超過・連続損失・営業CF赤字による簡易ガードレールで代替した。</w:t>
            </w:r>
          </w:p>
        </w:tc>
      </w:tr>
    </w:tbl>
    <w:p>
      <w:pPr>
        <w:spacing w:after="40"/>
        <w:ind w:firstLine="0" w:firstLineChars="0"/>
      </w:pPr>
    </w:p>
    <w:p>
      <w:pPr/>
      <w:r>
        <w:rPr>
          <w:rFonts w:ascii="Times New Roman" w:hAnsi="Times New Roman" w:eastAsia="ＭＳ 明朝"/>
          <w:b w:val="0"/>
          <w:sz w:val="18"/>
        </w:rPr>
        <w:t>式（1.7）は財務危機の簡易ガードレールである。破綻予測の代表式である Ohlson（1980）・Altman（1968）は入力変数の制約で原式を実装できなかったため，債務超過・連続損失・営業キャッシュフロー赤字による簡易な指示関数で代替した。原式そのものを用いていない点が限界であり，本文でこれを明示する。</w:t>
      </w:r>
    </w:p>
    <w:p>
      <w:pPr/>
      <w:r>
        <w:rPr>
          <w:rFonts w:ascii="Times New Roman" w:hAnsi="Times New Roman" w:eastAsia="ＭＳ 明朝"/>
          <w:b w:val="0"/>
          <w:sz w:val="18"/>
        </w:rPr>
        <w:t>以上の段階的スクリーニングにより，非金融普通株 3,099 社から流動性通過 77 社まで絞り，通過企業から固定順序の逐次比較（GP → E/P → B/M → Piotroski → Sloan → 流動性 → 時価総額）で上位五社を選んだ。この五社（3539 JM ホールディングス，4350 メディカルシステムネットワーク，6430 大黒電機，7803 ブシロード，9470 学研ホールディングス）を Buffett Core として固定し，以降の段階で入れ替えない。この固定は，完成された Moat を安定土台として常設する意図による。</w:t>
      </w:r>
    </w:p>
    <w:p>
      <w:pPr>
        <w:pStyle w:val="Heading2"/>
      </w:pPr>
      <w:r>
        <w:rPr>
          <w:rFonts w:ascii="ＭＳ ゴシック" w:hAnsi="ＭＳ ゴシック" w:eastAsia="ＭＳ ゴシック"/>
          <w:b/>
          <w:color w:val="000000"/>
          <w:sz w:val="22"/>
        </w:rPr>
        <w:t>2．破 ― 候補宇宙の形成（Phase2）</w:t>
      </w:r>
    </w:p>
    <w:p>
      <w:pPr/>
      <w:r>
        <w:rPr>
          <w:rFonts w:ascii="Times New Roman" w:hAnsi="Times New Roman" w:eastAsia="ＭＳ 明朝"/>
          <w:b w:val="0"/>
          <w:sz w:val="18"/>
        </w:rPr>
        <w:t>守の段階的スクリーニングは規律が強い反面，通過が 77 社に絞られ，変わる Moat・生まれる Moat の候補を評価する余地が乏しい。破では，守の式そのものは一切変えずに，閾値・分位・通過条件・正規化方式・候補数という「式の使い方」だけを最適化し，Phase3 に渡す候補宇宙を広げる。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（2.1）市場パーセンタイル正規化 ― 実装式（破：候補宇宙形成に使用）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z</m:t>
                    </m:r>
                  </m:e>
                  <m:sub>
                    <m:r>
                      <m:t>i</m:t>
                    </m:r>
                    <m:r>
                      <m:rPr>
                        <m:sty m:val="p"/>
                      </m:rPr>
                      <m:t>,</m:t>
                    </m:r>
                    <m:r>
                      <m:t>k</m:t>
                    </m:r>
                  </m:sub>
                  <m:sup>
                    <m:r>
                      <m:rPr>
                        <m:sty m:val="p"/>
                      </m:rPr>
                      <m:t>m</m:t>
                    </m:r>
                    <m:r>
                      <m:rPr>
                        <m:sty m:val="p"/>
                      </m:rPr>
                      <m:t>k</m:t>
                    </m:r>
                    <m:r>
                      <m:rPr>
                        <m:sty m:val="p"/>
                      </m:rPr>
                      <m:t>t</m:t>
                    </m:r>
                  </m:sup>
                </m:sSubSup>
                <m:r>
                  <m:rPr>
                    <m:sty m:val="p"/>
                  </m:rPr>
                  <m:t>=</m:t>
                </m:r>
                <m:f>
                  <m:fPr>
                    <m:type m:val="bar"/>
                  </m:fPr>
                  <m:num>
                    <m:sSub>
                      <m:e>
                        <m:r>
                          <m:rPr>
                            <m:sty m:val="p"/>
                          </m:rPr>
                          <m:t>r</m:t>
                        </m:r>
                        <m:r>
                          <m:rPr>
                            <m:sty m:val="p"/>
                          </m:rPr>
                          <m:t>a</m:t>
                        </m:r>
                        <m:r>
                          <m:rPr>
                            <m:sty m:val="p"/>
                          </m:rPr>
                          <m:t>n</m:t>
                        </m:r>
                        <m:r>
                          <m:rPr>
                            <m:sty m:val="p"/>
                          </m:rPr>
                          <m:t>k</m:t>
                        </m:r>
                      </m:e>
                      <m:sub>
                        <m:r>
                          <m:rPr>
                            <m:sty m:val="p"/>
                          </m:rPr>
                          <m:t>Ω</m:t>
                        </m:r>
                      </m:sub>
                    </m:sSub>
                    <m:r>
                      <m:rPr>
                        <m:sty m:val="p"/>
                      </m:rPr>
                      <m:t>(</m:t>
                    </m:r>
                    <m:sSub>
                      <m:e>
                        <m:r>
                          <m:t>x</m:t>
                        </m:r>
                      </m:e>
                      <m:sub>
                        <m:r>
                          <m:t>i</m:t>
                        </m:r>
                        <m:r>
                          <m:rPr>
                            <m:sty m:val="p"/>
                          </m:rPr>
                          <m:t>,</m:t>
                        </m:r>
                        <m:r>
                          <m:t>k</m:t>
                        </m:r>
                      </m:sub>
                    </m:sSub>
                    <m:r>
                      <m:rPr>
                        <m:sty m:val="p"/>
                      </m:rPr>
                      <m:t>)</m:t>
                    </m:r>
                  </m:num>
                  <m:den>
                    <m:sSub>
                      <m:e>
                        <m:r>
                          <m:t>N</m:t>
                        </m:r>
                      </m:e>
                      <m:sub>
                        <m:r>
                          <m:rPr>
                            <m:sty m:val="p"/>
                          </m:rPr>
                          <m:t>Ω</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x_{i,k}：指標 k の生値；　Ω：母集団；　N_Ω：母集団サイズ。守の式（1.1）〜（1.6）を変えず、値を市場内順位へ写す。</w:t>
            </w:r>
          </w:p>
        </w:tc>
      </w:tr>
    </w:tbl>
    <w:p>
      <w:pPr>
        <w:spacing w:after="40"/>
        <w:ind w:firstLine="0" w:firstLineChars="0"/>
      </w:pPr>
    </w:p>
    <w:p>
      <w:pPr/>
      <w:r>
        <w:rPr>
          <w:rFonts w:ascii="Times New Roman" w:hAnsi="Times New Roman" w:eastAsia="ＭＳ 明朝"/>
          <w:b w:val="0"/>
          <w:sz w:val="18"/>
        </w:rPr>
        <w:t>式（2.1）は市場パーセンタイル正規化である。守の式（1.1）〜（1.6）の定義を変えず，各指標の生値を母集団内の順位に写して〇から一に正規化する。これにより指標間のスケール差をなくし，閾値・分位の探索を可能にする。探索はランダムサーチ（Bergstra and Bengio, 2012）で行い，重み・ペナルティ・候補数・業種調整・欠損処理を比較した。</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（2.2）正規化コンセンサスタグ ― 実装式（破：頑健性確認に使用）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C</m:t>
                    </m:r>
                    <m:r>
                      <m:rPr>
                        <m:sty m:val="p"/>
                      </m:rPr>
                      <m:t>o</m:t>
                    </m:r>
                    <m:r>
                      <m:rPr>
                        <m:sty m:val="p"/>
                      </m:rPr>
                      <m:t>n</m:t>
                    </m:r>
                    <m:r>
                      <m:rPr>
                        <m:sty m:val="p"/>
                      </m:rPr>
                      <m:t>s</m:t>
                    </m:r>
                    <m:r>
                      <m:rPr>
                        <m:sty m:val="p"/>
                      </m:rPr>
                      <m:t>e</m:t>
                    </m:r>
                    <m:r>
                      <m:rPr>
                        <m:sty m:val="p"/>
                      </m:rPr>
                      <m:t>n</m:t>
                    </m:r>
                    <m:r>
                      <m:rPr>
                        <m:sty m:val="p"/>
                      </m:rPr>
                      <m:t>s</m:t>
                    </m:r>
                    <m:r>
                      <m:rPr>
                        <m:sty m:val="p"/>
                      </m:rPr>
                      <m:t>u</m:t>
                    </m:r>
                    <m:r>
                      <m:rPr>
                        <m:sty m:val="p"/>
                      </m:rPr>
                      <m:t>s</m:t>
                    </m:r>
                  </m:e>
                  <m:sub>
                    <m:r>
                      <m:t>i</m:t>
                    </m:r>
                  </m:sub>
                </m:sSub>
                <m:r>
                  <m:rPr>
                    <m:sty m:val="p"/>
                  </m:rPr>
                  <m:t>=</m:t>
                </m:r>
                <m:nary>
                  <m:naryPr>
                    <m:chr m:val="∑"/>
                    <m:limLoc m:val="undOvr"/>
                    <m:subHide m:val="off"/>
                    <m:supHide m:val="on"/>
                  </m:naryPr>
                  <m:sub>
                    <m:r>
                      <m:t>m</m:t>
                    </m:r>
                    <m:r>
                      <m:rPr>
                        <m:sty m:val="p"/>
                      </m:rPr>
                      <m:t>∈</m:t>
                    </m:r>
                    <m:r>
                      <m:rPr>
                        <m:scr m:val="script"/>
                        <m:sty m:val="p"/>
                      </m:rPr>
                      <m:t>M</m:t>
                    </m:r>
                  </m:sub>
                  <m:sup>
                    <m:r>
                      <m:t>​</m:t>
                    </m:r>
                  </m:sup>
                  <m:e>
                    <m:r>
                      <m:rPr>
                        <m:sty m:val="b"/>
                      </m:rPr>
                      <m:t>1</m:t>
                    </m:r>
                  </m:e>
                </m:nary>
                <m:r>
                  <m:rPr>
                    <m:sty m:val="p"/>
                  </m:rPr>
                  <m:t>[</m:t>
                </m:r>
                <m:sSubSup>
                  <m:e>
                    <m:r>
                      <m:rPr>
                        <m:sty m:val="p"/>
                      </m:rPr>
                      <m:t>r</m:t>
                    </m:r>
                    <m:r>
                      <m:rPr>
                        <m:sty m:val="p"/>
                      </m:rPr>
                      <m:t>a</m:t>
                    </m:r>
                    <m:r>
                      <m:rPr>
                        <m:sty m:val="p"/>
                      </m:rPr>
                      <m:t>n</m:t>
                    </m:r>
                    <m:r>
                      <m:rPr>
                        <m:sty m:val="p"/>
                      </m:rPr>
                      <m:t>k</m:t>
                    </m:r>
                  </m:e>
                  <m:sub>
                    <m:r>
                      <m:t>i</m:t>
                    </m:r>
                  </m:sub>
                  <m:sup>
                    <m:r>
                      <m:rPr>
                        <m:sty m:val="p"/>
                      </m:rPr>
                      <m:t>(</m:t>
                    </m:r>
                    <m:r>
                      <m:t>m</m:t>
                    </m:r>
                    <m:r>
                      <m:rPr>
                        <m:sty m:val="p"/>
                      </m:rPr>
                      <m:t>)</m:t>
                    </m:r>
                  </m:sup>
                </m:sSubSup>
                <m:r>
                  <m:rPr>
                    <m:sty m:val="p"/>
                  </m:rPr>
                  <m:t>≤</m:t>
                </m:r>
                <m:r>
                  <m:t>N</m:t>
                </m:r>
                <m:r>
                  <m:rPr>
                    <m:sty m:val="p"/>
                  </m:rPr>
                  <m:t>]</m:t>
                </m:r>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M＝｛市場, 業種, ロバスト z, ウィンザライズ z｝の 4 正規化方式。4 方式で共通して上位 N に入るほど頑健。</w:t>
            </w:r>
          </w:p>
        </w:tc>
      </w:tr>
    </w:tbl>
    <w:p>
      <w:pPr>
        <w:spacing w:after="40"/>
        <w:ind w:firstLine="0" w:firstLineChars="0"/>
      </w:pPr>
    </w:p>
    <w:p>
      <w:pPr/>
      <w:r>
        <w:rPr>
          <w:rFonts w:ascii="Times New Roman" w:hAnsi="Times New Roman" w:eastAsia="ＭＳ 明朝"/>
          <w:b w:val="0"/>
          <w:sz w:val="18"/>
        </w:rPr>
        <w:t>式（2.2）は正規化コンセンサスタグである。市場・業種・ロバスト z・ウィンザライズ z の四方式で共通して上位に残るかを数え，正規化方式への頑健性を確認する（core 970 社・robust 1,135 社）。これは特定の正規化に依存した見かけ上の優位を排除するための監査である。</w:t>
      </w:r>
    </w:p>
    <w:p>
      <w:pPr/>
      <w:r>
        <w:rPr>
          <w:rFonts w:ascii="Times New Roman" w:hAnsi="Times New Roman" w:eastAsia="ＭＳ 明朝"/>
          <w:b w:val="0"/>
          <w:sz w:val="18"/>
        </w:rPr>
        <w:t>正式母集団は Top1200（1,200 社）とした。候補数を広さ・品質・安全性・流動性・業種分散・解釈可能性・レビュー負荷で比較すると，広さを報酬する効用関数の下では Top2000 が数値的に優位となる。しかし本研究は候補数の最大化を目的とせず，「人間がレビュー可能で，かつ完成 Moat の周辺を十分に含む」候補宇宙を求めた。したがって Top1200 の採用は，数学的な唯一解ではなく，品質・幅・レビュー可能性を両立させるガバナンス上の判断である。Top2000 は取りこぼし確認のための参照群，Top100・Top300 は優先確認レイヤと位置づけた。守の Top5 はすべて Top1200 に含まれる。なお破の探索的な重み付きスコアは候補宇宙形成のための道具であり，最終選定スコアとしては使用しない。破は将来リターンの最大化ではなく，レビュー可能な候補宇宙の形成である。</w:t>
      </w:r>
    </w:p>
    <w:p>
      <w:pPr>
        <w:pStyle w:val="Heading2"/>
      </w:pPr>
      <w:r>
        <w:rPr>
          <w:rFonts w:ascii="ＭＳ ゴシック" w:hAnsi="ＭＳ ゴシック" w:eastAsia="ＭＳ ゴシック"/>
          <w:b/>
          <w:color w:val="000000"/>
          <w:sz w:val="22"/>
        </w:rPr>
        <w:t>3．離 ― Moat の時間軸拡張（Phase3）</w:t>
      </w:r>
    </w:p>
    <w:p>
      <w:pPr/>
      <w:r>
        <w:rPr>
          <w:rFonts w:ascii="Times New Roman" w:hAnsi="Times New Roman" w:eastAsia="ＭＳ 明朝"/>
          <w:b w:val="0"/>
          <w:sz w:val="18"/>
        </w:rPr>
        <w:t>守が抽出するのは完成された Moat である。離では，候補 1,200 社に対し，資本効率改革で変わる Moat と産業構造転換で生まれる Moat を測定し，完成・変化・新生の三世代からなる二〇社を構成する（図表 Ⅱ-2）。離の独自性は新式の発明ではなく，先行研究式の時間軸への再構成にある。</w:t>
      </w:r>
    </w:p>
    <w:p>
      <w:pPr>
        <w:keepNext/>
        <w:spacing w:before="120" w:after="40"/>
        <w:ind w:firstLine="0" w:firstLineChars="0"/>
      </w:pPr>
      <w:r>
        <w:rPr>
          <w:rFonts w:ascii="ＭＳ ゴシック" w:hAnsi="ＭＳ ゴシック" w:eastAsia="ＭＳ ゴシック"/>
          <w:b/>
          <w:color w:val="000000"/>
          <w:sz w:val="18"/>
        </w:rPr>
        <w:t>図表 Ⅱ-2　Moat の時間軸拡張</w:t>
      </w:r>
    </w:p>
    <w:p>
      <w:pPr>
        <w:jc w:val="center"/>
        <w:keepNext/>
        <w:ind w:firstLine="0" w:firstLineChars="0"/>
      </w:pPr>
      <w:r>
        <w:drawing>
          <wp:inline xmlns:a="http://schemas.openxmlformats.org/drawingml/2006/main" xmlns:pic="http://schemas.openxmlformats.org/drawingml/2006/picture">
            <wp:extent cx="5040000" cy="1763041"/>
            <wp:docPr id="3" name="Picture 3"/>
            <wp:cNvGraphicFramePr>
              <a:graphicFrameLocks noChangeAspect="1"/>
            </wp:cNvGraphicFramePr>
            <a:graphic>
              <a:graphicData uri="http://schemas.openxmlformats.org/drawingml/2006/picture">
                <pic:pic>
                  <pic:nvPicPr>
                    <pic:cNvPr id="0" name="moat_timeaxis.png"/>
                    <pic:cNvPicPr/>
                  </pic:nvPicPr>
                  <pic:blipFill>
                    <a:blip r:embed="rId11"/>
                    <a:stretch>
                      <a:fillRect/>
                    </a:stretch>
                  </pic:blipFill>
                  <pic:spPr>
                    <a:xfrm>
                      <a:off x="0" y="0"/>
                      <a:ext cx="5040000" cy="1763041"/>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注：完成（守 Top5）・変化（Transformation）・新生（Emerging）の三世代。筆者作成。</w:t>
      </w:r>
    </w:p>
    <w:p>
      <w:pPr/>
      <w:r>
        <w:rPr>
          <w:rFonts w:ascii="Times New Roman" w:hAnsi="Times New Roman" w:eastAsia="ＭＳ 明朝"/>
          <w:b w:val="0"/>
          <w:sz w:val="18"/>
        </w:rPr>
        <w:t>まず「変わる Moat」を測る Transformation Moat Score を，設計完全形（式 3.1）と実装形（式 3.2）に分けて示す。両者の区別は本研究の透明性の核である。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（3.1）Transformation Moat Score（設計完全形）― 本研究の設計式・選定未使用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r>
                  <m:t>100</m:t>
                </m:r>
                <m:r>
                  <m:t> </m:t>
                </m:r>
                <m:r>
                  <m:rPr>
                    <m:sty m:val="p"/>
                  </m:rPr>
                  <m:t>(</m:t>
                </m:r>
                <m:sSub>
                  <m:e>
                    <m:r>
                      <m:t>w</m:t>
                    </m:r>
                  </m:e>
                  <m:sub>
                    <m:r>
                      <m:t>V</m:t>
                    </m:r>
                  </m:sub>
                </m:sSub>
                <m:sSub>
                  <m:e>
                    <m:r>
                      <m:t>V</m:t>
                    </m:r>
                  </m:e>
                  <m:sub>
                    <m:r>
                      <m:t>i</m:t>
                    </m:r>
                  </m:sub>
                </m:sSub>
                <m:r>
                  <m:rPr>
                    <m:sty m:val="p"/>
                  </m:rPr>
                  <m:t>+</m:t>
                </m:r>
                <m:sSub>
                  <m:e>
                    <m:r>
                      <m:t>w</m:t>
                    </m:r>
                  </m:e>
                  <m:sub>
                    <m:r>
                      <m:t>C</m:t>
                    </m:r>
                  </m:sub>
                </m:sSub>
                <m:sSub>
                  <m:e>
                    <m:r>
                      <m:t>C</m:t>
                    </m:r>
                  </m:e>
                  <m:sub>
                    <m:r>
                      <m:t>i</m:t>
                    </m:r>
                  </m:sub>
                </m:sSub>
                <m:r>
                  <m:rPr>
                    <m:sty m:val="p"/>
                  </m:rPr>
                  <m:t>+</m:t>
                </m:r>
                <m:sSub>
                  <m:e>
                    <m:r>
                      <m:t>w</m:t>
                    </m:r>
                  </m:e>
                  <m:sub>
                    <m:r>
                      <m:t>R</m:t>
                    </m:r>
                  </m:sub>
                </m:sSub>
                <m:sSub>
                  <m:e>
                    <m:r>
                      <m:t>R</m:t>
                    </m:r>
                  </m:e>
                  <m:sub>
                    <m:r>
                      <m:t>i</m:t>
                    </m:r>
                  </m:sub>
                </m:sSub>
                <m:r>
                  <m:rPr>
                    <m:sty m:val="p"/>
                  </m:rPr>
                  <m:t>+</m:t>
                </m:r>
                <m:sSub>
                  <m:e>
                    <m:r>
                      <m:t>w</m:t>
                    </m:r>
                  </m:e>
                  <m:sub>
                    <m:r>
                      <m:t>E</m:t>
                    </m:r>
                  </m:sub>
                </m:sSub>
                <m:sSub>
                  <m:e>
                    <m:r>
                      <m:t>E</m:t>
                    </m:r>
                  </m:e>
                  <m:sub>
                    <m:r>
                      <m:t>i</m:t>
                    </m:r>
                  </m:sub>
                </m:sSub>
                <m:r>
                  <m:rPr>
                    <m:sty m:val="p"/>
                  </m:rPr>
                  <m:t>+</m:t>
                </m:r>
                <m:sSub>
                  <m:e>
                    <m:r>
                      <m:t>w</m:t>
                    </m:r>
                  </m:e>
                  <m:sub>
                    <m:r>
                      <m:t>X</m:t>
                    </m:r>
                  </m:sub>
                </m:sSub>
                <m:sSub>
                  <m:e>
                    <m:r>
                      <m:t>X</m:t>
                    </m:r>
                  </m:e>
                  <m:sub>
                    <m:r>
                      <m:t>i</m:t>
                    </m:r>
                  </m:sub>
                </m:sSub>
                <m:r>
                  <m:rPr>
                    <m:sty m:val="p"/>
                  </m:rPr>
                  <m:t>+</m:t>
                </m:r>
                <m:sSub>
                  <m:e>
                    <m:r>
                      <m:t>w</m:t>
                    </m:r>
                  </m:e>
                  <m:sub>
                    <m:r>
                      <m:t>Q</m:t>
                    </m:r>
                  </m:sub>
                </m:sSub>
                <m:sSub>
                  <m:e>
                    <m:r>
                      <m:t>Q</m:t>
                    </m:r>
                  </m:e>
                  <m:sub>
                    <m:r>
                      <m:t>i</m:t>
                    </m:r>
                  </m:sub>
                </m:sSub>
                <m:r>
                  <m:rPr>
                    <m:sty m:val="p"/>
                  </m:rPr>
                  <m:t>)</m:t>
                </m:r>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V_i：評価ギャップ；　C_i：資本効率改善；　R_i：株主還元；　E_i：改革開示；　X_i：実行信頼性；　Q_i：利益の質；　P^{Trap}_i：バリュートラップ罰。設計重み 0.20/0.22/0.16/0.17/0.13/0.12。</w:t>
            </w:r>
          </w:p>
        </w:tc>
      </w:tr>
    </w:tbl>
    <w:p>
      <w:pPr>
        <w:spacing w:after="40"/>
        <w:ind w:firstLine="0" w:firstLineChars="0"/>
      </w:pPr>
    </w:p>
    <w:p>
      <w:pPr/>
      <w:r>
        <w:rPr>
          <w:rFonts w:ascii="Times New Roman" w:hAnsi="Times New Roman" w:eastAsia="ＭＳ 明朝"/>
          <w:b w:val="0"/>
          <w:sz w:val="18"/>
        </w:rPr>
        <w:t>式（3.1）は Transformation Moat Score の設計完全形であり，評価ギャップ・資本効率改善・株主還元・改革開示・実行信頼性・利益の質の六要素で「現在は低評価だが再評価されうる企業」を測ることを意図した本研究の設計式である。ただし株主還元（R）と改革開示（E）の正式な構造化データが入力に存在しなかったため，この完全形は概念上の参照式にとどまり，実際の銘柄選定には使用していない。この点を誤認させないことが重要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（3.2）Transformation Moat Score（partial 実装形）― 本研究の実装式・選定使用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r>
                      <m:rPr>
                        <m:sty m:val="p"/>
                      </m:rPr>
                      <m:t>,</m:t>
                    </m:r>
                    <m:r>
                      <m:rPr>
                        <m:sty m:val="p"/>
                      </m:rPr>
                      <m:t>p</m:t>
                    </m:r>
                    <m:r>
                      <m:rPr>
                        <m:sty m:val="p"/>
                      </m:rPr>
                      <m:t>a</m:t>
                    </m:r>
                    <m:r>
                      <m:rPr>
                        <m:sty m:val="p"/>
                      </m:rPr>
                      <m:t>r</m:t>
                    </m:r>
                    <m:r>
                      <m:rPr>
                        <m:sty m:val="p"/>
                      </m:rPr>
                      <m:t>t</m:t>
                    </m:r>
                    <m:r>
                      <m:rPr>
                        <m:sty m:val="p"/>
                      </m:rPr>
                      <m:t>i</m:t>
                    </m:r>
                    <m:r>
                      <m:rPr>
                        <m:sty m:val="p"/>
                      </m:rPr>
                      <m:t>a</m:t>
                    </m:r>
                    <m:r>
                      <m:rPr>
                        <m:sty m:val="p"/>
                      </m:rPr>
                      <m:t>l</m:t>
                    </m:r>
                  </m:sup>
                </m:sSubSup>
                <m:r>
                  <m:rPr>
                    <m:sty m:val="p"/>
                  </m:rPr>
                  <m:t>=</m:t>
                </m:r>
                <m:r>
                  <m:t>0.22</m:t>
                </m:r>
                <m:r>
                  <m:t> </m:t>
                </m:r>
                <m:sSub>
                  <m:e>
                    <m:r>
                      <m:t>V</m:t>
                    </m:r>
                  </m:e>
                  <m:sub>
                    <m:r>
                      <m:t>i</m:t>
                    </m:r>
                  </m:sub>
                </m:sSub>
                <m:r>
                  <m:rPr>
                    <m:sty m:val="p"/>
                  </m:rPr>
                  <m:t>+</m:t>
                </m:r>
                <m:r>
                  <m:t>0.24</m:t>
                </m:r>
                <m:r>
                  <m:t> </m:t>
                </m:r>
                <m:sSub>
                  <m:e>
                    <m:r>
                      <m:t>C</m:t>
                    </m:r>
                  </m:e>
                  <m:sub>
                    <m:r>
                      <m:t>i</m:t>
                    </m:r>
                  </m:sub>
                </m:sSub>
                <m:r>
                  <m:rPr>
                    <m:sty m:val="p"/>
                  </m:rPr>
                  <m:t>+</m:t>
                </m:r>
                <m:r>
                  <m:t>0.10</m:t>
                </m:r>
                <m:r>
                  <m:t> </m:t>
                </m:r>
                <m:sSub>
                  <m:e>
                    <m:r>
                      <m:t>F</m:t>
                    </m:r>
                  </m:e>
                  <m:sub>
                    <m:r>
                      <m:t>i</m:t>
                    </m:r>
                  </m:sub>
                </m:sSub>
                <m:r>
                  <m:rPr>
                    <m:sty m:val="p"/>
                  </m:rPr>
                  <m:t>+</m:t>
                </m:r>
                <m:r>
                  <m:t>0.18</m:t>
                </m:r>
                <m:r>
                  <m:t> </m:t>
                </m:r>
                <m:sSub>
                  <m:e>
                    <m:r>
                      <m:t>X</m:t>
                    </m:r>
                  </m:e>
                  <m:sub>
                    <m:r>
                      <m:t>i</m:t>
                    </m:r>
                  </m:sub>
                </m:sSub>
                <m:r>
                  <m:rPr>
                    <m:sty m:val="p"/>
                  </m:rPr>
                  <m:t>+</m:t>
                </m:r>
                <m:r>
                  <m:t>0.16</m:t>
                </m:r>
                <m:r>
                  <m:t> </m:t>
                </m:r>
                <m:sSub>
                  <m:e>
                    <m:r>
                      <m:t>Q</m:t>
                    </m:r>
                  </m:e>
                  <m:sub>
                    <m:r>
                      <m:t>i</m:t>
                    </m:r>
                  </m:sub>
                </m:sSub>
                <m:r>
                  <m:rPr>
                    <m:sty m:val="p"/>
                  </m:rPr>
                  <m:t>+</m:t>
                </m:r>
                <m:r>
                  <m:t>0.10</m:t>
                </m:r>
                <m:r>
                  <m:t> </m:t>
                </m:r>
                <m:sSub>
                  <m:e>
                    <m:r>
                      <m:rPr>
                        <m:sty m:val="p"/>
                      </m:rPr>
                      <m:t>Φ</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F_i：FCF プロキシ（R_i の代替、営業CF−CAPEX&gt;0 で還元余力）；　Φ_i：Phase2 信頼度。E_i（改革開示）は構造化データ欠如のため除外。[0,100] にクリップ。選定に使用した実装式（partial 19 社・lite 1 社）。</w:t>
            </w:r>
          </w:p>
        </w:tc>
      </w:tr>
    </w:tbl>
    <w:p>
      <w:pPr>
        <w:spacing w:after="40"/>
        <w:ind w:firstLine="0" w:firstLineChars="0"/>
      </w:pPr>
    </w:p>
    <w:p>
      <w:pPr/>
      <w:r>
        <w:rPr>
          <w:rFonts w:ascii="Times New Roman" w:hAnsi="Times New Roman" w:eastAsia="ＭＳ 明朝"/>
          <w:b w:val="0"/>
          <w:sz w:val="18"/>
        </w:rPr>
        <w:t>式（3.2）が実際の選定に用いた partial 実装形である。株主還元 R を FCF プロキシ F（営業キャッシュフロー−設備投資が正なら還元余力ありとみなす）で代替し，改革開示 E は構造化データ欠如のため除外，Phase2 信頼度 Φ を加えた。これは低 PBR 株の選定ではない。評価ギャップが大きくても定量的な改善証拠を欠く銘柄は「低 PBR のみ」として除外した（15 社）。スコア種別は partial 19 社・lite 1 社であり，設計完全形は構造的に到達不能である。なお改革開示レベル（TR）は全対象で同値となり識別力を持たなかったため，これを採用根拠として用いていない。重みは事後リターンで最適化した係数ではなく概念上の設計係数であり，±二〇%の摂動でも選定順位はほぼ不変であった（Transformation で Spearman ρ 最小〇.九九七）。</w:t>
      </w:r>
    </w:p>
    <w:p>
      <w:pPr/>
      <w:r>
        <w:rPr>
          <w:rFonts w:ascii="Times New Roman" w:hAnsi="Times New Roman" w:eastAsia="ＭＳ 明朝"/>
          <w:b w:val="0"/>
          <w:sz w:val="18"/>
        </w:rPr>
        <w:t>次に「生まれる Moat」を測る Emerging Moat Score を示す。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（3.3）Emerging Moat Score ― 本研究の実装式・選定使用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r>
                      <m:rPr>
                        <m:sty m:val="p"/>
                      </m:rPr>
                      <m:t>d</m:t>
                    </m:r>
                    <m:r>
                      <m:rPr>
                        <m:sty m:val="p"/>
                      </m:rPr>
                      <m:t>e</m:t>
                    </m:r>
                    <m:r>
                      <m:rPr>
                        <m:sty m:val="p"/>
                      </m:rPr>
                      <m:t>n</m:t>
                    </m:r>
                    <m:r>
                      <m:rPr>
                        <m:sty m:val="p"/>
                      </m:rPr>
                      <m:t>c</m:t>
                    </m:r>
                    <m:r>
                      <m:rPr>
                        <m:sty m:val="p"/>
                      </m:rPr>
                      <m:t>e</m:t>
                    </m:r>
                  </m:sup>
                </m:sSubSup>
                <m:r>
                  <m:rPr>
                    <m:sty m:val="p"/>
                  </m:rPr>
                  <m:t>−</m:t>
                </m:r>
                <m:sSubSup>
                  <m:e>
                    <m:r>
                      <m:t>P</m:t>
                    </m:r>
                  </m:e>
                  <m:sub>
                    <m:r>
                      <m:t>i</m:t>
                    </m:r>
                  </m:sub>
                  <m:sup>
                    <m:r>
                      <m:rPr>
                        <m:sty m:val="p"/>
                      </m:rPr>
                      <m:t>H</m:t>
                    </m:r>
                    <m:r>
                      <m:rPr>
                        <m:sty m:val="p"/>
                      </m:rPr>
                      <m:t>y</m:t>
                    </m:r>
                    <m:r>
                      <m:rPr>
                        <m:sty m:val="p"/>
                      </m:rPr>
                      <m:t>p</m:t>
                    </m:r>
                    <m:r>
                      <m:rPr>
                        <m:sty m:val="p"/>
                      </m:rPr>
                      <m:t>e</m:t>
                    </m:r>
                  </m:sup>
                </m:sSubSup>
                <m:r>
                  <m:rPr>
                    <m:sty m:val="p"/>
                  </m:rPr>
                  <m:t>−</m:t>
                </m:r>
                <m:sSubSup>
                  <m:e>
                    <m:r>
                      <m:t>P</m:t>
                    </m:r>
                  </m:e>
                  <m:sub>
                    <m:r>
                      <m:t>i</m:t>
                    </m:r>
                  </m:sub>
                  <m:sup>
                    <m:r>
                      <m:rPr>
                        <m:sty m:val="p"/>
                      </m:rPr>
                      <m:t>G</m:t>
                    </m:r>
                    <m:r>
                      <m:rPr>
                        <m:sty m:val="p"/>
                      </m:rPr>
                      <m:t>u</m:t>
                    </m:r>
                    <m:r>
                      <m:rPr>
                        <m:sty m:val="p"/>
                      </m:rPr>
                      <m:t>a</m:t>
                    </m:r>
                    <m:r>
                      <m:rPr>
                        <m:sty m:val="p"/>
                      </m:rPr>
                      <m:t>r</m:t>
                    </m:r>
                    <m:r>
                      <m:rPr>
                        <m:sty m:val="p"/>
                      </m:rPr>
                      <m:t>d</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I_i：無形資産；　N_i：イノベーション；　B_i：ボトルネック性；　A_i：AI 基盤接続；　D_i：データ顧客基盤；　T_i：信頼安全基盤。重み 0.18/0.15/0.18/0.22/0.14/0.13。B^{Evidence}≤8 証拠加点；　P^{Hype}：キーワードのみ 18 点罰。</w:t>
            </w:r>
          </w:p>
        </w:tc>
      </w:tr>
    </w:tbl>
    <w:p>
      <w:pPr>
        <w:spacing w:after="40"/>
        <w:ind w:firstLine="0" w:firstLineChars="0"/>
      </w:pPr>
    </w:p>
    <w:p>
      <w:pPr/>
      <w:r>
        <w:rPr>
          <w:rFonts w:ascii="Times New Roman" w:hAnsi="Times New Roman" w:eastAsia="ＭＳ 明朝"/>
          <w:b w:val="0"/>
          <w:sz w:val="18"/>
        </w:rPr>
        <w:t>式（3.3）は Emerging Moat Score であり，無形資産・イノベーション能力・ボトルネック性・AI 産業基盤への接続・データ顧客基盤・信頼安全基盤の六要素を合成する。これは AI テーマ株の選定ではない。証拠の加点は最大 +8 に抑え，キーワードのみの言及には一八点のテーマ過熱ペナルティを課した。AI キーワードに触れるだけで具体的証拠を欠く 577 社はすべて除外・監査記録した。感度分析では Emerging で Spearman ρ 最小〇.九九四，選定は不変であった。</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（3.4）Evidence Level（役割別・スコアと分離）― 実装式（証拠分離に使用）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Dual Moat</m:t>
                          </m:r>
                        </m:e>
                      </m:mr>
                      <m:mr>
                        <m:e>
                          <m:sSubSup>
                            <m:e>
                              <m:r>
                                <m:t>L</m:t>
                              </m:r>
                            </m:e>
                            <m:sub>
                              <m:r>
                                <m:t>i</m:t>
                              </m:r>
                            </m:sub>
                            <m:sup>
                              <m:r>
                                <m:t>E</m:t>
                              </m:r>
                              <m:r>
                                <m:t>M</m:t>
                              </m:r>
                            </m:sup>
                          </m:sSubSup>
                        </m:e>
                        <m:e>
                          <m:r>
                            <m:rPr>
                              <m:nor/>
                              <m:sty m:val="p"/>
                            </m:rPr>
                            <m:t>Emerging Core</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Transformation Core</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L^{TQ}：定量証拠；　L^{TS}：株主還元証拠；　L^{TR}：改革開示；　L^{EM}：Emerging 開示。Level 1＝キーワードのみ、2＝製品/顧客/投資計画、3＝売上/受注/CAPEX 等の数量根拠。</w:t>
            </w:r>
          </w:p>
        </w:tc>
      </w:tr>
    </w:tbl>
    <w:p>
      <w:pPr>
        <w:spacing w:after="40"/>
        <w:ind w:firstLine="0" w:firstLineChars="0"/>
      </w:pPr>
    </w:p>
    <w:p>
      <w:pPr/>
      <w:r>
        <w:rPr>
          <w:rFonts w:ascii="Times New Roman" w:hAnsi="Times New Roman" w:eastAsia="ＭＳ 明朝"/>
          <w:b w:val="0"/>
          <w:sz w:val="18"/>
        </w:rPr>
        <w:t>式（3.4）は Evidence Level であり，証拠の強さをスコアと分離して役割別に管理する。Emerging 開示レベルは，キーワードのみを Level 1，製品・用途・顧客・投資計画の具体性を Level 2，売上・受注・CAPEX 等の数量根拠を Level 3 と定義する。Level 2 以上の 14 社は有価証券報告書・決算説明資料の個別精査に依存しており，機械的スクリーニングでは Level 0〜1 までしか到達できない。この非対称性は過小評価リスクとして限界に記す。最終 Evidence Level の分布は Level 3 が 15 社，Level 2 が 4 社，Level 1 が 1 社である。</w:t>
      </w:r>
    </w:p>
    <w:p>
      <w:pPr/>
      <w:r>
        <w:rPr>
          <w:rFonts w:ascii="Times New Roman" w:hAnsi="Times New Roman" w:eastAsia="ＭＳ 明朝"/>
          <w:b w:val="0"/>
          <w:sz w:val="18"/>
        </w:rPr>
        <w:t>最終 Evidence Level に Level 1 が一社残る（4350 メディカルシステムネットワーク）が，同社は守の先行研究式（Value×Quality）で選定された Buffett Core であり，Emerging 開示証拠を選定根拠にしていない。したがって Emerging 評価軸に対する低い Evidence Level は選定妥当性を毀損しない。ただし同社の事業継続性については一次資料での確認を要する（人間確認事項）。</w:t>
      </w:r>
    </w:p>
    <w:p>
      <w:pPr/>
      <w:r>
        <w:rPr>
          <w:rFonts w:ascii="Times New Roman" w:hAnsi="Times New Roman" w:eastAsia="ＭＳ 明朝"/>
          <w:b w:val="0"/>
          <w:sz w:val="18"/>
        </w:rPr>
        <w:t>最終二〇社は，Buffett Core 5・Transformation Core 5・Emerging Core 5・Dual Moat 3（変わる・生まれるの両立，min 式で判定）・Bridge / Diversifier 2 の五役割で構成する。同一業種は三社まで，同一テーマは四社までとし，テーマ非依存が一〇社と過半を占める。各社の採用は，役割・スコア・証拠・除外ガードの通過を記録した監査証跡と，除外 862 社の理由別リスト（AI キーワードのみ 577・上位互換あり 221・distress/品質 32・バリュートラップ 17・低 PBR のみ 15）によって反証可能に文書化した。選定後にバックテスト成績による入れ替えは行っていない。</w:t>
      </w:r>
    </w:p>
    <w:p>
      <w:pPr>
        <w:pStyle w:val="Heading1"/>
      </w:pPr>
      <w:r>
        <w:rPr>
          <w:rFonts w:ascii="ＭＳ ゴシック" w:hAnsi="ＭＳ ゴシック" w:eastAsia="ＭＳ ゴシック"/>
          <w:b/>
          <w:color w:val="000000"/>
          <w:sz w:val="24"/>
        </w:rPr>
        <w:t>Ⅲ．最終二〇社とポートフォリオ</w:t>
      </w:r>
    </w:p>
    <w:p>
      <w:pPr>
        <w:pStyle w:val="Heading2"/>
      </w:pPr>
      <w:r>
        <w:rPr>
          <w:rFonts w:ascii="ＭＳ ゴシック" w:hAnsi="ＭＳ ゴシック" w:eastAsia="ＭＳ ゴシック"/>
          <w:b/>
          <w:color w:val="000000"/>
          <w:sz w:val="22"/>
        </w:rPr>
        <w:t>1．ポートフォリオ配分の考え方</w:t>
      </w:r>
    </w:p>
    <w:p>
      <w:pPr/>
      <w:r>
        <w:rPr>
          <w:rFonts w:ascii="Times New Roman" w:hAnsi="Times New Roman" w:eastAsia="ＭＳ 明朝"/>
          <w:b w:val="0"/>
          <w:sz w:val="18"/>
        </w:rPr>
        <w:t>配分はバックテスト成績ではなく，投資仮説（三世代への時間軸分散）とリスク制約によって決める。役割別予算を Buffett/Transformation/Emerging 各二五%，Dual Moat 一五%，Bridge / Diversifier 一〇%と置き，役割内を逆ボラティリティ・流動性・Evidence・信頼度で傾ける（式 4.1）。実購入株数は単元株調整式（式 4.2）で求める。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（4.1）Risk-adjusted Role Allocation ― 実装式（配分に使用・銘柄は不変）</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0.10</m:t>
                    </m:r>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B_{r}：役割 r の予算（Buffett/Trans/Emerging 0.25、Dual 0.15、Bridge 0.10）；　ρ_i：傾け係数＝流動性 ℓ_i×Evidence e_i×信頼度 c_i÷ボラ σ_i。ω_i&gt;0.08 は 8% に制限。リターン予測は不使用。</w:t>
            </w:r>
          </w:p>
        </w:tc>
      </w:tr>
    </w:tbl>
    <w:p>
      <w:pPr>
        <w:spacing w:after="40"/>
        <w:ind w:firstLine="0" w:firstLineChars="0"/>
      </w:pPr>
    </w:p>
    <w:p>
      <w:pPr/>
      <w:r>
        <w:rPr>
          <w:rFonts w:ascii="Times New Roman" w:hAnsi="Times New Roman" w:eastAsia="ＭＳ 明朝"/>
          <w:b w:val="0"/>
          <w:sz w:val="18"/>
        </w:rPr>
        <w:t>式（4.1）は Risk-adjusted Role Allocation である。役割予算を土台に，役割内でボラティリティが低く・流動性が高く・証拠水準が高く・Phase2 信頼度が高い銘柄をやや厚くする。リターン予測は一切用いない。この配分によって銘柄自体を入れ替えることはない。一銘柄上限は八%とし，超過分は同役割内で再配分した。</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（4.2）単元株調整購入株数 ― 実装式（配分に使用）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q</m:t>
                    </m:r>
                  </m:e>
                  <m:sub>
                    <m:r>
                      <m:t>i</m:t>
                    </m:r>
                  </m:sub>
                </m:sSub>
                <m:r>
                  <m:rPr>
                    <m:sty m:val="p"/>
                  </m:rPr>
                  <m:t>=</m:t>
                </m:r>
                <m:sSub>
                  <m:e>
                    <m:r>
                      <m:t>L</m:t>
                    </m:r>
                  </m:e>
                  <m:sub>
                    <m:r>
                      <m:t>i</m:t>
                    </m:r>
                  </m:sub>
                </m:sSub>
                <m:r>
                  <m:rPr>
                    <m:sty m:val="p"/>
                  </m:rPr>
                  <m:t>⋅</m:t>
                </m:r>
                <m:r>
                  <m:rPr>
                    <m:sty m:val="p"/>
                  </m:rPr>
                  <m:t>floor</m:t>
                </m:r>
                <m:r>
                  <m:t>​</m:t>
                </m:r>
                <m:d>
                  <m:dPr>
                    <m:begChr m:val="("/>
                    <m:sepChr m:val=""/>
                    <m:endChr m:val=")"/>
                    <m:grow/>
                  </m:dPr>
                  <m:e>
                    <m:f>
                      <m:fPr>
                        <m:type m:val="bar"/>
                      </m:fPr>
                      <m:num>
                        <m:r>
                          <m:t>B</m:t>
                        </m:r>
                        <m:r>
                          <m:t> </m:t>
                        </m:r>
                        <m:sSub>
                          <m:e>
                            <m:r>
                              <m:t>ω</m:t>
                            </m:r>
                          </m:e>
                          <m:sub>
                            <m:r>
                              <m:t>i</m:t>
                            </m:r>
                          </m:sub>
                        </m:sSub>
                      </m:num>
                      <m:den>
                        <m:sSub>
                          <m:e>
                            <m:r>
                              <m:t>P</m:t>
                            </m:r>
                          </m:e>
                          <m:sub>
                            <m:r>
                              <m:t>i</m:t>
                            </m:r>
                          </m:sub>
                        </m:sSub>
                        <m:sSub>
                          <m:e>
                            <m:r>
                              <m:t>L</m:t>
                            </m:r>
                          </m:e>
                          <m:sub>
                            <m:r>
                              <m:t>i</m:t>
                            </m:r>
                          </m:sub>
                        </m:sSub>
                      </m:den>
                    </m:f>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q_i：購入株数；　L_i：売買単位；　B：総予算（500 万円）；　ω_i：目標比率；　P_i：株価；　floor(·)：床関数（切り捨て）。基準 L_i=1（単元未満株）、感度 L_i=100（実単元）。</w:t>
            </w:r>
          </w:p>
        </w:tc>
      </w:tr>
    </w:tbl>
    <w:p>
      <w:pPr>
        <w:spacing w:after="40"/>
        <w:ind w:firstLine="0" w:firstLineChars="0"/>
      </w:pPr>
    </w:p>
    <w:p>
      <w:pPr/>
      <w:r>
        <w:rPr>
          <w:rFonts w:ascii="Times New Roman" w:hAnsi="Times New Roman" w:eastAsia="ＭＳ 明朝"/>
          <w:b w:val="0"/>
          <w:sz w:val="18"/>
        </w:rPr>
        <w:t>式（4.2）は単元株調整購入株数である。基準ケースは単元未満株（L=1）を仮定し，感度ケースとして実単元（L=100）を評価する。単元未満株（S 株）が課題規約で認められるかは人間確認事項であり，認められない場合の代替配分も検討を要する。</w:t>
      </w:r>
    </w:p>
    <w:p>
      <w:pPr>
        <w:pStyle w:val="Heading2"/>
      </w:pPr>
      <w:r>
        <w:rPr>
          <w:rFonts w:ascii="ＭＳ ゴシック" w:hAnsi="ＭＳ ゴシック" w:eastAsia="ＭＳ ゴシック"/>
          <w:b/>
          <w:color w:val="000000"/>
          <w:sz w:val="22"/>
        </w:rPr>
        <w:t>2．最終配分と役割マトリクス</w:t>
      </w:r>
    </w:p>
    <w:p>
      <w:pPr/>
      <w:r>
        <w:rPr>
          <w:rFonts w:ascii="Times New Roman" w:hAnsi="Times New Roman" w:eastAsia="ＭＳ 明朝"/>
          <w:b w:val="0"/>
          <w:sz w:val="18"/>
        </w:rPr>
        <w:t>最終配分を図表 Ⅲ-1 に示す。基準ケース（L=1）では二〇社すべてを購入可能で，投資額 4,949,198 円・残現金 50,801 円（予算消化率 99.0%），目標比率との最大乖離は 0.3 ポイントであった。最大保有は 9474 ゼンリンの 7.46%，業種最大 17.3%，テーマ最大 16.2% でいずれも制約内である。感度ケース（L=100）では株価の高い九社が予算・上限制約により購入できず，消化率は 46.7% に低下するため，実運用では単元未満株の利用を前提とする（注 2）。</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tblGrid>
      <w:tr>
        <w:tc>
          <w:tcPr>
            <w:tcW w:type="dxa" w:w="737"/>
            <w:shd w:val="clear" w:color="auto" w:fill="808080"/>
          </w:tcPr>
          <w:p>
            <w:pPr>
              <w:spacing w:after="0"/>
              <w:ind w:firstLine="0" w:firstLineChars="0"/>
            </w:pPr>
            <w:r>
              <w:rPr>
                <w:rFonts w:ascii="ＭＳ ゴシック" w:hAnsi="ＭＳ ゴシック" w:eastAsia="ＭＳ ゴシック"/>
                <w:b/>
                <w:color w:val="FFFFFF"/>
                <w:sz w:val="17"/>
              </w:rPr>
              <w:t>コード</w:t>
            </w:r>
          </w:p>
        </w:tc>
        <w:tc>
          <w:tcPr>
            <w:tcW w:type="dxa" w:w="2154"/>
            <w:shd w:val="clear" w:color="auto" w:fill="808080"/>
          </w:tcPr>
          <w:p>
            <w:pPr>
              <w:spacing w:after="0"/>
              <w:ind w:firstLine="0" w:firstLineChars="0"/>
            </w:pPr>
            <w:r>
              <w:rPr>
                <w:rFonts w:ascii="ＭＳ ゴシック" w:hAnsi="ＭＳ ゴシック" w:eastAsia="ＭＳ ゴシック"/>
                <w:b/>
                <w:color w:val="FFFFFF"/>
                <w:sz w:val="17"/>
              </w:rPr>
              <w:t>企業名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7"/>
              </w:rPr>
              <w:t>役割</w:t>
            </w:r>
          </w:p>
        </w:tc>
        <w:tc>
          <w:tcPr>
            <w:tcW w:type="dxa" w:w="1361"/>
            <w:shd w:val="clear" w:color="auto" w:fill="808080"/>
          </w:tcPr>
          <w:p>
            <w:pPr>
              <w:spacing w:after="0"/>
              <w:ind w:firstLine="0" w:firstLineChars="0"/>
            </w:pPr>
            <w:r>
              <w:rPr>
                <w:rFonts w:ascii="ＭＳ ゴシック" w:hAnsi="ＭＳ ゴシック" w:eastAsia="ＭＳ ゴシック"/>
                <w:b/>
                <w:color w:val="FFFFFF"/>
                <w:sz w:val="17"/>
              </w:rPr>
              <w:t>テーマ</w:t>
            </w:r>
          </w:p>
        </w:tc>
        <w:tc>
          <w:tcPr>
            <w:tcW w:type="dxa" w:w="850"/>
            <w:shd w:val="clear" w:color="auto" w:fill="808080"/>
          </w:tcPr>
          <w:p>
            <w:pPr>
              <w:spacing w:after="0"/>
              <w:ind w:firstLine="0" w:firstLineChars="0"/>
            </w:pPr>
            <w:r>
              <w:rPr>
                <w:rFonts w:ascii="ＭＳ ゴシック" w:hAnsi="ＭＳ ゴシック" w:eastAsia="ＭＳ ゴシック"/>
                <w:b/>
                <w:color w:val="FFFFFF"/>
                <w:sz w:val="17"/>
              </w:rPr>
              <w:t>目標比率</w:t>
            </w:r>
          </w:p>
        </w:tc>
        <w:tc>
          <w:tcPr>
            <w:tcW w:type="dxa" w:w="737"/>
            <w:shd w:val="clear" w:color="auto" w:fill="808080"/>
          </w:tcPr>
          <w:p>
            <w:pPr>
              <w:spacing w:after="0"/>
              <w:ind w:firstLine="0" w:firstLineChars="0"/>
            </w:pPr>
            <w:r>
              <w:rPr>
                <w:rFonts w:ascii="ＭＳ ゴシック" w:hAnsi="ＭＳ ゴシック" w:eastAsia="ＭＳ ゴシック"/>
                <w:b/>
                <w:color w:val="FFFFFF"/>
                <w:sz w:val="17"/>
              </w:rPr>
              <w:t>株数(L=1)</w:t>
            </w:r>
          </w:p>
        </w:tc>
        <w:tc>
          <w:tcPr>
            <w:tcW w:type="dxa" w:w="1134"/>
            <w:shd w:val="clear" w:color="auto" w:fill="808080"/>
          </w:tcPr>
          <w:p>
            <w:pPr>
              <w:spacing w:after="0"/>
              <w:ind w:firstLine="0" w:firstLineChars="0"/>
            </w:pPr>
            <w:r>
              <w:rPr>
                <w:rFonts w:ascii="ＭＳ ゴシック" w:hAnsi="ＭＳ ゴシック" w:eastAsia="ＭＳ ゴシック"/>
                <w:b/>
                <w:color w:val="FFFFFF"/>
                <w:sz w:val="17"/>
              </w:rPr>
              <w:t>購入金額(L=1)</w:t>
            </w:r>
          </w:p>
        </w:tc>
      </w:tr>
      <w:tr>
        <w:tc>
          <w:tcPr>
            <w:tcW w:type="dxa" w:w="737"/>
          </w:tcPr>
          <w:p>
            <w:pPr>
              <w:spacing w:after="0"/>
              <w:ind w:firstLine="0" w:firstLineChars="0"/>
            </w:pPr>
            <w:r>
              <w:rPr>
                <w:rFonts w:ascii="Times New Roman" w:hAnsi="Times New Roman" w:eastAsia="ＭＳ 明朝"/>
                <w:b w:val="0"/>
                <w:color w:val="000000"/>
                <w:sz w:val="16"/>
              </w:rPr>
              <w:t>9470</w:t>
            </w:r>
          </w:p>
        </w:tc>
        <w:tc>
          <w:tcPr>
            <w:tcW w:type="dxa" w:w="2154"/>
          </w:tcPr>
          <w:p>
            <w:pPr>
              <w:spacing w:after="0"/>
              <w:ind w:firstLine="0" w:firstLineChars="0"/>
            </w:pPr>
            <w:r>
              <w:rPr>
                <w:rFonts w:ascii="Times New Roman" w:hAnsi="Times New Roman" w:eastAsia="ＭＳ 明朝"/>
                <w:b w:val="0"/>
                <w:color w:val="000000"/>
                <w:sz w:val="16"/>
              </w:rPr>
              <w:t>GAKKEN HOLDINGS CO</w:t>
            </w:r>
          </w:p>
        </w:tc>
        <w:tc>
          <w:tcPr>
            <w:tcW w:type="dxa" w:w="1701"/>
          </w:tcPr>
          <w:p>
            <w:pPr>
              <w:spacing w:after="0"/>
              <w:ind w:firstLine="0" w:firstLineChars="0"/>
            </w:pPr>
            <w:r>
              <w:rPr>
                <w:rFonts w:ascii="Times New Roman" w:hAnsi="Times New Roman" w:eastAsia="ＭＳ 明朝"/>
                <w:b w:val="0"/>
                <w:color w:val="000000"/>
                <w:sz w:val="16"/>
              </w:rPr>
              <w:t>Buffett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6.88%</w:t>
            </w:r>
          </w:p>
        </w:tc>
        <w:tc>
          <w:tcPr>
            <w:tcW w:type="dxa" w:w="737"/>
          </w:tcPr>
          <w:p>
            <w:pPr>
              <w:spacing w:after="0"/>
              <w:ind w:firstLine="0" w:firstLineChars="0"/>
              <w:jc w:val="right"/>
            </w:pPr>
            <w:r>
              <w:rPr>
                <w:rFonts w:ascii="Times New Roman" w:hAnsi="Times New Roman" w:eastAsia="ＭＳ 明朝"/>
                <w:b w:val="0"/>
                <w:color w:val="000000"/>
                <w:sz w:val="16"/>
              </w:rPr>
              <w:t>365</w:t>
            </w:r>
          </w:p>
        </w:tc>
        <w:tc>
          <w:tcPr>
            <w:tcW w:type="dxa" w:w="1134"/>
          </w:tcPr>
          <w:p>
            <w:pPr>
              <w:spacing w:after="0"/>
              <w:ind w:firstLine="0" w:firstLineChars="0"/>
              <w:jc w:val="right"/>
            </w:pPr>
            <w:r>
              <w:rPr>
                <w:rFonts w:ascii="Times New Roman" w:hAnsi="Times New Roman" w:eastAsia="ＭＳ 明朝"/>
                <w:b w:val="0"/>
                <w:color w:val="000000"/>
                <w:sz w:val="16"/>
              </w:rPr>
              <w:t>343,465</w:t>
            </w:r>
          </w:p>
        </w:tc>
      </w:tr>
      <w:tr>
        <w:tc>
          <w:tcPr>
            <w:tcW w:type="dxa" w:w="737"/>
          </w:tcPr>
          <w:p>
            <w:pPr>
              <w:spacing w:after="0"/>
              <w:ind w:firstLine="0" w:firstLineChars="0"/>
            </w:pPr>
            <w:r>
              <w:rPr>
                <w:rFonts w:ascii="Times New Roman" w:hAnsi="Times New Roman" w:eastAsia="ＭＳ 明朝"/>
                <w:b w:val="0"/>
                <w:color w:val="000000"/>
                <w:sz w:val="16"/>
              </w:rPr>
              <w:t>3539</w:t>
            </w:r>
          </w:p>
        </w:tc>
        <w:tc>
          <w:tcPr>
            <w:tcW w:type="dxa" w:w="2154"/>
          </w:tcPr>
          <w:p>
            <w:pPr>
              <w:spacing w:after="0"/>
              <w:ind w:firstLine="0" w:firstLineChars="0"/>
            </w:pPr>
            <w:r>
              <w:rPr>
                <w:rFonts w:ascii="Times New Roman" w:hAnsi="Times New Roman" w:eastAsia="ＭＳ 明朝"/>
                <w:b w:val="0"/>
                <w:color w:val="000000"/>
                <w:sz w:val="16"/>
              </w:rPr>
              <w:t>JM HOLDINGS CO.,LT</w:t>
            </w:r>
          </w:p>
        </w:tc>
        <w:tc>
          <w:tcPr>
            <w:tcW w:type="dxa" w:w="1701"/>
          </w:tcPr>
          <w:p>
            <w:pPr>
              <w:spacing w:after="0"/>
              <w:ind w:firstLine="0" w:firstLineChars="0"/>
            </w:pPr>
            <w:r>
              <w:rPr>
                <w:rFonts w:ascii="Times New Roman" w:hAnsi="Times New Roman" w:eastAsia="ＭＳ 明朝"/>
                <w:b w:val="0"/>
                <w:color w:val="000000"/>
                <w:sz w:val="16"/>
              </w:rPr>
              <w:t>Buffett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5.58%</w:t>
            </w:r>
          </w:p>
        </w:tc>
        <w:tc>
          <w:tcPr>
            <w:tcW w:type="dxa" w:w="737"/>
          </w:tcPr>
          <w:p>
            <w:pPr>
              <w:spacing w:after="0"/>
              <w:ind w:firstLine="0" w:firstLineChars="0"/>
              <w:jc w:val="right"/>
            </w:pPr>
            <w:r>
              <w:rPr>
                <w:rFonts w:ascii="Times New Roman" w:hAnsi="Times New Roman" w:eastAsia="ＭＳ 明朝"/>
                <w:b w:val="0"/>
                <w:color w:val="000000"/>
                <w:sz w:val="16"/>
              </w:rPr>
              <w:t>223</w:t>
            </w:r>
          </w:p>
        </w:tc>
        <w:tc>
          <w:tcPr>
            <w:tcW w:type="dxa" w:w="1134"/>
          </w:tcPr>
          <w:p>
            <w:pPr>
              <w:spacing w:after="0"/>
              <w:ind w:firstLine="0" w:firstLineChars="0"/>
              <w:jc w:val="right"/>
            </w:pPr>
            <w:r>
              <w:rPr>
                <w:rFonts w:ascii="Times New Roman" w:hAnsi="Times New Roman" w:eastAsia="ＭＳ 明朝"/>
                <w:b w:val="0"/>
                <w:color w:val="000000"/>
                <w:sz w:val="16"/>
              </w:rPr>
              <w:t>278,304</w:t>
            </w:r>
          </w:p>
        </w:tc>
      </w:tr>
      <w:tr>
        <w:tc>
          <w:tcPr>
            <w:tcW w:type="dxa" w:w="737"/>
          </w:tcPr>
          <w:p>
            <w:pPr>
              <w:spacing w:after="0"/>
              <w:ind w:firstLine="0" w:firstLineChars="0"/>
            </w:pPr>
            <w:r>
              <w:rPr>
                <w:rFonts w:ascii="Times New Roman" w:hAnsi="Times New Roman" w:eastAsia="ＭＳ 明朝"/>
                <w:b w:val="0"/>
                <w:color w:val="000000"/>
                <w:sz w:val="16"/>
              </w:rPr>
              <w:t>6430</w:t>
            </w:r>
          </w:p>
        </w:tc>
        <w:tc>
          <w:tcPr>
            <w:tcW w:type="dxa" w:w="2154"/>
          </w:tcPr>
          <w:p>
            <w:pPr>
              <w:spacing w:after="0"/>
              <w:ind w:firstLine="0" w:firstLineChars="0"/>
            </w:pPr>
            <w:r>
              <w:rPr>
                <w:rFonts w:ascii="Times New Roman" w:hAnsi="Times New Roman" w:eastAsia="ＭＳ 明朝"/>
                <w:b w:val="0"/>
                <w:color w:val="000000"/>
                <w:sz w:val="16"/>
              </w:rPr>
              <w:t>DAIKOKU DENKI CO.,</w:t>
            </w:r>
          </w:p>
        </w:tc>
        <w:tc>
          <w:tcPr>
            <w:tcW w:type="dxa" w:w="1701"/>
          </w:tcPr>
          <w:p>
            <w:pPr>
              <w:spacing w:after="0"/>
              <w:ind w:firstLine="0" w:firstLineChars="0"/>
            </w:pPr>
            <w:r>
              <w:rPr>
                <w:rFonts w:ascii="Times New Roman" w:hAnsi="Times New Roman" w:eastAsia="ＭＳ 明朝"/>
                <w:b w:val="0"/>
                <w:color w:val="000000"/>
                <w:sz w:val="16"/>
              </w:rPr>
              <w:t>Buffett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5.43%</w:t>
            </w:r>
          </w:p>
        </w:tc>
        <w:tc>
          <w:tcPr>
            <w:tcW w:type="dxa" w:w="737"/>
          </w:tcPr>
          <w:p>
            <w:pPr>
              <w:spacing w:after="0"/>
              <w:ind w:firstLine="0" w:firstLineChars="0"/>
              <w:jc w:val="right"/>
            </w:pPr>
            <w:r>
              <w:rPr>
                <w:rFonts w:ascii="Times New Roman" w:hAnsi="Times New Roman" w:eastAsia="ＭＳ 明朝"/>
                <w:b w:val="0"/>
                <w:color w:val="000000"/>
                <w:sz w:val="16"/>
              </w:rPr>
              <w:t>130</w:t>
            </w:r>
          </w:p>
        </w:tc>
        <w:tc>
          <w:tcPr>
            <w:tcW w:type="dxa" w:w="1134"/>
          </w:tcPr>
          <w:p>
            <w:pPr>
              <w:spacing w:after="0"/>
              <w:ind w:firstLine="0" w:firstLineChars="0"/>
              <w:jc w:val="right"/>
            </w:pPr>
            <w:r>
              <w:rPr>
                <w:rFonts w:ascii="Times New Roman" w:hAnsi="Times New Roman" w:eastAsia="ＭＳ 明朝"/>
                <w:b w:val="0"/>
                <w:color w:val="000000"/>
                <w:sz w:val="16"/>
              </w:rPr>
              <w:t>271,050</w:t>
            </w:r>
          </w:p>
        </w:tc>
      </w:tr>
      <w:tr>
        <w:tc>
          <w:tcPr>
            <w:tcW w:type="dxa" w:w="737"/>
          </w:tcPr>
          <w:p>
            <w:pPr>
              <w:spacing w:after="0"/>
              <w:ind w:firstLine="0" w:firstLineChars="0"/>
            </w:pPr>
            <w:r>
              <w:rPr>
                <w:rFonts w:ascii="Times New Roman" w:hAnsi="Times New Roman" w:eastAsia="ＭＳ 明朝"/>
                <w:b w:val="0"/>
                <w:color w:val="000000"/>
                <w:sz w:val="16"/>
              </w:rPr>
              <w:t>4350</w:t>
            </w:r>
          </w:p>
        </w:tc>
        <w:tc>
          <w:tcPr>
            <w:tcW w:type="dxa" w:w="2154"/>
          </w:tcPr>
          <w:p>
            <w:pPr>
              <w:spacing w:after="0"/>
              <w:ind w:firstLine="0" w:firstLineChars="0"/>
            </w:pPr>
            <w:r>
              <w:rPr>
                <w:rFonts w:ascii="Times New Roman" w:hAnsi="Times New Roman" w:eastAsia="ＭＳ 明朝"/>
                <w:b w:val="0"/>
                <w:color w:val="000000"/>
                <w:sz w:val="16"/>
              </w:rPr>
              <w:t>MEDICAL SYSTEM NET</w:t>
            </w:r>
          </w:p>
        </w:tc>
        <w:tc>
          <w:tcPr>
            <w:tcW w:type="dxa" w:w="1701"/>
          </w:tcPr>
          <w:p>
            <w:pPr>
              <w:spacing w:after="0"/>
              <w:ind w:firstLine="0" w:firstLineChars="0"/>
            </w:pPr>
            <w:r>
              <w:rPr>
                <w:rFonts w:ascii="Times New Roman" w:hAnsi="Times New Roman" w:eastAsia="ＭＳ 明朝"/>
                <w:b w:val="0"/>
                <w:color w:val="000000"/>
                <w:sz w:val="16"/>
              </w:rPr>
              <w:t>Buffett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4.21%</w:t>
            </w:r>
          </w:p>
        </w:tc>
        <w:tc>
          <w:tcPr>
            <w:tcW w:type="dxa" w:w="737"/>
          </w:tcPr>
          <w:p>
            <w:pPr>
              <w:spacing w:after="0"/>
              <w:ind w:firstLine="0" w:firstLineChars="0"/>
              <w:jc w:val="right"/>
            </w:pPr>
            <w:r>
              <w:rPr>
                <w:rFonts w:ascii="Times New Roman" w:hAnsi="Times New Roman" w:eastAsia="ＭＳ 明朝"/>
                <w:b w:val="0"/>
                <w:color w:val="000000"/>
                <w:sz w:val="16"/>
              </w:rPr>
              <w:t>409</w:t>
            </w:r>
          </w:p>
        </w:tc>
        <w:tc>
          <w:tcPr>
            <w:tcW w:type="dxa" w:w="1134"/>
          </w:tcPr>
          <w:p>
            <w:pPr>
              <w:spacing w:after="0"/>
              <w:ind w:firstLine="0" w:firstLineChars="0"/>
              <w:jc w:val="right"/>
            </w:pPr>
            <w:r>
              <w:rPr>
                <w:rFonts w:ascii="Times New Roman" w:hAnsi="Times New Roman" w:eastAsia="ＭＳ 明朝"/>
                <w:b w:val="0"/>
                <w:color w:val="000000"/>
                <w:sz w:val="16"/>
              </w:rPr>
              <w:t>210,226</w:t>
            </w:r>
          </w:p>
        </w:tc>
      </w:tr>
      <w:tr>
        <w:tc>
          <w:tcPr>
            <w:tcW w:type="dxa" w:w="737"/>
          </w:tcPr>
          <w:p>
            <w:pPr>
              <w:spacing w:after="0"/>
              <w:ind w:firstLine="0" w:firstLineChars="0"/>
            </w:pPr>
            <w:r>
              <w:rPr>
                <w:rFonts w:ascii="Times New Roman" w:hAnsi="Times New Roman" w:eastAsia="ＭＳ 明朝"/>
                <w:b w:val="0"/>
                <w:color w:val="000000"/>
                <w:sz w:val="16"/>
              </w:rPr>
              <w:t>7803</w:t>
            </w:r>
          </w:p>
        </w:tc>
        <w:tc>
          <w:tcPr>
            <w:tcW w:type="dxa" w:w="2154"/>
          </w:tcPr>
          <w:p>
            <w:pPr>
              <w:spacing w:after="0"/>
              <w:ind w:firstLine="0" w:firstLineChars="0"/>
            </w:pPr>
            <w:r>
              <w:rPr>
                <w:rFonts w:ascii="Times New Roman" w:hAnsi="Times New Roman" w:eastAsia="ＭＳ 明朝"/>
                <w:b w:val="0"/>
                <w:color w:val="000000"/>
                <w:sz w:val="16"/>
              </w:rPr>
              <w:t>Bushiroad Inc.</w:t>
            </w:r>
          </w:p>
        </w:tc>
        <w:tc>
          <w:tcPr>
            <w:tcW w:type="dxa" w:w="1701"/>
          </w:tcPr>
          <w:p>
            <w:pPr>
              <w:spacing w:after="0"/>
              <w:ind w:firstLine="0" w:firstLineChars="0"/>
            </w:pPr>
            <w:r>
              <w:rPr>
                <w:rFonts w:ascii="Times New Roman" w:hAnsi="Times New Roman" w:eastAsia="ＭＳ 明朝"/>
                <w:b w:val="0"/>
                <w:color w:val="000000"/>
                <w:sz w:val="16"/>
              </w:rPr>
              <w:t>Buffett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2.90%</w:t>
            </w:r>
          </w:p>
        </w:tc>
        <w:tc>
          <w:tcPr>
            <w:tcW w:type="dxa" w:w="737"/>
          </w:tcPr>
          <w:p>
            <w:pPr>
              <w:spacing w:after="0"/>
              <w:ind w:firstLine="0" w:firstLineChars="0"/>
              <w:jc w:val="right"/>
            </w:pPr>
            <w:r>
              <w:rPr>
                <w:rFonts w:ascii="Times New Roman" w:hAnsi="Times New Roman" w:eastAsia="ＭＳ 明朝"/>
                <w:b w:val="0"/>
                <w:color w:val="000000"/>
                <w:sz w:val="16"/>
              </w:rPr>
              <w:t>562</w:t>
            </w:r>
          </w:p>
        </w:tc>
        <w:tc>
          <w:tcPr>
            <w:tcW w:type="dxa" w:w="1134"/>
          </w:tcPr>
          <w:p>
            <w:pPr>
              <w:spacing w:after="0"/>
              <w:ind w:firstLine="0" w:firstLineChars="0"/>
              <w:jc w:val="right"/>
            </w:pPr>
            <w:r>
              <w:rPr>
                <w:rFonts w:ascii="Times New Roman" w:hAnsi="Times New Roman" w:eastAsia="ＭＳ 明朝"/>
                <w:b w:val="0"/>
                <w:color w:val="000000"/>
                <w:sz w:val="16"/>
              </w:rPr>
              <w:t>144,996</w:t>
            </w:r>
          </w:p>
        </w:tc>
      </w:tr>
      <w:tr>
        <w:tc>
          <w:tcPr>
            <w:tcW w:type="dxa" w:w="737"/>
          </w:tcPr>
          <w:p>
            <w:pPr>
              <w:spacing w:after="0"/>
              <w:ind w:firstLine="0" w:firstLineChars="0"/>
            </w:pPr>
            <w:r>
              <w:rPr>
                <w:rFonts w:ascii="Times New Roman" w:hAnsi="Times New Roman" w:eastAsia="ＭＳ 明朝"/>
                <w:b w:val="0"/>
                <w:color w:val="000000"/>
                <w:sz w:val="16"/>
              </w:rPr>
              <w:t>5902</w:t>
            </w:r>
          </w:p>
        </w:tc>
        <w:tc>
          <w:tcPr>
            <w:tcW w:type="dxa" w:w="2154"/>
          </w:tcPr>
          <w:p>
            <w:pPr>
              <w:spacing w:after="0"/>
              <w:ind w:firstLine="0" w:firstLineChars="0"/>
            </w:pPr>
            <w:r>
              <w:rPr>
                <w:rFonts w:ascii="Times New Roman" w:hAnsi="Times New Roman" w:eastAsia="ＭＳ 明朝"/>
                <w:b w:val="0"/>
                <w:color w:val="000000"/>
                <w:sz w:val="16"/>
              </w:rPr>
              <w:t>HOKKAN HOLDINGS LI</w:t>
            </w:r>
          </w:p>
        </w:tc>
        <w:tc>
          <w:tcPr>
            <w:tcW w:type="dxa" w:w="1701"/>
          </w:tcPr>
          <w:p>
            <w:pPr>
              <w:spacing w:after="0"/>
              <w:ind w:firstLine="0" w:firstLineChars="0"/>
            </w:pPr>
            <w:r>
              <w:rPr>
                <w:rFonts w:ascii="Times New Roman" w:hAnsi="Times New Roman" w:eastAsia="ＭＳ 明朝"/>
                <w:b w:val="0"/>
                <w:color w:val="000000"/>
                <w:sz w:val="16"/>
              </w:rPr>
              <w:t>Transformation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6.70%</w:t>
            </w:r>
          </w:p>
        </w:tc>
        <w:tc>
          <w:tcPr>
            <w:tcW w:type="dxa" w:w="737"/>
          </w:tcPr>
          <w:p>
            <w:pPr>
              <w:spacing w:after="0"/>
              <w:ind w:firstLine="0" w:firstLineChars="0"/>
              <w:jc w:val="right"/>
            </w:pPr>
            <w:r>
              <w:rPr>
                <w:rFonts w:ascii="Times New Roman" w:hAnsi="Times New Roman" w:eastAsia="ＭＳ 明朝"/>
                <w:b w:val="0"/>
                <w:color w:val="000000"/>
                <w:sz w:val="16"/>
              </w:rPr>
              <w:t>150</w:t>
            </w:r>
          </w:p>
        </w:tc>
        <w:tc>
          <w:tcPr>
            <w:tcW w:type="dxa" w:w="1134"/>
          </w:tcPr>
          <w:p>
            <w:pPr>
              <w:spacing w:after="0"/>
              <w:ind w:firstLine="0" w:firstLineChars="0"/>
              <w:jc w:val="right"/>
            </w:pPr>
            <w:r>
              <w:rPr>
                <w:rFonts w:ascii="Times New Roman" w:hAnsi="Times New Roman" w:eastAsia="ＭＳ 明朝"/>
                <w:b w:val="0"/>
                <w:color w:val="000000"/>
                <w:sz w:val="16"/>
              </w:rPr>
              <w:t>333,000</w:t>
            </w:r>
          </w:p>
        </w:tc>
      </w:tr>
      <w:tr>
        <w:tc>
          <w:tcPr>
            <w:tcW w:type="dxa" w:w="737"/>
          </w:tcPr>
          <w:p>
            <w:pPr>
              <w:spacing w:after="0"/>
              <w:ind w:firstLine="0" w:firstLineChars="0"/>
            </w:pPr>
            <w:r>
              <w:rPr>
                <w:rFonts w:ascii="Times New Roman" w:hAnsi="Times New Roman" w:eastAsia="ＭＳ 明朝"/>
                <w:b w:val="0"/>
                <w:color w:val="000000"/>
                <w:sz w:val="16"/>
              </w:rPr>
              <w:t>9828</w:t>
            </w:r>
          </w:p>
        </w:tc>
        <w:tc>
          <w:tcPr>
            <w:tcW w:type="dxa" w:w="2154"/>
          </w:tcPr>
          <w:p>
            <w:pPr>
              <w:spacing w:after="0"/>
              <w:ind w:firstLine="0" w:firstLineChars="0"/>
            </w:pPr>
            <w:r>
              <w:rPr>
                <w:rFonts w:ascii="Times New Roman" w:hAnsi="Times New Roman" w:eastAsia="ＭＳ 明朝"/>
                <w:b w:val="0"/>
                <w:color w:val="000000"/>
                <w:sz w:val="16"/>
              </w:rPr>
              <w:t>Genki Global Dinin</w:t>
            </w:r>
          </w:p>
        </w:tc>
        <w:tc>
          <w:tcPr>
            <w:tcW w:type="dxa" w:w="1701"/>
          </w:tcPr>
          <w:p>
            <w:pPr>
              <w:spacing w:after="0"/>
              <w:ind w:firstLine="0" w:firstLineChars="0"/>
            </w:pPr>
            <w:r>
              <w:rPr>
                <w:rFonts w:ascii="Times New Roman" w:hAnsi="Times New Roman" w:eastAsia="ＭＳ 明朝"/>
                <w:b w:val="0"/>
                <w:color w:val="000000"/>
                <w:sz w:val="16"/>
              </w:rPr>
              <w:t>Transformation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5.50%</w:t>
            </w:r>
          </w:p>
        </w:tc>
        <w:tc>
          <w:tcPr>
            <w:tcW w:type="dxa" w:w="737"/>
          </w:tcPr>
          <w:p>
            <w:pPr>
              <w:spacing w:after="0"/>
              <w:ind w:firstLine="0" w:firstLineChars="0"/>
              <w:jc w:val="right"/>
            </w:pPr>
            <w:r>
              <w:rPr>
                <w:rFonts w:ascii="Times New Roman" w:hAnsi="Times New Roman" w:eastAsia="ＭＳ 明朝"/>
                <w:b w:val="0"/>
                <w:color w:val="000000"/>
                <w:sz w:val="16"/>
              </w:rPr>
              <w:t>99</w:t>
            </w:r>
          </w:p>
        </w:tc>
        <w:tc>
          <w:tcPr>
            <w:tcW w:type="dxa" w:w="1134"/>
          </w:tcPr>
          <w:p>
            <w:pPr>
              <w:spacing w:after="0"/>
              <w:ind w:firstLine="0" w:firstLineChars="0"/>
              <w:jc w:val="right"/>
            </w:pPr>
            <w:r>
              <w:rPr>
                <w:rFonts w:ascii="Times New Roman" w:hAnsi="Times New Roman" w:eastAsia="ＭＳ 明朝"/>
                <w:b w:val="0"/>
                <w:color w:val="000000"/>
                <w:sz w:val="16"/>
              </w:rPr>
              <w:t>272,646</w:t>
            </w:r>
          </w:p>
        </w:tc>
      </w:tr>
      <w:tr>
        <w:tc>
          <w:tcPr>
            <w:tcW w:type="dxa" w:w="737"/>
          </w:tcPr>
          <w:p>
            <w:pPr>
              <w:spacing w:after="0"/>
              <w:ind w:firstLine="0" w:firstLineChars="0"/>
            </w:pPr>
            <w:r>
              <w:rPr>
                <w:rFonts w:ascii="Times New Roman" w:hAnsi="Times New Roman" w:eastAsia="ＭＳ 明朝"/>
                <w:b w:val="0"/>
                <w:color w:val="000000"/>
                <w:sz w:val="16"/>
              </w:rPr>
              <w:t>8037</w:t>
            </w:r>
          </w:p>
        </w:tc>
        <w:tc>
          <w:tcPr>
            <w:tcW w:type="dxa" w:w="2154"/>
          </w:tcPr>
          <w:p>
            <w:pPr>
              <w:spacing w:after="0"/>
              <w:ind w:firstLine="0" w:firstLineChars="0"/>
            </w:pPr>
            <w:r>
              <w:rPr>
                <w:rFonts w:ascii="Times New Roman" w:hAnsi="Times New Roman" w:eastAsia="ＭＳ 明朝"/>
                <w:b w:val="0"/>
                <w:color w:val="000000"/>
                <w:sz w:val="16"/>
              </w:rPr>
              <w:t>KAMEI CORPORATION</w:t>
            </w:r>
          </w:p>
        </w:tc>
        <w:tc>
          <w:tcPr>
            <w:tcW w:type="dxa" w:w="1701"/>
          </w:tcPr>
          <w:p>
            <w:pPr>
              <w:spacing w:after="0"/>
              <w:ind w:firstLine="0" w:firstLineChars="0"/>
            </w:pPr>
            <w:r>
              <w:rPr>
                <w:rFonts w:ascii="Times New Roman" w:hAnsi="Times New Roman" w:eastAsia="ＭＳ 明朝"/>
                <w:b w:val="0"/>
                <w:color w:val="000000"/>
                <w:sz w:val="16"/>
              </w:rPr>
              <w:t>Transformation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4.84%</w:t>
            </w:r>
          </w:p>
        </w:tc>
        <w:tc>
          <w:tcPr>
            <w:tcW w:type="dxa" w:w="737"/>
          </w:tcPr>
          <w:p>
            <w:pPr>
              <w:spacing w:after="0"/>
              <w:ind w:firstLine="0" w:firstLineChars="0"/>
              <w:jc w:val="right"/>
            </w:pPr>
            <w:r>
              <w:rPr>
                <w:rFonts w:ascii="Times New Roman" w:hAnsi="Times New Roman" w:eastAsia="ＭＳ 明朝"/>
                <w:b w:val="0"/>
                <w:color w:val="000000"/>
                <w:sz w:val="16"/>
              </w:rPr>
              <w:t>69</w:t>
            </w:r>
          </w:p>
        </w:tc>
        <w:tc>
          <w:tcPr>
            <w:tcW w:type="dxa" w:w="1134"/>
          </w:tcPr>
          <w:p>
            <w:pPr>
              <w:spacing w:after="0"/>
              <w:ind w:firstLine="0" w:firstLineChars="0"/>
              <w:jc w:val="right"/>
            </w:pPr>
            <w:r>
              <w:rPr>
                <w:rFonts w:ascii="Times New Roman" w:hAnsi="Times New Roman" w:eastAsia="ＭＳ 明朝"/>
                <w:b w:val="0"/>
                <w:color w:val="000000"/>
                <w:sz w:val="16"/>
              </w:rPr>
              <w:t>238,740</w:t>
            </w:r>
          </w:p>
        </w:tc>
      </w:tr>
      <w:tr>
        <w:tc>
          <w:tcPr>
            <w:tcW w:type="dxa" w:w="737"/>
          </w:tcPr>
          <w:p>
            <w:pPr>
              <w:spacing w:after="0"/>
              <w:ind w:firstLine="0" w:firstLineChars="0"/>
            </w:pPr>
            <w:r>
              <w:rPr>
                <w:rFonts w:ascii="Times New Roman" w:hAnsi="Times New Roman" w:eastAsia="ＭＳ 明朝"/>
                <w:b w:val="0"/>
                <w:color w:val="000000"/>
                <w:sz w:val="16"/>
              </w:rPr>
              <w:t>3863</w:t>
            </w:r>
          </w:p>
        </w:tc>
        <w:tc>
          <w:tcPr>
            <w:tcW w:type="dxa" w:w="2154"/>
          </w:tcPr>
          <w:p>
            <w:pPr>
              <w:spacing w:after="0"/>
              <w:ind w:firstLine="0" w:firstLineChars="0"/>
            </w:pPr>
            <w:r>
              <w:rPr>
                <w:rFonts w:ascii="Times New Roman" w:hAnsi="Times New Roman" w:eastAsia="ＭＳ 明朝"/>
                <w:b w:val="0"/>
                <w:color w:val="000000"/>
                <w:sz w:val="16"/>
              </w:rPr>
              <w:t>Nippon Paper Indus</w:t>
            </w:r>
          </w:p>
        </w:tc>
        <w:tc>
          <w:tcPr>
            <w:tcW w:type="dxa" w:w="1701"/>
          </w:tcPr>
          <w:p>
            <w:pPr>
              <w:spacing w:after="0"/>
              <w:ind w:firstLine="0" w:firstLineChars="0"/>
            </w:pPr>
            <w:r>
              <w:rPr>
                <w:rFonts w:ascii="Times New Roman" w:hAnsi="Times New Roman" w:eastAsia="ＭＳ 明朝"/>
                <w:b w:val="0"/>
                <w:color w:val="000000"/>
                <w:sz w:val="16"/>
              </w:rPr>
              <w:t>Transformation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4.28%</w:t>
            </w:r>
          </w:p>
        </w:tc>
        <w:tc>
          <w:tcPr>
            <w:tcW w:type="dxa" w:w="737"/>
          </w:tcPr>
          <w:p>
            <w:pPr>
              <w:spacing w:after="0"/>
              <w:ind w:firstLine="0" w:firstLineChars="0"/>
              <w:jc w:val="right"/>
            </w:pPr>
            <w:r>
              <w:rPr>
                <w:rFonts w:ascii="Times New Roman" w:hAnsi="Times New Roman" w:eastAsia="ＭＳ 明朝"/>
                <w:b w:val="0"/>
                <w:color w:val="000000"/>
                <w:sz w:val="16"/>
              </w:rPr>
              <w:t>174</w:t>
            </w:r>
          </w:p>
        </w:tc>
        <w:tc>
          <w:tcPr>
            <w:tcW w:type="dxa" w:w="1134"/>
          </w:tcPr>
          <w:p>
            <w:pPr>
              <w:spacing w:after="0"/>
              <w:ind w:firstLine="0" w:firstLineChars="0"/>
              <w:jc w:val="right"/>
            </w:pPr>
            <w:r>
              <w:rPr>
                <w:rFonts w:ascii="Times New Roman" w:hAnsi="Times New Roman" w:eastAsia="ＭＳ 明朝"/>
                <w:b w:val="0"/>
                <w:color w:val="000000"/>
                <w:sz w:val="16"/>
              </w:rPr>
              <w:t>212,976</w:t>
            </w:r>
          </w:p>
        </w:tc>
      </w:tr>
      <w:tr>
        <w:tc>
          <w:tcPr>
            <w:tcW w:type="dxa" w:w="737"/>
          </w:tcPr>
          <w:p>
            <w:pPr>
              <w:spacing w:after="0"/>
              <w:ind w:firstLine="0" w:firstLineChars="0"/>
            </w:pPr>
            <w:r>
              <w:rPr>
                <w:rFonts w:ascii="Times New Roman" w:hAnsi="Times New Roman" w:eastAsia="ＭＳ 明朝"/>
                <w:b w:val="0"/>
                <w:color w:val="000000"/>
                <w:sz w:val="16"/>
              </w:rPr>
              <w:t>5233</w:t>
            </w:r>
          </w:p>
        </w:tc>
        <w:tc>
          <w:tcPr>
            <w:tcW w:type="dxa" w:w="2154"/>
          </w:tcPr>
          <w:p>
            <w:pPr>
              <w:spacing w:after="0"/>
              <w:ind w:firstLine="0" w:firstLineChars="0"/>
            </w:pPr>
            <w:r>
              <w:rPr>
                <w:rFonts w:ascii="Times New Roman" w:hAnsi="Times New Roman" w:eastAsia="ＭＳ 明朝"/>
                <w:b w:val="0"/>
                <w:color w:val="000000"/>
                <w:sz w:val="16"/>
              </w:rPr>
              <w:t>TAIHEIYO CEMENT CO</w:t>
            </w:r>
          </w:p>
        </w:tc>
        <w:tc>
          <w:tcPr>
            <w:tcW w:type="dxa" w:w="1701"/>
          </w:tcPr>
          <w:p>
            <w:pPr>
              <w:spacing w:after="0"/>
              <w:ind w:firstLine="0" w:firstLineChars="0"/>
            </w:pPr>
            <w:r>
              <w:rPr>
                <w:rFonts w:ascii="Times New Roman" w:hAnsi="Times New Roman" w:eastAsia="ＭＳ 明朝"/>
                <w:b w:val="0"/>
                <w:color w:val="000000"/>
                <w:sz w:val="16"/>
              </w:rPr>
              <w:t>Transformation Core</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3.68%</w:t>
            </w:r>
          </w:p>
        </w:tc>
        <w:tc>
          <w:tcPr>
            <w:tcW w:type="dxa" w:w="737"/>
          </w:tcPr>
          <w:p>
            <w:pPr>
              <w:spacing w:after="0"/>
              <w:ind w:firstLine="0" w:firstLineChars="0"/>
              <w:jc w:val="right"/>
            </w:pPr>
            <w:r>
              <w:rPr>
                <w:rFonts w:ascii="Times New Roman" w:hAnsi="Times New Roman" w:eastAsia="ＭＳ 明朝"/>
                <w:b w:val="0"/>
                <w:color w:val="000000"/>
                <w:sz w:val="16"/>
              </w:rPr>
              <w:t>41</w:t>
            </w:r>
          </w:p>
        </w:tc>
        <w:tc>
          <w:tcPr>
            <w:tcW w:type="dxa" w:w="1134"/>
          </w:tcPr>
          <w:p>
            <w:pPr>
              <w:spacing w:after="0"/>
              <w:ind w:firstLine="0" w:firstLineChars="0"/>
              <w:jc w:val="right"/>
            </w:pPr>
            <w:r>
              <w:rPr>
                <w:rFonts w:ascii="Times New Roman" w:hAnsi="Times New Roman" w:eastAsia="ＭＳ 明朝"/>
                <w:b w:val="0"/>
                <w:color w:val="000000"/>
                <w:sz w:val="16"/>
              </w:rPr>
              <w:t>182,778</w:t>
            </w:r>
          </w:p>
        </w:tc>
      </w:tr>
      <w:tr>
        <w:tc>
          <w:tcPr>
            <w:tcW w:type="dxa" w:w="737"/>
          </w:tcPr>
          <w:p>
            <w:pPr>
              <w:spacing w:after="0"/>
              <w:ind w:firstLine="0" w:firstLineChars="0"/>
            </w:pPr>
            <w:r>
              <w:rPr>
                <w:rFonts w:ascii="Times New Roman" w:hAnsi="Times New Roman" w:eastAsia="ＭＳ 明朝"/>
                <w:b w:val="0"/>
                <w:color w:val="000000"/>
                <w:sz w:val="16"/>
              </w:rPr>
              <w:t>6368</w:t>
            </w:r>
          </w:p>
        </w:tc>
        <w:tc>
          <w:tcPr>
            <w:tcW w:type="dxa" w:w="2154"/>
          </w:tcPr>
          <w:p>
            <w:pPr>
              <w:spacing w:after="0"/>
              <w:ind w:firstLine="0" w:firstLineChars="0"/>
            </w:pPr>
            <w:r>
              <w:rPr>
                <w:rFonts w:ascii="Times New Roman" w:hAnsi="Times New Roman" w:eastAsia="ＭＳ 明朝"/>
                <w:b w:val="0"/>
                <w:color w:val="000000"/>
                <w:sz w:val="16"/>
              </w:rPr>
              <w:t>ORGANO CORPORATION</w:t>
            </w:r>
          </w:p>
        </w:tc>
        <w:tc>
          <w:tcPr>
            <w:tcW w:type="dxa" w:w="1701"/>
          </w:tcPr>
          <w:p>
            <w:pPr>
              <w:spacing w:after="0"/>
              <w:ind w:firstLine="0" w:firstLineChars="0"/>
            </w:pPr>
            <w:r>
              <w:rPr>
                <w:rFonts w:ascii="Times New Roman" w:hAnsi="Times New Roman" w:eastAsia="ＭＳ 明朝"/>
                <w:b w:val="0"/>
                <w:color w:val="000000"/>
                <w:sz w:val="16"/>
              </w:rPr>
              <w:t>Emerging Core</w:t>
            </w:r>
          </w:p>
        </w:tc>
        <w:tc>
          <w:tcPr>
            <w:tcW w:type="dxa" w:w="1361"/>
          </w:tcPr>
          <w:p>
            <w:pPr>
              <w:spacing w:after="0"/>
              <w:ind w:firstLine="0" w:firstLineChars="0"/>
            </w:pPr>
            <w:r>
              <w:rPr>
                <w:rFonts w:ascii="Times New Roman" w:hAnsi="Times New Roman" w:eastAsia="ＭＳ 明朝"/>
                <w:b w:val="0"/>
                <w:color w:val="000000"/>
                <w:sz w:val="16"/>
              </w:rPr>
              <w:t>semiconductor</w:t>
            </w:r>
          </w:p>
        </w:tc>
        <w:tc>
          <w:tcPr>
            <w:tcW w:type="dxa" w:w="850"/>
          </w:tcPr>
          <w:p>
            <w:pPr>
              <w:spacing w:after="0"/>
              <w:ind w:firstLine="0" w:firstLineChars="0"/>
              <w:jc w:val="right"/>
            </w:pPr>
            <w:r>
              <w:rPr>
                <w:rFonts w:ascii="Times New Roman" w:hAnsi="Times New Roman" w:eastAsia="ＭＳ 明朝"/>
                <w:b w:val="0"/>
                <w:color w:val="000000"/>
                <w:sz w:val="16"/>
              </w:rPr>
              <w:t>6.91%</w:t>
            </w:r>
          </w:p>
        </w:tc>
        <w:tc>
          <w:tcPr>
            <w:tcW w:type="dxa" w:w="737"/>
          </w:tcPr>
          <w:p>
            <w:pPr>
              <w:spacing w:after="0"/>
              <w:ind w:firstLine="0" w:firstLineChars="0"/>
              <w:jc w:val="right"/>
            </w:pPr>
            <w:r>
              <w:rPr>
                <w:rFonts w:ascii="Times New Roman" w:hAnsi="Times New Roman" w:eastAsia="ＭＳ 明朝"/>
                <w:b w:val="0"/>
                <w:color w:val="000000"/>
                <w:sz w:val="16"/>
              </w:rPr>
              <w:t>21</w:t>
            </w:r>
          </w:p>
        </w:tc>
        <w:tc>
          <w:tcPr>
            <w:tcW w:type="dxa" w:w="1134"/>
          </w:tcPr>
          <w:p>
            <w:pPr>
              <w:spacing w:after="0"/>
              <w:ind w:firstLine="0" w:firstLineChars="0"/>
              <w:jc w:val="right"/>
            </w:pPr>
            <w:r>
              <w:rPr>
                <w:rFonts w:ascii="Times New Roman" w:hAnsi="Times New Roman" w:eastAsia="ＭＳ 明朝"/>
                <w:b w:val="0"/>
                <w:color w:val="000000"/>
                <w:sz w:val="16"/>
              </w:rPr>
              <w:t>330,750</w:t>
            </w:r>
          </w:p>
        </w:tc>
      </w:tr>
      <w:tr>
        <w:tc>
          <w:tcPr>
            <w:tcW w:type="dxa" w:w="737"/>
          </w:tcPr>
          <w:p>
            <w:pPr>
              <w:spacing w:after="0"/>
              <w:ind w:firstLine="0" w:firstLineChars="0"/>
            </w:pPr>
            <w:r>
              <w:rPr>
                <w:rFonts w:ascii="Times New Roman" w:hAnsi="Times New Roman" w:eastAsia="ＭＳ 明朝"/>
                <w:b w:val="0"/>
                <w:color w:val="000000"/>
                <w:sz w:val="16"/>
              </w:rPr>
              <w:t>6526</w:t>
            </w:r>
          </w:p>
        </w:tc>
        <w:tc>
          <w:tcPr>
            <w:tcW w:type="dxa" w:w="2154"/>
          </w:tcPr>
          <w:p>
            <w:pPr>
              <w:spacing w:after="0"/>
              <w:ind w:firstLine="0" w:firstLineChars="0"/>
            </w:pPr>
            <w:r>
              <w:rPr>
                <w:rFonts w:ascii="Times New Roman" w:hAnsi="Times New Roman" w:eastAsia="ＭＳ 明朝"/>
                <w:b w:val="0"/>
                <w:color w:val="000000"/>
                <w:sz w:val="16"/>
              </w:rPr>
              <w:t>Socionext Inc.</w:t>
            </w:r>
          </w:p>
        </w:tc>
        <w:tc>
          <w:tcPr>
            <w:tcW w:type="dxa" w:w="1701"/>
          </w:tcPr>
          <w:p>
            <w:pPr>
              <w:spacing w:after="0"/>
              <w:ind w:firstLine="0" w:firstLineChars="0"/>
            </w:pPr>
            <w:r>
              <w:rPr>
                <w:rFonts w:ascii="Times New Roman" w:hAnsi="Times New Roman" w:eastAsia="ＭＳ 明朝"/>
                <w:b w:val="0"/>
                <w:color w:val="000000"/>
                <w:sz w:val="16"/>
              </w:rPr>
              <w:t>Emerging Core</w:t>
            </w:r>
          </w:p>
        </w:tc>
        <w:tc>
          <w:tcPr>
            <w:tcW w:type="dxa" w:w="1361"/>
          </w:tcPr>
          <w:p>
            <w:pPr>
              <w:spacing w:after="0"/>
              <w:ind w:firstLine="0" w:firstLineChars="0"/>
            </w:pPr>
            <w:r>
              <w:rPr>
                <w:rFonts w:ascii="Times New Roman" w:hAnsi="Times New Roman" w:eastAsia="ＭＳ 明朝"/>
                <w:b w:val="0"/>
                <w:color w:val="000000"/>
                <w:sz w:val="16"/>
              </w:rPr>
              <w:t>semiconductor</w:t>
            </w:r>
          </w:p>
        </w:tc>
        <w:tc>
          <w:tcPr>
            <w:tcW w:type="dxa" w:w="850"/>
          </w:tcPr>
          <w:p>
            <w:pPr>
              <w:spacing w:after="0"/>
              <w:ind w:firstLine="0" w:firstLineChars="0"/>
              <w:jc w:val="right"/>
            </w:pPr>
            <w:r>
              <w:rPr>
                <w:rFonts w:ascii="Times New Roman" w:hAnsi="Times New Roman" w:eastAsia="ＭＳ 明朝"/>
                <w:b w:val="0"/>
                <w:color w:val="000000"/>
                <w:sz w:val="16"/>
              </w:rPr>
              <w:t>4.90%</w:t>
            </w:r>
          </w:p>
        </w:tc>
        <w:tc>
          <w:tcPr>
            <w:tcW w:type="dxa" w:w="737"/>
          </w:tcPr>
          <w:p>
            <w:pPr>
              <w:spacing w:after="0"/>
              <w:ind w:firstLine="0" w:firstLineChars="0"/>
              <w:jc w:val="right"/>
            </w:pPr>
            <w:r>
              <w:rPr>
                <w:rFonts w:ascii="Times New Roman" w:hAnsi="Times New Roman" w:eastAsia="ＭＳ 明朝"/>
                <w:b w:val="0"/>
                <w:color w:val="000000"/>
                <w:sz w:val="16"/>
              </w:rPr>
              <w:t>85</w:t>
            </w:r>
          </w:p>
        </w:tc>
        <w:tc>
          <w:tcPr>
            <w:tcW w:type="dxa" w:w="1134"/>
          </w:tcPr>
          <w:p>
            <w:pPr>
              <w:spacing w:after="0"/>
              <w:ind w:firstLine="0" w:firstLineChars="0"/>
              <w:jc w:val="right"/>
            </w:pPr>
            <w:r>
              <w:rPr>
                <w:rFonts w:ascii="Times New Roman" w:hAnsi="Times New Roman" w:eastAsia="ＭＳ 明朝"/>
                <w:b w:val="0"/>
                <w:color w:val="000000"/>
                <w:sz w:val="16"/>
              </w:rPr>
              <w:t>243,270</w:t>
            </w:r>
          </w:p>
        </w:tc>
      </w:tr>
      <w:tr>
        <w:tc>
          <w:tcPr>
            <w:tcW w:type="dxa" w:w="737"/>
          </w:tcPr>
          <w:p>
            <w:pPr>
              <w:spacing w:after="0"/>
              <w:ind w:firstLine="0" w:firstLineChars="0"/>
            </w:pPr>
            <w:r>
              <w:rPr>
                <w:rFonts w:ascii="Times New Roman" w:hAnsi="Times New Roman" w:eastAsia="ＭＳ 明朝"/>
                <w:b w:val="0"/>
                <w:color w:val="000000"/>
                <w:sz w:val="16"/>
              </w:rPr>
              <w:t>6920</w:t>
            </w:r>
          </w:p>
        </w:tc>
        <w:tc>
          <w:tcPr>
            <w:tcW w:type="dxa" w:w="2154"/>
          </w:tcPr>
          <w:p>
            <w:pPr>
              <w:spacing w:after="0"/>
              <w:ind w:firstLine="0" w:firstLineChars="0"/>
            </w:pPr>
            <w:r>
              <w:rPr>
                <w:rFonts w:ascii="Times New Roman" w:hAnsi="Times New Roman" w:eastAsia="ＭＳ 明朝"/>
                <w:b w:val="0"/>
                <w:color w:val="000000"/>
                <w:sz w:val="16"/>
              </w:rPr>
              <w:t>Lasertec Corporati</w:t>
            </w:r>
          </w:p>
        </w:tc>
        <w:tc>
          <w:tcPr>
            <w:tcW w:type="dxa" w:w="1701"/>
          </w:tcPr>
          <w:p>
            <w:pPr>
              <w:spacing w:after="0"/>
              <w:ind w:firstLine="0" w:firstLineChars="0"/>
            </w:pPr>
            <w:r>
              <w:rPr>
                <w:rFonts w:ascii="Times New Roman" w:hAnsi="Times New Roman" w:eastAsia="ＭＳ 明朝"/>
                <w:b w:val="0"/>
                <w:color w:val="000000"/>
                <w:sz w:val="16"/>
              </w:rPr>
              <w:t>Emerging Core</w:t>
            </w:r>
          </w:p>
        </w:tc>
        <w:tc>
          <w:tcPr>
            <w:tcW w:type="dxa" w:w="1361"/>
          </w:tcPr>
          <w:p>
            <w:pPr>
              <w:spacing w:after="0"/>
              <w:ind w:firstLine="0" w:firstLineChars="0"/>
            </w:pPr>
            <w:r>
              <w:rPr>
                <w:rFonts w:ascii="Times New Roman" w:hAnsi="Times New Roman" w:eastAsia="ＭＳ 明朝"/>
                <w:b w:val="0"/>
                <w:color w:val="000000"/>
                <w:sz w:val="16"/>
              </w:rPr>
              <w:t>quality_assurance</w:t>
            </w:r>
          </w:p>
        </w:tc>
        <w:tc>
          <w:tcPr>
            <w:tcW w:type="dxa" w:w="850"/>
          </w:tcPr>
          <w:p>
            <w:pPr>
              <w:spacing w:after="0"/>
              <w:ind w:firstLine="0" w:firstLineChars="0"/>
              <w:jc w:val="right"/>
            </w:pPr>
            <w:r>
              <w:rPr>
                <w:rFonts w:ascii="Times New Roman" w:hAnsi="Times New Roman" w:eastAsia="ＭＳ 明朝"/>
                <w:b w:val="0"/>
                <w:color w:val="000000"/>
                <w:sz w:val="16"/>
              </w:rPr>
              <w:t>4.82%</w:t>
            </w:r>
          </w:p>
        </w:tc>
        <w:tc>
          <w:tcPr>
            <w:tcW w:type="dxa" w:w="737"/>
          </w:tcPr>
          <w:p>
            <w:pPr>
              <w:spacing w:after="0"/>
              <w:ind w:firstLine="0" w:firstLineChars="0"/>
              <w:jc w:val="right"/>
            </w:pPr>
            <w:r>
              <w:rPr>
                <w:rFonts w:ascii="Times New Roman" w:hAnsi="Times New Roman" w:eastAsia="ＭＳ 明朝"/>
                <w:b w:val="0"/>
                <w:color w:val="000000"/>
                <w:sz w:val="16"/>
              </w:rPr>
              <w:t>6</w:t>
            </w:r>
          </w:p>
        </w:tc>
        <w:tc>
          <w:tcPr>
            <w:tcW w:type="dxa" w:w="1134"/>
          </w:tcPr>
          <w:p>
            <w:pPr>
              <w:spacing w:after="0"/>
              <w:ind w:firstLine="0" w:firstLineChars="0"/>
              <w:jc w:val="right"/>
            </w:pPr>
            <w:r>
              <w:rPr>
                <w:rFonts w:ascii="Times New Roman" w:hAnsi="Times New Roman" w:eastAsia="ＭＳ 明朝"/>
                <w:b w:val="0"/>
                <w:color w:val="000000"/>
                <w:sz w:val="16"/>
              </w:rPr>
              <w:t>230,280</w:t>
            </w:r>
          </w:p>
        </w:tc>
      </w:tr>
      <w:tr>
        <w:tc>
          <w:tcPr>
            <w:tcW w:type="dxa" w:w="737"/>
          </w:tcPr>
          <w:p>
            <w:pPr>
              <w:spacing w:after="0"/>
              <w:ind w:firstLine="0" w:firstLineChars="0"/>
            </w:pPr>
            <w:r>
              <w:rPr>
                <w:rFonts w:ascii="Times New Roman" w:hAnsi="Times New Roman" w:eastAsia="ＭＳ 明朝"/>
                <w:b w:val="0"/>
                <w:color w:val="000000"/>
                <w:sz w:val="16"/>
              </w:rPr>
              <w:t>6315</w:t>
            </w:r>
          </w:p>
        </w:tc>
        <w:tc>
          <w:tcPr>
            <w:tcW w:type="dxa" w:w="2154"/>
          </w:tcPr>
          <w:p>
            <w:pPr>
              <w:spacing w:after="0"/>
              <w:ind w:firstLine="0" w:firstLineChars="0"/>
            </w:pPr>
            <w:r>
              <w:rPr>
                <w:rFonts w:ascii="Times New Roman" w:hAnsi="Times New Roman" w:eastAsia="ＭＳ 明朝"/>
                <w:b w:val="0"/>
                <w:color w:val="000000"/>
                <w:sz w:val="16"/>
              </w:rPr>
              <w:t>TOWA CORPORATION</w:t>
            </w:r>
          </w:p>
        </w:tc>
        <w:tc>
          <w:tcPr>
            <w:tcW w:type="dxa" w:w="1701"/>
          </w:tcPr>
          <w:p>
            <w:pPr>
              <w:spacing w:after="0"/>
              <w:ind w:firstLine="0" w:firstLineChars="0"/>
            </w:pPr>
            <w:r>
              <w:rPr>
                <w:rFonts w:ascii="Times New Roman" w:hAnsi="Times New Roman" w:eastAsia="ＭＳ 明朝"/>
                <w:b w:val="0"/>
                <w:color w:val="000000"/>
                <w:sz w:val="16"/>
              </w:rPr>
              <w:t>Emerging Core</w:t>
            </w:r>
          </w:p>
        </w:tc>
        <w:tc>
          <w:tcPr>
            <w:tcW w:type="dxa" w:w="1361"/>
          </w:tcPr>
          <w:p>
            <w:pPr>
              <w:spacing w:after="0"/>
              <w:ind w:firstLine="0" w:firstLineChars="0"/>
            </w:pPr>
            <w:r>
              <w:rPr>
                <w:rFonts w:ascii="Times New Roman" w:hAnsi="Times New Roman" w:eastAsia="ＭＳ 明朝"/>
                <w:b w:val="0"/>
                <w:color w:val="000000"/>
                <w:sz w:val="16"/>
              </w:rPr>
              <w:t>semiconductor</w:t>
            </w:r>
          </w:p>
        </w:tc>
        <w:tc>
          <w:tcPr>
            <w:tcW w:type="dxa" w:w="850"/>
          </w:tcPr>
          <w:p>
            <w:pPr>
              <w:spacing w:after="0"/>
              <w:ind w:firstLine="0" w:firstLineChars="0"/>
              <w:jc w:val="right"/>
            </w:pPr>
            <w:r>
              <w:rPr>
                <w:rFonts w:ascii="Times New Roman" w:hAnsi="Times New Roman" w:eastAsia="ＭＳ 明朝"/>
                <w:b w:val="0"/>
                <w:color w:val="000000"/>
                <w:sz w:val="16"/>
              </w:rPr>
              <w:t>4.35%</w:t>
            </w:r>
          </w:p>
        </w:tc>
        <w:tc>
          <w:tcPr>
            <w:tcW w:type="dxa" w:w="737"/>
          </w:tcPr>
          <w:p>
            <w:pPr>
              <w:spacing w:after="0"/>
              <w:ind w:firstLine="0" w:firstLineChars="0"/>
              <w:jc w:val="right"/>
            </w:pPr>
            <w:r>
              <w:rPr>
                <w:rFonts w:ascii="Times New Roman" w:hAnsi="Times New Roman" w:eastAsia="ＭＳ 明朝"/>
                <w:b w:val="0"/>
                <w:color w:val="000000"/>
                <w:sz w:val="16"/>
              </w:rPr>
              <w:t>75</w:t>
            </w:r>
          </w:p>
        </w:tc>
        <w:tc>
          <w:tcPr>
            <w:tcW w:type="dxa" w:w="1134"/>
          </w:tcPr>
          <w:p>
            <w:pPr>
              <w:spacing w:after="0"/>
              <w:ind w:firstLine="0" w:firstLineChars="0"/>
              <w:jc w:val="right"/>
            </w:pPr>
            <w:r>
              <w:rPr>
                <w:rFonts w:ascii="Times New Roman" w:hAnsi="Times New Roman" w:eastAsia="ＭＳ 明朝"/>
                <w:b w:val="0"/>
                <w:color w:val="000000"/>
                <w:sz w:val="16"/>
              </w:rPr>
              <w:t>216,600</w:t>
            </w:r>
          </w:p>
        </w:tc>
      </w:tr>
      <w:tr>
        <w:tc>
          <w:tcPr>
            <w:tcW w:type="dxa" w:w="737"/>
          </w:tcPr>
          <w:p>
            <w:pPr>
              <w:spacing w:after="0"/>
              <w:ind w:firstLine="0" w:firstLineChars="0"/>
            </w:pPr>
            <w:r>
              <w:rPr>
                <w:rFonts w:ascii="Times New Roman" w:hAnsi="Times New Roman" w:eastAsia="ＭＳ 明朝"/>
                <w:b w:val="0"/>
                <w:color w:val="000000"/>
                <w:sz w:val="16"/>
              </w:rPr>
              <w:t>5803</w:t>
            </w:r>
          </w:p>
        </w:tc>
        <w:tc>
          <w:tcPr>
            <w:tcW w:type="dxa" w:w="2154"/>
          </w:tcPr>
          <w:p>
            <w:pPr>
              <w:spacing w:after="0"/>
              <w:ind w:firstLine="0" w:firstLineChars="0"/>
            </w:pPr>
            <w:r>
              <w:rPr>
                <w:rFonts w:ascii="Times New Roman" w:hAnsi="Times New Roman" w:eastAsia="ＭＳ 明朝"/>
                <w:b w:val="0"/>
                <w:color w:val="000000"/>
                <w:sz w:val="16"/>
              </w:rPr>
              <w:t>Fujikura Ltd.</w:t>
            </w:r>
          </w:p>
        </w:tc>
        <w:tc>
          <w:tcPr>
            <w:tcW w:type="dxa" w:w="1701"/>
          </w:tcPr>
          <w:p>
            <w:pPr>
              <w:spacing w:after="0"/>
              <w:ind w:firstLine="0" w:firstLineChars="0"/>
            </w:pPr>
            <w:r>
              <w:rPr>
                <w:rFonts w:ascii="Times New Roman" w:hAnsi="Times New Roman" w:eastAsia="ＭＳ 明朝"/>
                <w:b w:val="0"/>
                <w:color w:val="000000"/>
                <w:sz w:val="16"/>
              </w:rPr>
              <w:t>Emerging Core</w:t>
            </w:r>
          </w:p>
        </w:tc>
        <w:tc>
          <w:tcPr>
            <w:tcW w:type="dxa" w:w="1361"/>
          </w:tcPr>
          <w:p>
            <w:pPr>
              <w:spacing w:after="0"/>
              <w:ind w:firstLine="0" w:firstLineChars="0"/>
            </w:pPr>
            <w:r>
              <w:rPr>
                <w:rFonts w:ascii="Times New Roman" w:hAnsi="Times New Roman" w:eastAsia="ＭＳ 明朝"/>
                <w:b w:val="0"/>
                <w:color w:val="000000"/>
                <w:sz w:val="16"/>
              </w:rPr>
              <w:t>optical_communication</w:t>
            </w:r>
          </w:p>
        </w:tc>
        <w:tc>
          <w:tcPr>
            <w:tcW w:type="dxa" w:w="850"/>
          </w:tcPr>
          <w:p>
            <w:pPr>
              <w:spacing w:after="0"/>
              <w:ind w:firstLine="0" w:firstLineChars="0"/>
              <w:jc w:val="right"/>
            </w:pPr>
            <w:r>
              <w:rPr>
                <w:rFonts w:ascii="Times New Roman" w:hAnsi="Times New Roman" w:eastAsia="ＭＳ 明朝"/>
                <w:b w:val="0"/>
                <w:color w:val="000000"/>
                <w:sz w:val="16"/>
              </w:rPr>
              <w:t>4.02%</w:t>
            </w:r>
          </w:p>
        </w:tc>
        <w:tc>
          <w:tcPr>
            <w:tcW w:type="dxa" w:w="737"/>
          </w:tcPr>
          <w:p>
            <w:pPr>
              <w:spacing w:after="0"/>
              <w:ind w:firstLine="0" w:firstLineChars="0"/>
              <w:jc w:val="right"/>
            </w:pPr>
            <w:r>
              <w:rPr>
                <w:rFonts w:ascii="Times New Roman" w:hAnsi="Times New Roman" w:eastAsia="ＭＳ 明朝"/>
                <w:b w:val="0"/>
                <w:color w:val="000000"/>
                <w:sz w:val="16"/>
              </w:rPr>
              <w:t>42</w:t>
            </w:r>
          </w:p>
        </w:tc>
        <w:tc>
          <w:tcPr>
            <w:tcW w:type="dxa" w:w="1134"/>
          </w:tcPr>
          <w:p>
            <w:pPr>
              <w:spacing w:after="0"/>
              <w:ind w:firstLine="0" w:firstLineChars="0"/>
              <w:jc w:val="right"/>
            </w:pPr>
            <w:r>
              <w:rPr>
                <w:rFonts w:ascii="Times New Roman" w:hAnsi="Times New Roman" w:eastAsia="ＭＳ 明朝"/>
                <w:b w:val="0"/>
                <w:color w:val="000000"/>
                <w:sz w:val="16"/>
              </w:rPr>
              <w:t>196,434</w:t>
            </w:r>
          </w:p>
        </w:tc>
      </w:tr>
      <w:tr>
        <w:tc>
          <w:tcPr>
            <w:tcW w:type="dxa" w:w="737"/>
          </w:tcPr>
          <w:p>
            <w:pPr>
              <w:spacing w:after="0"/>
              <w:ind w:firstLine="0" w:firstLineChars="0"/>
            </w:pPr>
            <w:r>
              <w:rPr>
                <w:rFonts w:ascii="Times New Roman" w:hAnsi="Times New Roman" w:eastAsia="ＭＳ 明朝"/>
                <w:b w:val="0"/>
                <w:color w:val="000000"/>
                <w:sz w:val="16"/>
              </w:rPr>
              <w:t>9474</w:t>
            </w:r>
          </w:p>
        </w:tc>
        <w:tc>
          <w:tcPr>
            <w:tcW w:type="dxa" w:w="2154"/>
          </w:tcPr>
          <w:p>
            <w:pPr>
              <w:spacing w:after="0"/>
              <w:ind w:firstLine="0" w:firstLineChars="0"/>
            </w:pPr>
            <w:r>
              <w:rPr>
                <w:rFonts w:ascii="Times New Roman" w:hAnsi="Times New Roman" w:eastAsia="ＭＳ 明朝"/>
                <w:b w:val="0"/>
                <w:color w:val="000000"/>
                <w:sz w:val="16"/>
              </w:rPr>
              <w:t>ZENRIN CO.,LTD.</w:t>
            </w:r>
          </w:p>
        </w:tc>
        <w:tc>
          <w:tcPr>
            <w:tcW w:type="dxa" w:w="1701"/>
          </w:tcPr>
          <w:p>
            <w:pPr>
              <w:spacing w:after="0"/>
              <w:ind w:firstLine="0" w:firstLineChars="0"/>
            </w:pPr>
            <w:r>
              <w:rPr>
                <w:rFonts w:ascii="Times New Roman" w:hAnsi="Times New Roman" w:eastAsia="ＭＳ 明朝"/>
                <w:b w:val="0"/>
                <w:color w:val="000000"/>
                <w:sz w:val="16"/>
              </w:rPr>
              <w:t>Dual Moat</w:t>
            </w:r>
          </w:p>
        </w:tc>
        <w:tc>
          <w:tcPr>
            <w:tcW w:type="dxa" w:w="1361"/>
          </w:tcPr>
          <w:p>
            <w:pPr>
              <w:spacing w:after="0"/>
              <w:ind w:firstLine="0" w:firstLineChars="0"/>
            </w:pPr>
            <w:r>
              <w:rPr>
                <w:rFonts w:ascii="Times New Roman" w:hAnsi="Times New Roman" w:eastAsia="ＭＳ 明朝"/>
                <w:b w:val="0"/>
                <w:color w:val="000000"/>
                <w:sz w:val="16"/>
              </w:rPr>
              <w:t>business_data</w:t>
            </w:r>
          </w:p>
        </w:tc>
        <w:tc>
          <w:tcPr>
            <w:tcW w:type="dxa" w:w="850"/>
          </w:tcPr>
          <w:p>
            <w:pPr>
              <w:spacing w:after="0"/>
              <w:ind w:firstLine="0" w:firstLineChars="0"/>
              <w:jc w:val="right"/>
            </w:pPr>
            <w:r>
              <w:rPr>
                <w:rFonts w:ascii="Times New Roman" w:hAnsi="Times New Roman" w:eastAsia="ＭＳ 明朝"/>
                <w:b w:val="0"/>
                <w:color w:val="000000"/>
                <w:sz w:val="16"/>
              </w:rPr>
              <w:t>7.46%</w:t>
            </w:r>
          </w:p>
        </w:tc>
        <w:tc>
          <w:tcPr>
            <w:tcW w:type="dxa" w:w="737"/>
          </w:tcPr>
          <w:p>
            <w:pPr>
              <w:spacing w:after="0"/>
              <w:ind w:firstLine="0" w:firstLineChars="0"/>
              <w:jc w:val="right"/>
            </w:pPr>
            <w:r>
              <w:rPr>
                <w:rFonts w:ascii="Times New Roman" w:hAnsi="Times New Roman" w:eastAsia="ＭＳ 明朝"/>
                <w:b w:val="0"/>
                <w:color w:val="000000"/>
                <w:sz w:val="16"/>
              </w:rPr>
              <w:t>428</w:t>
            </w:r>
          </w:p>
        </w:tc>
        <w:tc>
          <w:tcPr>
            <w:tcW w:type="dxa" w:w="1134"/>
          </w:tcPr>
          <w:p>
            <w:pPr>
              <w:spacing w:after="0"/>
              <w:ind w:firstLine="0" w:firstLineChars="0"/>
              <w:jc w:val="right"/>
            </w:pPr>
            <w:r>
              <w:rPr>
                <w:rFonts w:ascii="Times New Roman" w:hAnsi="Times New Roman" w:eastAsia="ＭＳ 明朝"/>
                <w:b w:val="0"/>
                <w:color w:val="000000"/>
                <w:sz w:val="16"/>
              </w:rPr>
              <w:t>372,360</w:t>
            </w:r>
          </w:p>
        </w:tc>
      </w:tr>
      <w:tr>
        <w:tc>
          <w:tcPr>
            <w:tcW w:type="dxa" w:w="737"/>
          </w:tcPr>
          <w:p>
            <w:pPr>
              <w:spacing w:after="0"/>
              <w:ind w:firstLine="0" w:firstLineChars="0"/>
            </w:pPr>
            <w:r>
              <w:rPr>
                <w:rFonts w:ascii="Times New Roman" w:hAnsi="Times New Roman" w:eastAsia="ＭＳ 明朝"/>
                <w:b w:val="0"/>
                <w:color w:val="000000"/>
                <w:sz w:val="16"/>
              </w:rPr>
              <w:t>6841</w:t>
            </w:r>
          </w:p>
        </w:tc>
        <w:tc>
          <w:tcPr>
            <w:tcW w:type="dxa" w:w="2154"/>
          </w:tcPr>
          <w:p>
            <w:pPr>
              <w:spacing w:after="0"/>
              <w:ind w:firstLine="0" w:firstLineChars="0"/>
            </w:pPr>
            <w:r>
              <w:rPr>
                <w:rFonts w:ascii="Times New Roman" w:hAnsi="Times New Roman" w:eastAsia="ＭＳ 明朝"/>
                <w:b w:val="0"/>
                <w:color w:val="000000"/>
                <w:sz w:val="16"/>
              </w:rPr>
              <w:t xml:space="preserve">YOKOGAWA ELECTRIC </w:t>
            </w:r>
          </w:p>
        </w:tc>
        <w:tc>
          <w:tcPr>
            <w:tcW w:type="dxa" w:w="1701"/>
          </w:tcPr>
          <w:p>
            <w:pPr>
              <w:spacing w:after="0"/>
              <w:ind w:firstLine="0" w:firstLineChars="0"/>
            </w:pPr>
            <w:r>
              <w:rPr>
                <w:rFonts w:ascii="Times New Roman" w:hAnsi="Times New Roman" w:eastAsia="ＭＳ 明朝"/>
                <w:b w:val="0"/>
                <w:color w:val="000000"/>
                <w:sz w:val="16"/>
              </w:rPr>
              <w:t>Dual Moat</w:t>
            </w:r>
          </w:p>
        </w:tc>
        <w:tc>
          <w:tcPr>
            <w:tcW w:type="dxa" w:w="1361"/>
          </w:tcPr>
          <w:p>
            <w:pPr>
              <w:spacing w:after="0"/>
              <w:ind w:firstLine="0" w:firstLineChars="0"/>
            </w:pPr>
            <w:r>
              <w:rPr>
                <w:rFonts w:ascii="Times New Roman" w:hAnsi="Times New Roman" w:eastAsia="ＭＳ 明朝"/>
                <w:b w:val="0"/>
                <w:color w:val="000000"/>
                <w:sz w:val="16"/>
              </w:rPr>
              <w:t>factory_automation</w:t>
            </w:r>
          </w:p>
        </w:tc>
        <w:tc>
          <w:tcPr>
            <w:tcW w:type="dxa" w:w="850"/>
          </w:tcPr>
          <w:p>
            <w:pPr>
              <w:spacing w:after="0"/>
              <w:ind w:firstLine="0" w:firstLineChars="0"/>
              <w:jc w:val="right"/>
            </w:pPr>
            <w:r>
              <w:rPr>
                <w:rFonts w:ascii="Times New Roman" w:hAnsi="Times New Roman" w:eastAsia="ＭＳ 明朝"/>
                <w:b w:val="0"/>
                <w:color w:val="000000"/>
                <w:sz w:val="16"/>
              </w:rPr>
              <w:t>4.55%</w:t>
            </w:r>
          </w:p>
        </w:tc>
        <w:tc>
          <w:tcPr>
            <w:tcW w:type="dxa" w:w="737"/>
          </w:tcPr>
          <w:p>
            <w:pPr>
              <w:spacing w:after="0"/>
              <w:ind w:firstLine="0" w:firstLineChars="0"/>
              <w:jc w:val="right"/>
            </w:pPr>
            <w:r>
              <w:rPr>
                <w:rFonts w:ascii="Times New Roman" w:hAnsi="Times New Roman" w:eastAsia="ＭＳ 明朝"/>
                <w:b w:val="0"/>
                <w:color w:val="000000"/>
                <w:sz w:val="16"/>
              </w:rPr>
              <w:t>44</w:t>
            </w:r>
          </w:p>
        </w:tc>
        <w:tc>
          <w:tcPr>
            <w:tcW w:type="dxa" w:w="1134"/>
          </w:tcPr>
          <w:p>
            <w:pPr>
              <w:spacing w:after="0"/>
              <w:ind w:firstLine="0" w:firstLineChars="0"/>
              <w:jc w:val="right"/>
            </w:pPr>
            <w:r>
              <w:rPr>
                <w:rFonts w:ascii="Times New Roman" w:hAnsi="Times New Roman" w:eastAsia="ＭＳ 明朝"/>
                <w:b w:val="0"/>
                <w:color w:val="000000"/>
                <w:sz w:val="16"/>
              </w:rPr>
              <w:t>223,388</w:t>
            </w:r>
          </w:p>
        </w:tc>
      </w:tr>
      <w:tr>
        <w:tc>
          <w:tcPr>
            <w:tcW w:type="dxa" w:w="737"/>
          </w:tcPr>
          <w:p>
            <w:pPr>
              <w:spacing w:after="0"/>
              <w:ind w:firstLine="0" w:firstLineChars="0"/>
            </w:pPr>
            <w:r>
              <w:rPr>
                <w:rFonts w:ascii="Times New Roman" w:hAnsi="Times New Roman" w:eastAsia="ＭＳ 明朝"/>
                <w:b w:val="0"/>
                <w:color w:val="000000"/>
                <w:sz w:val="16"/>
              </w:rPr>
              <w:t>3697</w:t>
            </w:r>
          </w:p>
        </w:tc>
        <w:tc>
          <w:tcPr>
            <w:tcW w:type="dxa" w:w="2154"/>
          </w:tcPr>
          <w:p>
            <w:pPr>
              <w:spacing w:after="0"/>
              <w:ind w:firstLine="0" w:firstLineChars="0"/>
            </w:pPr>
            <w:r>
              <w:rPr>
                <w:rFonts w:ascii="Times New Roman" w:hAnsi="Times New Roman" w:eastAsia="ＭＳ 明朝"/>
                <w:b w:val="0"/>
                <w:color w:val="000000"/>
                <w:sz w:val="16"/>
              </w:rPr>
              <w:t>SHIFT Inc.</w:t>
            </w:r>
          </w:p>
        </w:tc>
        <w:tc>
          <w:tcPr>
            <w:tcW w:type="dxa" w:w="1701"/>
          </w:tcPr>
          <w:p>
            <w:pPr>
              <w:spacing w:after="0"/>
              <w:ind w:firstLine="0" w:firstLineChars="0"/>
            </w:pPr>
            <w:r>
              <w:rPr>
                <w:rFonts w:ascii="Times New Roman" w:hAnsi="Times New Roman" w:eastAsia="ＭＳ 明朝"/>
                <w:b w:val="0"/>
                <w:color w:val="000000"/>
                <w:sz w:val="16"/>
              </w:rPr>
              <w:t>Dual Moat</w:t>
            </w:r>
          </w:p>
        </w:tc>
        <w:tc>
          <w:tcPr>
            <w:tcW w:type="dxa" w:w="1361"/>
          </w:tcPr>
          <w:p>
            <w:pPr>
              <w:spacing w:after="0"/>
              <w:ind w:firstLine="0" w:firstLineChars="0"/>
            </w:pPr>
            <w:r>
              <w:rPr>
                <w:rFonts w:ascii="Times New Roman" w:hAnsi="Times New Roman" w:eastAsia="ＭＳ 明朝"/>
                <w:b w:val="0"/>
                <w:color w:val="000000"/>
                <w:sz w:val="16"/>
              </w:rPr>
              <w:t>quality_assurance</w:t>
            </w:r>
          </w:p>
        </w:tc>
        <w:tc>
          <w:tcPr>
            <w:tcW w:type="dxa" w:w="850"/>
          </w:tcPr>
          <w:p>
            <w:pPr>
              <w:spacing w:after="0"/>
              <w:ind w:firstLine="0" w:firstLineChars="0"/>
              <w:jc w:val="right"/>
            </w:pPr>
            <w:r>
              <w:rPr>
                <w:rFonts w:ascii="Times New Roman" w:hAnsi="Times New Roman" w:eastAsia="ＭＳ 明朝"/>
                <w:b w:val="0"/>
                <w:color w:val="000000"/>
                <w:sz w:val="16"/>
              </w:rPr>
              <w:t>2.99%</w:t>
            </w:r>
          </w:p>
        </w:tc>
        <w:tc>
          <w:tcPr>
            <w:tcW w:type="dxa" w:w="737"/>
          </w:tcPr>
          <w:p>
            <w:pPr>
              <w:spacing w:after="0"/>
              <w:ind w:firstLine="0" w:firstLineChars="0"/>
              <w:jc w:val="right"/>
            </w:pPr>
            <w:r>
              <w:rPr>
                <w:rFonts w:ascii="Times New Roman" w:hAnsi="Times New Roman" w:eastAsia="ＭＳ 明朝"/>
                <w:b w:val="0"/>
                <w:color w:val="000000"/>
                <w:sz w:val="16"/>
              </w:rPr>
              <w:t>205</w:t>
            </w:r>
          </w:p>
        </w:tc>
        <w:tc>
          <w:tcPr>
            <w:tcW w:type="dxa" w:w="1134"/>
          </w:tcPr>
          <w:p>
            <w:pPr>
              <w:spacing w:after="0"/>
              <w:ind w:firstLine="0" w:firstLineChars="0"/>
              <w:jc w:val="right"/>
            </w:pPr>
            <w:r>
              <w:rPr>
                <w:rFonts w:ascii="Times New Roman" w:hAnsi="Times New Roman" w:eastAsia="ＭＳ 明朝"/>
                <w:b w:val="0"/>
                <w:color w:val="000000"/>
                <w:sz w:val="16"/>
              </w:rPr>
              <w:t>149,076</w:t>
            </w:r>
          </w:p>
        </w:tc>
      </w:tr>
      <w:tr>
        <w:tc>
          <w:tcPr>
            <w:tcW w:type="dxa" w:w="737"/>
          </w:tcPr>
          <w:p>
            <w:pPr>
              <w:spacing w:after="0"/>
              <w:ind w:firstLine="0" w:firstLineChars="0"/>
            </w:pPr>
            <w:r>
              <w:rPr>
                <w:rFonts w:ascii="Times New Roman" w:hAnsi="Times New Roman" w:eastAsia="ＭＳ 明朝"/>
                <w:b w:val="0"/>
                <w:color w:val="000000"/>
                <w:sz w:val="16"/>
              </w:rPr>
              <w:t>2112</w:t>
            </w:r>
          </w:p>
        </w:tc>
        <w:tc>
          <w:tcPr>
            <w:tcW w:type="dxa" w:w="2154"/>
          </w:tcPr>
          <w:p>
            <w:pPr>
              <w:spacing w:after="0"/>
              <w:ind w:firstLine="0" w:firstLineChars="0"/>
            </w:pPr>
            <w:r>
              <w:rPr>
                <w:rFonts w:ascii="Times New Roman" w:hAnsi="Times New Roman" w:eastAsia="ＭＳ 明朝"/>
                <w:b w:val="0"/>
                <w:color w:val="000000"/>
                <w:sz w:val="16"/>
              </w:rPr>
              <w:t>Ensuiko Sugar Refi</w:t>
            </w:r>
          </w:p>
        </w:tc>
        <w:tc>
          <w:tcPr>
            <w:tcW w:type="dxa" w:w="1701"/>
          </w:tcPr>
          <w:p>
            <w:pPr>
              <w:spacing w:after="0"/>
              <w:ind w:firstLine="0" w:firstLineChars="0"/>
            </w:pPr>
            <w:r>
              <w:rPr>
                <w:rFonts w:ascii="Times New Roman" w:hAnsi="Times New Roman" w:eastAsia="ＭＳ 明朝"/>
                <w:b w:val="0"/>
                <w:color w:val="000000"/>
                <w:sz w:val="16"/>
              </w:rPr>
              <w:t>Bridge / Diversifier</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6.40%</w:t>
            </w:r>
          </w:p>
        </w:tc>
        <w:tc>
          <w:tcPr>
            <w:tcW w:type="dxa" w:w="737"/>
          </w:tcPr>
          <w:p>
            <w:pPr>
              <w:spacing w:after="0"/>
              <w:ind w:firstLine="0" w:firstLineChars="0"/>
              <w:jc w:val="right"/>
            </w:pPr>
            <w:r>
              <w:rPr>
                <w:rFonts w:ascii="Times New Roman" w:hAnsi="Times New Roman" w:eastAsia="ＭＳ 明朝"/>
                <w:b w:val="0"/>
                <w:color w:val="000000"/>
                <w:sz w:val="16"/>
              </w:rPr>
              <w:t>749</w:t>
            </w:r>
          </w:p>
        </w:tc>
        <w:tc>
          <w:tcPr>
            <w:tcW w:type="dxa" w:w="1134"/>
          </w:tcPr>
          <w:p>
            <w:pPr>
              <w:spacing w:after="0"/>
              <w:ind w:firstLine="0" w:firstLineChars="0"/>
              <w:jc w:val="right"/>
            </w:pPr>
            <w:r>
              <w:rPr>
                <w:rFonts w:ascii="Times New Roman" w:hAnsi="Times New Roman" w:eastAsia="ＭＳ 明朝"/>
                <w:b w:val="0"/>
                <w:color w:val="000000"/>
                <w:sz w:val="16"/>
              </w:rPr>
              <w:t>319,823</w:t>
            </w:r>
          </w:p>
        </w:tc>
      </w:tr>
      <w:tr>
        <w:tc>
          <w:tcPr>
            <w:tcW w:type="dxa" w:w="737"/>
          </w:tcPr>
          <w:p>
            <w:pPr>
              <w:spacing w:after="0"/>
              <w:ind w:firstLine="0" w:firstLineChars="0"/>
            </w:pPr>
            <w:r>
              <w:rPr>
                <w:rFonts w:ascii="Times New Roman" w:hAnsi="Times New Roman" w:eastAsia="ＭＳ 明朝"/>
                <w:b w:val="0"/>
                <w:color w:val="000000"/>
                <w:sz w:val="16"/>
              </w:rPr>
              <w:t>3089</w:t>
            </w:r>
          </w:p>
        </w:tc>
        <w:tc>
          <w:tcPr>
            <w:tcW w:type="dxa" w:w="2154"/>
          </w:tcPr>
          <w:p>
            <w:pPr>
              <w:spacing w:after="0"/>
              <w:ind w:firstLine="0" w:firstLineChars="0"/>
            </w:pPr>
            <w:r>
              <w:rPr>
                <w:rFonts w:ascii="Times New Roman" w:hAnsi="Times New Roman" w:eastAsia="ＭＳ 明朝"/>
                <w:b w:val="0"/>
                <w:color w:val="000000"/>
                <w:sz w:val="16"/>
              </w:rPr>
              <w:t>Techno Alpha Co.,L</w:t>
            </w:r>
          </w:p>
        </w:tc>
        <w:tc>
          <w:tcPr>
            <w:tcW w:type="dxa" w:w="1701"/>
          </w:tcPr>
          <w:p>
            <w:pPr>
              <w:spacing w:after="0"/>
              <w:ind w:firstLine="0" w:firstLineChars="0"/>
            </w:pPr>
            <w:r>
              <w:rPr>
                <w:rFonts w:ascii="Times New Roman" w:hAnsi="Times New Roman" w:eastAsia="ＭＳ 明朝"/>
                <w:b w:val="0"/>
                <w:color w:val="000000"/>
                <w:sz w:val="16"/>
              </w:rPr>
              <w:t>Bridge / Diversifier</w:t>
            </w:r>
          </w:p>
        </w:tc>
        <w:tc>
          <w:tcPr>
            <w:tcW w:type="dxa" w:w="1361"/>
          </w:tcPr>
          <w:p>
            <w:pPr>
              <w:spacing w:after="0"/>
              <w:ind w:firstLine="0" w:firstLineChars="0"/>
            </w:pPr>
            <w:r>
              <w:rPr>
                <w:rFonts w:ascii="Times New Roman" w:hAnsi="Times New Roman" w:eastAsia="ＭＳ 明朝"/>
                <w:b w:val="0"/>
                <w:color w:val="000000"/>
                <w:sz w:val="16"/>
              </w:rPr>
              <w:t>non_ai</w:t>
            </w:r>
          </w:p>
        </w:tc>
        <w:tc>
          <w:tcPr>
            <w:tcW w:type="dxa" w:w="850"/>
          </w:tcPr>
          <w:p>
            <w:pPr>
              <w:spacing w:after="0"/>
              <w:ind w:firstLine="0" w:firstLineChars="0"/>
              <w:jc w:val="right"/>
            </w:pPr>
            <w:r>
              <w:rPr>
                <w:rFonts w:ascii="Times New Roman" w:hAnsi="Times New Roman" w:eastAsia="ＭＳ 明朝"/>
                <w:b w:val="0"/>
                <w:color w:val="000000"/>
                <w:sz w:val="16"/>
              </w:rPr>
              <w:t>3.60%</w:t>
            </w:r>
          </w:p>
        </w:tc>
        <w:tc>
          <w:tcPr>
            <w:tcW w:type="dxa" w:w="737"/>
          </w:tcPr>
          <w:p>
            <w:pPr>
              <w:spacing w:after="0"/>
              <w:ind w:firstLine="0" w:firstLineChars="0"/>
              <w:jc w:val="right"/>
            </w:pPr>
            <w:r>
              <w:rPr>
                <w:rFonts w:ascii="Times New Roman" w:hAnsi="Times New Roman" w:eastAsia="ＭＳ 明朝"/>
                <w:b w:val="0"/>
                <w:color w:val="000000"/>
                <w:sz w:val="16"/>
              </w:rPr>
              <w:t>143</w:t>
            </w:r>
          </w:p>
        </w:tc>
        <w:tc>
          <w:tcPr>
            <w:tcW w:type="dxa" w:w="1134"/>
          </w:tcPr>
          <w:p>
            <w:pPr>
              <w:spacing w:after="0"/>
              <w:ind w:firstLine="0" w:firstLineChars="0"/>
              <w:jc w:val="right"/>
            </w:pPr>
            <w:r>
              <w:rPr>
                <w:rFonts w:ascii="Times New Roman" w:hAnsi="Times New Roman" w:eastAsia="ＭＳ 明朝"/>
                <w:b w:val="0"/>
                <w:color w:val="000000"/>
                <w:sz w:val="16"/>
              </w:rPr>
              <w:t>179,036</w:t>
            </w:r>
          </w:p>
        </w:tc>
      </w:tr>
    </w:tbl>
    <w:p>
      <w:pPr>
        <w:spacing w:after="120"/>
        <w:ind w:firstLine="0" w:firstLineChars="0"/>
      </w:pPr>
      <w:r>
        <w:rPr>
          <w:rFonts w:ascii="Times New Roman" w:hAnsi="Times New Roman" w:eastAsia="ＭＳ 明朝"/>
          <w:b w:val="0"/>
          <w:sz w:val="16"/>
        </w:rPr>
        <w:t>出所：allocation_final.csv。総予算 500 万円、投資額 4,949,198 円、残現金 50,801 円（消化率 99.0%）。</w:t>
      </w:r>
    </w:p>
    <w:p>
      <w:pPr>
        <w:pStyle w:val="Heading2"/>
      </w:pPr>
      <w:r>
        <w:rPr>
          <w:rFonts w:ascii="ＭＳ ゴシック" w:hAnsi="ＭＳ ゴシック" w:eastAsia="ＭＳ ゴシック"/>
          <w:b/>
          <w:color w:val="000000"/>
          <w:sz w:val="22"/>
        </w:rPr>
        <w:t>3．最終二〇社の紹介（記入テンプレート）</w:t>
      </w:r>
    </w:p>
    <w:p>
      <w:pPr/>
      <w:r>
        <w:rPr>
          <w:rFonts w:ascii="Times New Roman" w:hAnsi="Times New Roman" w:eastAsia="ＭＳ 明朝"/>
          <w:b w:val="0"/>
          <w:sz w:val="18"/>
        </w:rPr>
        <w:t>最終二〇社について，役割・テーマ・定量指標・Evidence Level・採用理由・主なリスクを図表 Ⅲ-2 に整理する。左側の定量情報は正典データから自動記入した。事業概要・Moat の根拠・採用理由の定性記述・一次資料の出典は，各社の IR・有価証券報告書に基づき提出者が記入する（本研究では捏造を避け空欄とした）。</w:t>
      </w:r>
    </w:p>
    <w:tbl>
      <w:tblPr>
        <w:tblStyle w:val="TableGrid"/>
        <w:tblW w:type="auto" w:w="0"/>
        <w:jc w:val="center"/>
        <w:tblLook w:firstColumn="1" w:firstRow="1" w:lastColumn="0" w:lastRow="0" w:noHBand="0" w:noVBand="1" w:val="04A0"/>
      </w:tblPr>
      <w:tblGrid>
        <w:gridCol w:w="2759"/>
        <w:gridCol w:w="2759"/>
        <w:gridCol w:w="2759"/>
      </w:tblGrid>
      <w:tr>
        <w:tc>
          <w:tcPr>
            <w:tcW w:type="dxa" w:w="2268"/>
            <w:shd w:val="clear" w:color="auto" w:fill="808080"/>
          </w:tcPr>
          <w:p>
            <w:pPr>
              <w:spacing w:after="0"/>
              <w:ind w:firstLine="0" w:firstLineChars="0"/>
            </w:pPr>
            <w:r>
              <w:rPr>
                <w:rFonts w:ascii="ＭＳ ゴシック" w:hAnsi="ＭＳ ゴシック" w:eastAsia="ＭＳ ゴシック"/>
                <w:b/>
                <w:color w:val="FFFFFF"/>
                <w:sz w:val="17"/>
              </w:rPr>
              <w:t>コード・企業名／業種／役割・テーマ</w:t>
            </w:r>
          </w:p>
        </w:tc>
        <w:tc>
          <w:tcPr>
            <w:tcW w:type="dxa" w:w="1701"/>
            <w:shd w:val="clear" w:color="auto" w:fill="808080"/>
          </w:tcPr>
          <w:p>
            <w:pPr>
              <w:spacing w:after="0"/>
              <w:ind w:firstLine="0" w:firstLineChars="0"/>
            </w:pPr>
            <w:r>
              <w:rPr>
                <w:rFonts w:ascii="ＭＳ ゴシック" w:hAnsi="ＭＳ ゴシック" w:eastAsia="ＭＳ ゴシック"/>
                <w:b/>
                <w:color w:val="FFFFFF"/>
                <w:sz w:val="17"/>
              </w:rPr>
              <w:t>定量（T/E スコア・種別・Ev.・比率）</w:t>
            </w:r>
          </w:p>
        </w:tc>
        <w:tc>
          <w:tcPr>
            <w:tcW w:type="dxa" w:w="4309"/>
            <w:shd w:val="clear" w:color="auto" w:fill="808080"/>
          </w:tcPr>
          <w:p>
            <w:pPr>
              <w:spacing w:after="0"/>
              <w:ind w:firstLine="0" w:firstLineChars="0"/>
            </w:pPr>
            <w:r>
              <w:rPr>
                <w:rFonts w:ascii="ＭＳ ゴシック" w:hAnsi="ＭＳ ゴシック" w:eastAsia="ＭＳ ゴシック"/>
                <w:b/>
                <w:color w:val="FFFFFF"/>
                <w:sz w:val="17"/>
              </w:rPr>
              <w:t>事業概要・Moat の根拠・採用理由・主なリスク・一次資料出典（記入）</w:t>
            </w:r>
          </w:p>
        </w:tc>
      </w:tr>
      <w:tr>
        <w:tc>
          <w:tcPr>
            <w:tcW w:type="dxa" w:w="2268"/>
          </w:tcPr>
          <w:p>
            <w:pPr>
              <w:spacing w:after="0"/>
              <w:ind w:firstLine="0" w:firstLineChars="0"/>
            </w:pPr>
            <w:r>
              <w:rPr>
                <w:rFonts w:ascii="Times New Roman" w:hAnsi="Times New Roman" w:eastAsia="ＭＳ 明朝"/>
                <w:b w:val="0"/>
                <w:color w:val="000000"/>
                <w:sz w:val="15"/>
              </w:rPr>
              <w:t>9470 GAKKEN HOLDINGS CO.,</w:t>
              <w:br/>
              <w:t>Information &amp; Communication</w:t>
              <w:br/>
              <w:t>Buffett Core／non_ai</w:t>
            </w:r>
          </w:p>
        </w:tc>
        <w:tc>
          <w:tcPr>
            <w:tcW w:type="dxa" w:w="1701"/>
          </w:tcPr>
          <w:p>
            <w:pPr>
              <w:spacing w:after="0"/>
              <w:ind w:firstLine="0" w:firstLineChars="0"/>
            </w:pPr>
            <w:r>
              <w:rPr>
                <w:rFonts w:ascii="Times New Roman" w:hAnsi="Times New Roman" w:eastAsia="ＭＳ 明朝"/>
                <w:b w:val="0"/>
                <w:color w:val="000000"/>
                <w:sz w:val="15"/>
              </w:rPr>
              <w:t>T=73 / E=21</w:t>
              <w:br/>
              <w:t>Ev.=L3</w:t>
              <w:br/>
              <w:t>比率=6.9%</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3539 JM HOLDINGS CO.,LTD.</w:t>
              <w:br/>
              <w:t>Retail Trade</w:t>
              <w:br/>
              <w:t>Buffett Core／non_ai</w:t>
            </w:r>
          </w:p>
        </w:tc>
        <w:tc>
          <w:tcPr>
            <w:tcW w:type="dxa" w:w="1701"/>
          </w:tcPr>
          <w:p>
            <w:pPr>
              <w:spacing w:after="0"/>
              <w:ind w:firstLine="0" w:firstLineChars="0"/>
            </w:pPr>
            <w:r>
              <w:rPr>
                <w:rFonts w:ascii="Times New Roman" w:hAnsi="Times New Roman" w:eastAsia="ＭＳ 明朝"/>
                <w:b w:val="0"/>
                <w:color w:val="000000"/>
                <w:sz w:val="15"/>
              </w:rPr>
              <w:t>T=72 / E=19</w:t>
              <w:br/>
              <w:t>Ev.=L3</w:t>
              <w:br/>
              <w:t>比率=5.6%</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6430 DAIKOKU DENKI CO.,LT</w:t>
              <w:br/>
              <w:t>Machinery</w:t>
              <w:br/>
              <w:t>Buffett Core／non_ai</w:t>
            </w:r>
          </w:p>
        </w:tc>
        <w:tc>
          <w:tcPr>
            <w:tcW w:type="dxa" w:w="1701"/>
          </w:tcPr>
          <w:p>
            <w:pPr>
              <w:spacing w:after="0"/>
              <w:ind w:firstLine="0" w:firstLineChars="0"/>
            </w:pPr>
            <w:r>
              <w:rPr>
                <w:rFonts w:ascii="Times New Roman" w:hAnsi="Times New Roman" w:eastAsia="ＭＳ 明朝"/>
                <w:b w:val="0"/>
                <w:color w:val="000000"/>
                <w:sz w:val="15"/>
              </w:rPr>
              <w:t>T=74 / E=19</w:t>
              <w:br/>
              <w:t>Ev.=L3</w:t>
              <w:br/>
              <w:t>比率=5.4%</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4350 MEDICAL SYSTEM NETWO</w:t>
              <w:br/>
              <w:t>Retail Trade</w:t>
              <w:br/>
              <w:t>Buffett Core／non_ai</w:t>
            </w:r>
          </w:p>
        </w:tc>
        <w:tc>
          <w:tcPr>
            <w:tcW w:type="dxa" w:w="1701"/>
          </w:tcPr>
          <w:p>
            <w:pPr>
              <w:spacing w:after="0"/>
              <w:ind w:firstLine="0" w:firstLineChars="0"/>
            </w:pPr>
            <w:r>
              <w:rPr>
                <w:rFonts w:ascii="Times New Roman" w:hAnsi="Times New Roman" w:eastAsia="ＭＳ 明朝"/>
                <w:b w:val="0"/>
                <w:color w:val="000000"/>
                <w:sz w:val="15"/>
              </w:rPr>
              <w:t>T=72 / E=22</w:t>
              <w:br/>
              <w:t>Ev.=L1</w:t>
              <w:br/>
              <w:t>比率=4.2%</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7803 Bushiroad Inc.</w:t>
              <w:br/>
              <w:t>Other Products</w:t>
              <w:br/>
              <w:t>Buffett Core／non_ai</w:t>
            </w:r>
          </w:p>
        </w:tc>
        <w:tc>
          <w:tcPr>
            <w:tcW w:type="dxa" w:w="1701"/>
          </w:tcPr>
          <w:p>
            <w:pPr>
              <w:spacing w:after="0"/>
              <w:ind w:firstLine="0" w:firstLineChars="0"/>
            </w:pPr>
            <w:r>
              <w:rPr>
                <w:rFonts w:ascii="Times New Roman" w:hAnsi="Times New Roman" w:eastAsia="ＭＳ 明朝"/>
                <w:b w:val="0"/>
                <w:color w:val="000000"/>
                <w:sz w:val="15"/>
              </w:rPr>
              <w:t>T=77 / E=17</w:t>
              <w:br/>
              <w:t>Ev.=L3</w:t>
              <w:br/>
              <w:t>比率=2.9%</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5902 HOKKAN HOLDINGS LIMI</w:t>
              <w:br/>
              <w:t>Metal Products</w:t>
              <w:br/>
              <w:t>Transformation Core／non_ai</w:t>
            </w:r>
          </w:p>
        </w:tc>
        <w:tc>
          <w:tcPr>
            <w:tcW w:type="dxa" w:w="1701"/>
          </w:tcPr>
          <w:p>
            <w:pPr>
              <w:spacing w:after="0"/>
              <w:ind w:firstLine="0" w:firstLineChars="0"/>
            </w:pPr>
            <w:r>
              <w:rPr>
                <w:rFonts w:ascii="Times New Roman" w:hAnsi="Times New Roman" w:eastAsia="ＭＳ 明朝"/>
                <w:b w:val="0"/>
                <w:color w:val="000000"/>
                <w:sz w:val="15"/>
              </w:rPr>
              <w:t>T=82 / E=14</w:t>
              <w:br/>
              <w:t>Ev.=L3</w:t>
              <w:br/>
              <w:t>比率=6.7%</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 xml:space="preserve">9828 Genki Global Dining </w:t>
              <w:br/>
              <w:t>Retail Trade</w:t>
              <w:br/>
              <w:t>Transformation Core／non_ai</w:t>
            </w:r>
          </w:p>
        </w:tc>
        <w:tc>
          <w:tcPr>
            <w:tcW w:type="dxa" w:w="1701"/>
          </w:tcPr>
          <w:p>
            <w:pPr>
              <w:spacing w:after="0"/>
              <w:ind w:firstLine="0" w:firstLineChars="0"/>
            </w:pPr>
            <w:r>
              <w:rPr>
                <w:rFonts w:ascii="Times New Roman" w:hAnsi="Times New Roman" w:eastAsia="ＭＳ 明朝"/>
                <w:b w:val="0"/>
                <w:color w:val="000000"/>
                <w:sz w:val="15"/>
              </w:rPr>
              <w:t>T=80 / E=20</w:t>
              <w:br/>
              <w:t>Ev.=L3</w:t>
              <w:br/>
              <w:t>比率=5.5%</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8037 KAMEI CORPORATION</w:t>
              <w:br/>
              <w:t>Wholesale Trade</w:t>
              <w:br/>
              <w:t>Transformation Core／non_ai</w:t>
            </w:r>
          </w:p>
        </w:tc>
        <w:tc>
          <w:tcPr>
            <w:tcW w:type="dxa" w:w="1701"/>
          </w:tcPr>
          <w:p>
            <w:pPr>
              <w:spacing w:after="0"/>
              <w:ind w:firstLine="0" w:firstLineChars="0"/>
            </w:pPr>
            <w:r>
              <w:rPr>
                <w:rFonts w:ascii="Times New Roman" w:hAnsi="Times New Roman" w:eastAsia="ＭＳ 明朝"/>
                <w:b w:val="0"/>
                <w:color w:val="000000"/>
                <w:sz w:val="15"/>
              </w:rPr>
              <w:t>T=79 / E=16</w:t>
              <w:br/>
              <w:t>Ev.=L3</w:t>
              <w:br/>
              <w:t>比率=4.8%</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3863 Nippon Paper Industr</w:t>
              <w:br/>
              <w:t>Pulp and Paper</w:t>
              <w:br/>
              <w:t>Transformation Core／non_ai</w:t>
            </w:r>
          </w:p>
        </w:tc>
        <w:tc>
          <w:tcPr>
            <w:tcW w:type="dxa" w:w="1701"/>
          </w:tcPr>
          <w:p>
            <w:pPr>
              <w:spacing w:after="0"/>
              <w:ind w:firstLine="0" w:firstLineChars="0"/>
            </w:pPr>
            <w:r>
              <w:rPr>
                <w:rFonts w:ascii="Times New Roman" w:hAnsi="Times New Roman" w:eastAsia="ＭＳ 明朝"/>
                <w:b w:val="0"/>
                <w:color w:val="000000"/>
                <w:sz w:val="15"/>
              </w:rPr>
              <w:t>T=79 / E=14</w:t>
              <w:br/>
              <w:t>Ev.=L3</w:t>
              <w:br/>
              <w:t>比率=4.3%</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5233 TAIHEIYO CEMENT CORP</w:t>
              <w:br/>
              <w:t>Glass and Ceramics Products</w:t>
              <w:br/>
              <w:t>Transformation Core／non_ai</w:t>
            </w:r>
          </w:p>
        </w:tc>
        <w:tc>
          <w:tcPr>
            <w:tcW w:type="dxa" w:w="1701"/>
          </w:tcPr>
          <w:p>
            <w:pPr>
              <w:spacing w:after="0"/>
              <w:ind w:firstLine="0" w:firstLineChars="0"/>
            </w:pPr>
            <w:r>
              <w:rPr>
                <w:rFonts w:ascii="Times New Roman" w:hAnsi="Times New Roman" w:eastAsia="ＭＳ 明朝"/>
                <w:b w:val="0"/>
                <w:color w:val="000000"/>
                <w:sz w:val="15"/>
              </w:rPr>
              <w:t>T=80 / E=16</w:t>
              <w:br/>
              <w:t>Ev.=L3</w:t>
              <w:br/>
              <w:t>比率=3.7%</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6368 ORGANO CORPORATION</w:t>
              <w:br/>
              <w:t>Machinery</w:t>
              <w:br/>
              <w:t>Emerging Core／semiconductor</w:t>
            </w:r>
          </w:p>
        </w:tc>
        <w:tc>
          <w:tcPr>
            <w:tcW w:type="dxa" w:w="1701"/>
          </w:tcPr>
          <w:p>
            <w:pPr>
              <w:spacing w:after="0"/>
              <w:ind w:firstLine="0" w:firstLineChars="0"/>
            </w:pPr>
            <w:r>
              <w:rPr>
                <w:rFonts w:ascii="Times New Roman" w:hAnsi="Times New Roman" w:eastAsia="ＭＳ 明朝"/>
                <w:b w:val="0"/>
                <w:color w:val="000000"/>
                <w:sz w:val="15"/>
              </w:rPr>
              <w:t>T=67 / E=74</w:t>
              <w:br/>
              <w:t>Ev.=L3</w:t>
              <w:br/>
              <w:t>比率=6.9%</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6526 Socionext Inc.</w:t>
              <w:br/>
              <w:t>Electric Appliances</w:t>
              <w:br/>
              <w:t>Emerging Core／semiconductor</w:t>
            </w:r>
          </w:p>
        </w:tc>
        <w:tc>
          <w:tcPr>
            <w:tcW w:type="dxa" w:w="1701"/>
          </w:tcPr>
          <w:p>
            <w:pPr>
              <w:spacing w:after="0"/>
              <w:ind w:firstLine="0" w:firstLineChars="0"/>
            </w:pPr>
            <w:r>
              <w:rPr>
                <w:rFonts w:ascii="Times New Roman" w:hAnsi="Times New Roman" w:eastAsia="ＭＳ 明朝"/>
                <w:b w:val="0"/>
                <w:color w:val="000000"/>
                <w:sz w:val="15"/>
              </w:rPr>
              <w:t>T=73 / E=64</w:t>
              <w:br/>
              <w:t>Ev.=L2</w:t>
              <w:br/>
              <w:t>比率=4.9%</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6920 Lasertec Corporation</w:t>
              <w:br/>
              <w:t>Electric Appliances</w:t>
              <w:br/>
              <w:t>Emerging Core／quality_assurance</w:t>
            </w:r>
          </w:p>
        </w:tc>
        <w:tc>
          <w:tcPr>
            <w:tcW w:type="dxa" w:w="1701"/>
          </w:tcPr>
          <w:p>
            <w:pPr>
              <w:spacing w:after="0"/>
              <w:ind w:firstLine="0" w:firstLineChars="0"/>
            </w:pPr>
            <w:r>
              <w:rPr>
                <w:rFonts w:ascii="Times New Roman" w:hAnsi="Times New Roman" w:eastAsia="ＭＳ 明朝"/>
                <w:b w:val="0"/>
                <w:color w:val="000000"/>
                <w:sz w:val="15"/>
              </w:rPr>
              <w:t>T=66 / E=73</w:t>
              <w:br/>
              <w:t>Ev.=L2</w:t>
              <w:br/>
              <w:t>比率=4.8%</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6315 TOWA CORPORATION</w:t>
              <w:br/>
              <w:t>Machinery</w:t>
              <w:br/>
              <w:t>Emerging Core／semiconductor</w:t>
            </w:r>
          </w:p>
        </w:tc>
        <w:tc>
          <w:tcPr>
            <w:tcW w:type="dxa" w:w="1701"/>
          </w:tcPr>
          <w:p>
            <w:pPr>
              <w:spacing w:after="0"/>
              <w:ind w:firstLine="0" w:firstLineChars="0"/>
            </w:pPr>
            <w:r>
              <w:rPr>
                <w:rFonts w:ascii="Times New Roman" w:hAnsi="Times New Roman" w:eastAsia="ＭＳ 明朝"/>
                <w:b w:val="0"/>
                <w:color w:val="000000"/>
                <w:sz w:val="15"/>
              </w:rPr>
              <w:t>T=55 / E=73</w:t>
              <w:br/>
              <w:t>Ev.=L3</w:t>
              <w:br/>
              <w:t>比率=4.3%</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5803 Fujikura Ltd.</w:t>
              <w:br/>
              <w:t>Nonferrous Metals</w:t>
              <w:br/>
              <w:t>Emerging Core／optical_communication</w:t>
            </w:r>
          </w:p>
        </w:tc>
        <w:tc>
          <w:tcPr>
            <w:tcW w:type="dxa" w:w="1701"/>
          </w:tcPr>
          <w:p>
            <w:pPr>
              <w:spacing w:after="0"/>
              <w:ind w:firstLine="0" w:firstLineChars="0"/>
            </w:pPr>
            <w:r>
              <w:rPr>
                <w:rFonts w:ascii="Times New Roman" w:hAnsi="Times New Roman" w:eastAsia="ＭＳ 明朝"/>
                <w:b w:val="0"/>
                <w:color w:val="000000"/>
                <w:sz w:val="15"/>
              </w:rPr>
              <w:t>T=65 / E=52</w:t>
              <w:br/>
              <w:t>Ev.=L2</w:t>
              <w:br/>
              <w:t>比率=4.0%</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9474 ZENRIN CO.,LTD.</w:t>
              <w:br/>
              <w:t>Information &amp; Communication</w:t>
              <w:br/>
              <w:t>Dual Moat／business_data</w:t>
            </w:r>
          </w:p>
        </w:tc>
        <w:tc>
          <w:tcPr>
            <w:tcW w:type="dxa" w:w="1701"/>
          </w:tcPr>
          <w:p>
            <w:pPr>
              <w:spacing w:after="0"/>
              <w:ind w:firstLine="0" w:firstLineChars="0"/>
            </w:pPr>
            <w:r>
              <w:rPr>
                <w:rFonts w:ascii="Times New Roman" w:hAnsi="Times New Roman" w:eastAsia="ＭＳ 明朝"/>
                <w:b w:val="0"/>
                <w:color w:val="000000"/>
                <w:sz w:val="15"/>
              </w:rPr>
              <w:t>T=68 / E=77</w:t>
              <w:br/>
              <w:t>Ev.=L3</w:t>
              <w:br/>
              <w:t>比率=7.5%</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6841 YOKOGAWA ELECTRIC CO</w:t>
              <w:br/>
              <w:t>Electric Appliances</w:t>
              <w:br/>
              <w:t>Dual Moat／factory_automation</w:t>
            </w:r>
          </w:p>
        </w:tc>
        <w:tc>
          <w:tcPr>
            <w:tcW w:type="dxa" w:w="1701"/>
          </w:tcPr>
          <w:p>
            <w:pPr>
              <w:spacing w:after="0"/>
              <w:ind w:firstLine="0" w:firstLineChars="0"/>
            </w:pPr>
            <w:r>
              <w:rPr>
                <w:rFonts w:ascii="Times New Roman" w:hAnsi="Times New Roman" w:eastAsia="ＭＳ 明朝"/>
                <w:b w:val="0"/>
                <w:color w:val="000000"/>
                <w:sz w:val="15"/>
              </w:rPr>
              <w:t>T=73 / E=79</w:t>
              <w:br/>
              <w:t>Ev.=L3</w:t>
              <w:br/>
              <w:t>比率=4.6%</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3697 SHIFT Inc.</w:t>
              <w:br/>
              <w:t>Information &amp; Communication</w:t>
              <w:br/>
              <w:t>Dual Moat／quality_assurance</w:t>
            </w:r>
          </w:p>
        </w:tc>
        <w:tc>
          <w:tcPr>
            <w:tcW w:type="dxa" w:w="1701"/>
          </w:tcPr>
          <w:p>
            <w:pPr>
              <w:spacing w:after="0"/>
              <w:ind w:firstLine="0" w:firstLineChars="0"/>
            </w:pPr>
            <w:r>
              <w:rPr>
                <w:rFonts w:ascii="Times New Roman" w:hAnsi="Times New Roman" w:eastAsia="ＭＳ 明朝"/>
                <w:b w:val="0"/>
                <w:color w:val="000000"/>
                <w:sz w:val="15"/>
              </w:rPr>
              <w:t>T=61 / E=92</w:t>
              <w:br/>
              <w:t>Ev.=L2</w:t>
              <w:br/>
              <w:t>比率=3.0%</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2112 Ensuiko Sugar Refini</w:t>
              <w:br/>
              <w:t>Foods</w:t>
              <w:br/>
              <w:t>Bridge / Diversifier／non_ai</w:t>
            </w:r>
          </w:p>
        </w:tc>
        <w:tc>
          <w:tcPr>
            <w:tcW w:type="dxa" w:w="1701"/>
          </w:tcPr>
          <w:p>
            <w:pPr>
              <w:spacing w:after="0"/>
              <w:ind w:firstLine="0" w:firstLineChars="0"/>
            </w:pPr>
            <w:r>
              <w:rPr>
                <w:rFonts w:ascii="Times New Roman" w:hAnsi="Times New Roman" w:eastAsia="ＭＳ 明朝"/>
                <w:b w:val="0"/>
                <w:color w:val="000000"/>
                <w:sz w:val="15"/>
              </w:rPr>
              <w:t>T=77 / E=10</w:t>
              <w:br/>
              <w:t>Ev.=L3</w:t>
              <w:br/>
              <w:t>比率=6.4%</w:t>
            </w:r>
          </w:p>
        </w:tc>
        <w:tc>
          <w:tcPr>
            <w:tcW w:type="dxa" w:w="4309"/>
          </w:tcPr>
          <w:p>
            <w:pPr>
              <w:spacing w:after="0"/>
              <w:ind w:firstLine="0" w:firstLineChars="0"/>
            </w:pPr>
          </w:p>
        </w:tc>
      </w:tr>
      <w:tr>
        <w:tc>
          <w:tcPr>
            <w:tcW w:type="dxa" w:w="2268"/>
          </w:tcPr>
          <w:p>
            <w:pPr>
              <w:spacing w:after="0"/>
              <w:ind w:firstLine="0" w:firstLineChars="0"/>
            </w:pPr>
            <w:r>
              <w:rPr>
                <w:rFonts w:ascii="Times New Roman" w:hAnsi="Times New Roman" w:eastAsia="ＭＳ 明朝"/>
                <w:b w:val="0"/>
                <w:color w:val="000000"/>
                <w:sz w:val="15"/>
              </w:rPr>
              <w:t>3089 Techno Alpha Co.,Ltd</w:t>
              <w:br/>
              <w:t>Wholesale Trade</w:t>
              <w:br/>
              <w:t>Bridge / Diversifier／non_ai</w:t>
            </w:r>
          </w:p>
        </w:tc>
        <w:tc>
          <w:tcPr>
            <w:tcW w:type="dxa" w:w="1701"/>
          </w:tcPr>
          <w:p>
            <w:pPr>
              <w:spacing w:after="0"/>
              <w:ind w:firstLine="0" w:firstLineChars="0"/>
            </w:pPr>
            <w:r>
              <w:rPr>
                <w:rFonts w:ascii="Times New Roman" w:hAnsi="Times New Roman" w:eastAsia="ＭＳ 明朝"/>
                <w:b w:val="0"/>
                <w:color w:val="000000"/>
                <w:sz w:val="15"/>
              </w:rPr>
              <w:t>T=79 / E=16</w:t>
              <w:br/>
              <w:t>Ev.=L3</w:t>
              <w:br/>
              <w:t>比率=3.6%</w:t>
            </w:r>
          </w:p>
        </w:tc>
        <w:tc>
          <w:tcPr>
            <w:tcW w:type="dxa" w:w="4309"/>
          </w:tcPr>
          <w:p>
            <w:pPr>
              <w:spacing w:after="0"/>
              <w:ind w:firstLine="0" w:firstLineChars="0"/>
            </w:pPr>
          </w:p>
        </w:tc>
      </w:tr>
    </w:tbl>
    <w:p>
      <w:pPr>
        <w:spacing w:after="120"/>
        <w:ind w:firstLine="0" w:firstLineChars="0"/>
      </w:pPr>
      <w:r>
        <w:rPr>
          <w:rFonts w:ascii="Times New Roman" w:hAnsi="Times New Roman" w:eastAsia="ＭＳ 明朝"/>
          <w:b w:val="0"/>
          <w:sz w:val="16"/>
        </w:rPr>
        <w:t>注：左二列は正典データから自動記入。右列（定性記述・一次資料出典）は提出者が各社 IR・有価証券報告書に基づき記入する。</w:t>
      </w:r>
    </w:p>
    <w:p>
      <w:pPr>
        <w:pStyle w:val="Heading1"/>
      </w:pPr>
      <w:r>
        <w:rPr>
          <w:rFonts w:ascii="ＭＳ ゴシック" w:hAnsi="ＭＳ ゴシック" w:eastAsia="ＭＳ ゴシック"/>
          <w:b/>
          <w:color w:val="000000"/>
          <w:sz w:val="24"/>
        </w:rPr>
        <w:t>Ⅳ．検証・アブレーション・限界</w:t>
      </w:r>
    </w:p>
    <w:p>
      <w:pPr>
        <w:pStyle w:val="Heading2"/>
      </w:pPr>
      <w:r>
        <w:rPr>
          <w:rFonts w:ascii="ＭＳ ゴシック" w:hAnsi="ＭＳ ゴシック" w:eastAsia="ＭＳ ゴシック"/>
          <w:b/>
          <w:color w:val="000000"/>
          <w:sz w:val="22"/>
        </w:rPr>
        <w:t>1．検証の位置づけ（in-sample）</w:t>
      </w:r>
    </w:p>
    <w:p>
      <w:pPr/>
      <w:r>
        <w:rPr>
          <w:rFonts w:ascii="Times New Roman" w:hAnsi="Times New Roman" w:eastAsia="ＭＳ 明朝"/>
          <w:b w:val="0"/>
          <w:sz w:val="18"/>
        </w:rPr>
        <w:t>本ポートフォリオは 2026 年 6 月時点で入手可能なデータから構築されており，あらゆる履歴シミュレーションは構造上，標本内（in-sample）である。したがって本章の数値は過去データ上のリスク特性の確認であって，将来リターンの予測や優位性の証明ではない。ベンチマークは TOPIX プロキシ（1306.T）と日経平均（^N225）を用い，1306.T の未調整の一対一〇株式分割（2026-03-30）は補正した（注 1）。生存者バイアス・先読みバイアスの可能性も残る。</w:t>
      </w:r>
    </w:p>
    <w:p>
      <w:pPr>
        <w:pStyle w:val="Heading2"/>
      </w:pPr>
      <w:r>
        <w:rPr>
          <w:rFonts w:ascii="ＭＳ ゴシック" w:hAnsi="ＭＳ ゴシック" w:eastAsia="ＭＳ ゴシック"/>
          <w:b/>
          <w:color w:val="000000"/>
          <w:sz w:val="22"/>
        </w:rPr>
        <w:t>2．リスク指標</w:t>
      </w:r>
    </w:p>
    <w:p>
      <w:pPr/>
      <w:r>
        <w:rPr>
          <w:rFonts w:ascii="Times New Roman" w:hAnsi="Times New Roman" w:eastAsia="ＭＳ 明朝"/>
          <w:b w:val="0"/>
          <w:sz w:val="18"/>
        </w:rPr>
        <w:t>主要なリスク指標の定義を式（5.1）〜（5.5）に示す。三年（in-sample）でのポートフォリオの年率リターンは +30.8%（TOPIX +24.1%・日経 +32.8%），年率ボラティリティ 21.9%，最大ドローダウン −24.9%（TOPIX −23.3%），ベータ 0.925，Sharpe 1.41，Jensen α +7.3%/年であった。いずれも in-sample の値であり，優位性を主張するものではない。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（5.1）Sharpe Ratio ― 検証式（銘柄選定に未使用）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S</m:t>
                </m:r>
                <m:r>
                  <m:rPr>
                    <m:sty m:val="p"/>
                  </m:rPr>
                  <m:t>h</m:t>
                </m:r>
                <m:r>
                  <m:rPr>
                    <m:sty m:val="p"/>
                  </m:rPr>
                  <m:t>a</m:t>
                </m:r>
                <m:r>
                  <m:rPr>
                    <m:sty m:val="p"/>
                  </m:rPr>
                  <m:t>r</m:t>
                </m:r>
                <m:r>
                  <m:rPr>
                    <m:sty m:val="p"/>
                  </m:rPr>
                  <m:t>p</m:t>
                </m:r>
                <m:r>
                  <m:rPr>
                    <m:sty m:val="p"/>
                  </m:rPr>
                  <m:t>e</m:t>
                </m:r>
                <m:r>
                  <m:rPr>
                    <m:sty m:val="p"/>
                  </m:rPr>
                  <m:t>=</m:t>
                </m:r>
                <m:f>
                  <m:fPr>
                    <m:type m:val="bar"/>
                  </m:fPr>
                  <m:num>
                    <m:sSub>
                      <m:e>
                        <m:acc>
                          <m:accPr>
                            <m:chr m:val="‾"/>
                          </m:accPr>
                          <m:e>
                            <m:r>
                              <m:t>r</m:t>
                            </m:r>
                          </m:e>
                        </m:acc>
                      </m:e>
                      <m:sub>
                        <m:r>
                          <m:t>p</m:t>
                        </m:r>
                      </m:sub>
                    </m:sSub>
                    <m:r>
                      <m:rPr>
                        <m:sty m:val="p"/>
                      </m:rPr>
                      <m:t>−</m:t>
                    </m:r>
                    <m:sSub>
                      <m:e>
                        <m:r>
                          <m:t>r</m:t>
                        </m:r>
                      </m:e>
                      <m:sub>
                        <m:r>
                          <m:t>f</m:t>
                        </m:r>
                      </m:sub>
                    </m:sSub>
                  </m:num>
                  <m:den>
                    <m:sSub>
                      <m:e>
                        <m:r>
                          <m:t>σ</m:t>
                        </m:r>
                      </m:e>
                      <m:sub>
                        <m:r>
                          <m:t>p</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r̄_p：年率ポートフォリオ収益；　r_f：無リスク金利（約 0）；　σ_p：年率ボラティリティ。in-sample のリスク特性確認であり性能主張ではない。</w:t>
            </w:r>
          </w:p>
        </w:tc>
      </w:tr>
    </w:tbl>
    <w:p>
      <w:pPr>
        <w:spacing w:after="40"/>
        <w:ind w:firstLine="0" w:firstLineChars="0"/>
      </w:pPr>
    </w:p>
    <w:p>
      <w:pPr/>
      <w:r>
        <w:rPr>
          <w:rFonts w:ascii="Times New Roman" w:hAnsi="Times New Roman" w:eastAsia="ＭＳ 明朝"/>
          <w:b w:val="0"/>
          <w:sz w:val="18"/>
        </w:rPr>
        <w:t>式（5.1）は Sharpe（1966；1994）の指標で，リスク一単位あたりの超過収益を測る。本研究では in-sample のリスク特性の記述にのみ用い，銘柄選定には用いていない。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（5.2）Maximum Drawdown ― 検証式（銘柄選定に未使用）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M</m:t>
                </m:r>
                <m:r>
                  <m:rPr>
                    <m:sty m:val="p"/>
                  </m:rPr>
                  <m:t>D</m:t>
                </m:r>
                <m:r>
                  <m:rPr>
                    <m:sty m:val="p"/>
                  </m:rPr>
                  <m:t>D</m:t>
                </m:r>
                <m:r>
                  <m:rPr>
                    <m:sty m:val="p"/>
                  </m:rPr>
                  <m:t>=</m:t>
                </m:r>
                <m:limLow>
                  <m:e>
                    <m:r>
                      <m:rPr>
                        <m:sty m:val="p"/>
                      </m:rPr>
                      <m:t>min</m:t>
                    </m:r>
                  </m:e>
                  <m:lim>
                    <m:r>
                      <m:t>t</m:t>
                    </m:r>
                  </m:lim>
                </m:limLow>
                <m:d>
                  <m:dPr>
                    <m:begChr m:val="("/>
                    <m:sepChr m:val=""/>
                    <m:endChr m:val=")"/>
                    <m:grow/>
                  </m:dPr>
                  <m:e>
                    <m:f>
                      <m:fPr>
                        <m:type m:val="bar"/>
                      </m:fPr>
                      <m:num>
                        <m:sSub>
                          <m:e>
                            <m:r>
                              <m:t>C</m:t>
                            </m:r>
                          </m:e>
                          <m:sub>
                            <m:r>
                              <m:t>t</m:t>
                            </m:r>
                          </m:sub>
                        </m:sSub>
                      </m:num>
                      <m:den>
                        <m:limLow>
                          <m:e>
                            <m:r>
                              <m:rPr>
                                <m:sty m:val="p"/>
                              </m:rPr>
                              <m:t>max</m:t>
                            </m:r>
                          </m:e>
                          <m:lim>
                            <m:r>
                              <m:t>s</m:t>
                            </m:r>
                            <m:r>
                              <m:rPr>
                                <m:sty m:val="p"/>
                              </m:rPr>
                              <m:t>≤</m:t>
                            </m:r>
                            <m:r>
                              <m:t>t</m:t>
                            </m:r>
                          </m:lim>
                        </m:limLow>
                        <m:sSub>
                          <m:e>
                            <m:r>
                              <m:t>C</m:t>
                            </m:r>
                          </m:e>
                          <m:sub>
                            <m:r>
                              <m:t>s</m:t>
                            </m:r>
                          </m:sub>
                        </m:sSub>
                      </m:den>
                    </m:f>
                    <m:r>
                      <m:rPr>
                        <m:sty m:val="p"/>
                      </m:rPr>
                      <m:t>−</m:t>
                    </m:r>
                    <m:r>
                      <m:t>1</m:t>
                    </m:r>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C_t：時点 t の累積指数。ピークからの最大下落率。</w:t>
            </w:r>
          </w:p>
        </w:tc>
      </w:tr>
    </w:tbl>
    <w:p>
      <w:pPr>
        <w:spacing w:after="40"/>
        <w:ind w:firstLine="0" w:firstLineChars="0"/>
      </w:pPr>
    </w:p>
    <w:p>
      <w:pPr/>
      <w:r>
        <w:rPr>
          <w:rFonts w:ascii="Times New Roman" w:hAnsi="Times New Roman" w:eastAsia="ＭＳ 明朝"/>
          <w:b w:val="0"/>
          <w:sz w:val="18"/>
        </w:rPr>
        <w:t>式（5.2）は最大ドローダウンで，ピークからの最大下落率を測る。下方リスクの参考指標であり，選定には未使用である。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（5.3）Jensen's α ― 検証式（銘柄選定に未使用）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α</m:t>
                    </m:r>
                  </m:e>
                  <m:sub>
                    <m:r>
                      <m:t>p</m:t>
                    </m:r>
                  </m:sub>
                </m:sSub>
                <m:r>
                  <m:rPr>
                    <m:sty m:val="p"/>
                  </m:rPr>
                  <m:t>=</m:t>
                </m:r>
                <m:sSub>
                  <m:e>
                    <m:acc>
                      <m:accPr>
                        <m:chr m:val="‾"/>
                      </m:accPr>
                      <m:e>
                        <m:r>
                          <m:t>r</m:t>
                        </m:r>
                      </m:e>
                    </m:acc>
                  </m:e>
                  <m:sub>
                    <m:r>
                      <m:t>p</m:t>
                    </m:r>
                  </m:sub>
                </m:sSub>
                <m:r>
                  <m:rPr>
                    <m:sty m:val="p"/>
                  </m:rPr>
                  <m:t>−</m:t>
                </m:r>
                <m:sSub>
                  <m:e>
                    <m:r>
                      <m:t>β</m:t>
                    </m:r>
                  </m:e>
                  <m:sub>
                    <m:r>
                      <m:t>p</m:t>
                    </m:r>
                  </m:sub>
                </m:sSub>
                <m:r>
                  <m:t> </m:t>
                </m:r>
                <m:sSub>
                  <m:e>
                    <m:acc>
                      <m:accPr>
                        <m:chr m:val="‾"/>
                      </m:accPr>
                      <m:e>
                        <m:r>
                          <m:t>r</m:t>
                        </m:r>
                      </m:e>
                    </m:acc>
                  </m:e>
                  <m:sub>
                    <m:r>
                      <m:t>m</m:t>
                    </m:r>
                  </m:sub>
                </m:sSub>
                <m:r>
                  <m:rPr>
                    <m:sty m:val="p"/>
                  </m:rPr>
                  <m:t>,</m:t>
                </m:r>
                <m:r>
                  <m:t>  </m:t>
                </m:r>
                <m:sSub>
                  <m:e>
                    <m:r>
                      <m:t>β</m:t>
                    </m:r>
                  </m:e>
                  <m:sub>
                    <m:r>
                      <m:t>p</m:t>
                    </m:r>
                  </m:sub>
                </m:sSub>
                <m:r>
                  <m:rPr>
                    <m:sty m:val="p"/>
                  </m:rPr>
                  <m:t>=</m:t>
                </m:r>
                <m:f>
                  <m:fPr>
                    <m:type m:val="bar"/>
                  </m:fPr>
                  <m:num>
                    <m:r>
                      <m:rPr>
                        <m:sty m:val="p"/>
                      </m:rPr>
                      <m:t>C</m:t>
                    </m:r>
                    <m:r>
                      <m:rPr>
                        <m:sty m:val="p"/>
                      </m:rPr>
                      <m:t>o</m:t>
                    </m:r>
                    <m:r>
                      <m:rPr>
                        <m:sty m:val="p"/>
                      </m:rPr>
                      <m:t>v</m:t>
                    </m:r>
                    <m:r>
                      <m:rPr>
                        <m:sty m:val="p"/>
                      </m:rPr>
                      <m:t>(</m:t>
                    </m:r>
                    <m:sSub>
                      <m:e>
                        <m:r>
                          <m:t>r</m:t>
                        </m:r>
                      </m:e>
                      <m:sub>
                        <m:r>
                          <m:t>p</m:t>
                        </m:r>
                      </m:sub>
                    </m:sSub>
                    <m:r>
                      <m:rPr>
                        <m:sty m:val="p"/>
                      </m:rPr>
                      <m:t>,</m:t>
                    </m:r>
                    <m:sSub>
                      <m:e>
                        <m:r>
                          <m:t>r</m:t>
                        </m:r>
                      </m:e>
                      <m:sub>
                        <m:r>
                          <m:t>m</m:t>
                        </m:r>
                      </m:sub>
                    </m:sSub>
                    <m:r>
                      <m:rPr>
                        <m:sty m:val="p"/>
                      </m:rPr>
                      <m:t>)</m:t>
                    </m:r>
                  </m:num>
                  <m:den>
                    <m:r>
                      <m:rPr>
                        <m:sty m:val="p"/>
                      </m:rPr>
                      <m:t>V</m:t>
                    </m:r>
                    <m:r>
                      <m:rPr>
                        <m:sty m:val="p"/>
                      </m:rPr>
                      <m:t>a</m:t>
                    </m:r>
                    <m:r>
                      <m:rPr>
                        <m:sty m:val="p"/>
                      </m:rPr>
                      <m:t>r</m:t>
                    </m:r>
                    <m:r>
                      <m:rPr>
                        <m:sty m:val="p"/>
                      </m:rPr>
                      <m:t>(</m:t>
                    </m:r>
                    <m:sSub>
                      <m:e>
                        <m:r>
                          <m:t>r</m:t>
                        </m:r>
                      </m:e>
                      <m:sub>
                        <m:r>
                          <m:t>m</m:t>
                        </m:r>
                      </m:sub>
                    </m:sSub>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r_m：TOPIX プロキシ収益；　β_p：市場感応度。β で説明されない超過収益が α_p（in-sample）。</w:t>
            </w:r>
          </w:p>
        </w:tc>
      </w:tr>
    </w:tbl>
    <w:p>
      <w:pPr>
        <w:spacing w:after="40"/>
        <w:ind w:firstLine="0" w:firstLineChars="0"/>
      </w:pPr>
    </w:p>
    <w:p>
      <w:pPr/>
      <w:r>
        <w:rPr>
          <w:rFonts w:ascii="Times New Roman" w:hAnsi="Times New Roman" w:eastAsia="ＭＳ 明朝"/>
          <w:b w:val="0"/>
          <w:sz w:val="18"/>
        </w:rPr>
        <w:t>式（5.3）は Jensen（1968）のアルファで，ベータで説明されない超過収益を測る。in-sample の値であり，将来のアルファを約束しない。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（5.4）Information Ratio ― 検証式（銘柄選定に未使用）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I</m:t>
                </m:r>
                <m:r>
                  <m:rPr>
                    <m:sty m:val="p"/>
                  </m:rPr>
                  <m:t>R</m:t>
                </m:r>
                <m:r>
                  <m:rPr>
                    <m:sty m:val="p"/>
                  </m:rPr>
                  <m:t>=</m:t>
                </m:r>
                <m:f>
                  <m:fPr>
                    <m:type m:val="bar"/>
                  </m:fPr>
                  <m:num>
                    <m:sSub>
                      <m:e>
                        <m:acc>
                          <m:accPr>
                            <m:chr m:val="‾"/>
                          </m:accPr>
                          <m:e>
                            <m:r>
                              <m:t>r</m:t>
                            </m:r>
                          </m:e>
                        </m:acc>
                      </m:e>
                      <m:sub>
                        <m:r>
                          <m:t>p</m:t>
                        </m:r>
                      </m:sub>
                    </m:sSub>
                    <m:r>
                      <m:rPr>
                        <m:sty m:val="p"/>
                      </m:rPr>
                      <m:t>−</m:t>
                    </m:r>
                    <m:sSub>
                      <m:e>
                        <m:acc>
                          <m:accPr>
                            <m:chr m:val="‾"/>
                          </m:accPr>
                          <m:e>
                            <m:r>
                              <m:t>r</m:t>
                            </m:r>
                          </m:e>
                        </m:acc>
                      </m:e>
                      <m:sub>
                        <m:r>
                          <m:t>b</m:t>
                        </m:r>
                      </m:sub>
                    </m:sSub>
                  </m:num>
                  <m:den>
                    <m:sSub>
                      <m:e>
                        <m:r>
                          <m:t>σ</m:t>
                        </m:r>
                      </m:e>
                      <m:sub>
                        <m:r>
                          <m:t>p</m:t>
                        </m:r>
                        <m:r>
                          <m:rPr>
                            <m:sty m:val="p"/>
                          </m:rPr>
                          <m:t>−</m:t>
                        </m:r>
                        <m:r>
                          <m:t>b</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r̄_b：ベンチマーク収益；　σ_{p-b}：トラッキングエラー。直近 1 年 IR は −0.405（負）であり、超過収益を主張しない根拠。</w:t>
            </w:r>
          </w:p>
        </w:tc>
      </w:tr>
    </w:tbl>
    <w:p>
      <w:pPr>
        <w:spacing w:after="40"/>
        <w:ind w:firstLine="0" w:firstLineChars="0"/>
      </w:pPr>
    </w:p>
    <w:p>
      <w:pPr/>
      <w:r>
        <w:rPr>
          <w:rFonts w:ascii="Times New Roman" w:hAnsi="Times New Roman" w:eastAsia="ＭＳ 明朝"/>
          <w:b w:val="0"/>
          <w:sz w:val="18"/>
        </w:rPr>
        <w:t>式（5.4）は Information Ratio である。直近一年の Information Ratio は −0.405（負）であり，ベンチマークに対する超過収益を作れていない。この事実を主要リスクとして本文に明記する（図表 Ⅳ-2）。過学習と標本内評価の限界については López de Prado（2018）・Bailey et al.（2014）を参照した。</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（5.5）Herfindahl–Hirschman Index（集中度）― 検証式（銘柄選定に未使用）</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H</m:t>
                </m:r>
                <m:r>
                  <m:rPr>
                    <m:sty m:val="p"/>
                  </m:rPr>
                  <m:t>H</m:t>
                </m:r>
                <m:r>
                  <m:rPr>
                    <m:sty m:val="p"/>
                  </m:rPr>
                  <m:t>I</m:t>
                </m:r>
                <m:r>
                  <m:rPr>
                    <m:sty m:val="p"/>
                  </m:rPr>
                  <m:t>=</m:t>
                </m:r>
                <m:nary>
                  <m:naryPr>
                    <m:chr m:val="∑"/>
                    <m:limLoc m:val="undOvr"/>
                    <m:subHide m:val="off"/>
                    <m:supHide m:val="on"/>
                  </m:naryPr>
                  <m:sub>
                    <m:r>
                      <m:t>g</m:t>
                    </m:r>
                  </m:sub>
                  <m:sup>
                    <m:r>
                      <m:t>​</m:t>
                    </m:r>
                  </m:sup>
                  <m:e>
                    <m:sSup>
                      <m:e>
                        <m:d>
                          <m:dPr>
                            <m:begChr m:val="("/>
                            <m:sepChr m:val=""/>
                            <m:endChr m:val=")"/>
                            <m:grow/>
                          </m:dPr>
                          <m:e>
                            <m:nary>
                              <m:naryPr>
                                <m:chr m:val="∑"/>
                                <m:limLoc m:val="undOvr"/>
                                <m:subHide m:val="off"/>
                                <m:supHide m:val="on"/>
                              </m:naryPr>
                              <m:sub>
                                <m:r>
                                  <m:t>i</m:t>
                                </m:r>
                                <m:r>
                                  <m:rPr>
                                    <m:sty m:val="p"/>
                                  </m:rPr>
                                  <m:t>∈</m:t>
                                </m:r>
                                <m:r>
                                  <m:t>g</m:t>
                                </m:r>
                              </m:sub>
                              <m:sup>
                                <m:r>
                                  <m:t>​</m:t>
                                </m:r>
                              </m:sup>
                              <m:e>
                                <m:sSub>
                                  <m:e>
                                    <m:r>
                                      <m:t>ω</m:t>
                                    </m:r>
                                  </m:e>
                                  <m:sub>
                                    <m:r>
                                      <m:t>i</m:t>
                                    </m:r>
                                  </m:sub>
                                </m:sSub>
                              </m:e>
                            </m:nary>
                          </m:e>
                        </m:d>
                      </m:e>
                      <m:sup>
                        <m:r>
                          <m:t>2</m:t>
                        </m:r>
                      </m:sup>
                    </m:sSup>
                  </m:e>
                </m:nary>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g：銘柄・業種・テーマの各グループ。値が大きいほど集中。本研究では銘柄 0.053・業種 0.123・テーマ 0.402。</w:t>
            </w:r>
          </w:p>
        </w:tc>
      </w:tr>
    </w:tbl>
    <w:p>
      <w:pPr>
        <w:spacing w:after="40"/>
        <w:ind w:firstLine="0" w:firstLineChars="0"/>
      </w:pPr>
    </w:p>
    <w:p>
      <w:pPr/>
      <w:r>
        <w:rPr>
          <w:rFonts w:ascii="Times New Roman" w:hAnsi="Times New Roman" w:eastAsia="ＭＳ 明朝"/>
          <w:b w:val="0"/>
          <w:sz w:val="18"/>
        </w:rPr>
        <w:t>式（5.5）は集中度指数（HHI）である。銘柄 0.053・業種 0.123・テーマ 0.402 であり，テーマ集中が高いことをリスクとして開示する。</w:t>
      </w:r>
    </w:p>
    <w:p>
      <w:pPr>
        <w:pStyle w:val="Heading2"/>
      </w:pPr>
      <w:r>
        <w:rPr>
          <w:rFonts w:ascii="ＭＳ ゴシック" w:hAnsi="ＭＳ ゴシック" w:eastAsia="ＭＳ ゴシック"/>
          <w:b/>
          <w:color w:val="000000"/>
          <w:sz w:val="22"/>
        </w:rPr>
        <w:t>3．アブレーション</w:t>
      </w:r>
    </w:p>
    <w:p>
      <w:pPr/>
      <w:r>
        <w:rPr>
          <w:rFonts w:ascii="Times New Roman" w:hAnsi="Times New Roman" w:eastAsia="ＭＳ 明朝"/>
          <w:b w:val="0"/>
          <w:sz w:val="18"/>
        </w:rPr>
        <w:t>選定が単一要素・単一テーマ・後付け最適化に依存しないことを，一六通りのアブレーション（A1〜A16）で構造的に点検した（図表 Ⅳ-1）。各変種の選定と最終二〇社の重複数を比較する。全ガードを適用したベースが最終二〇社を二〇分の二〇で再現することを確認したうえで各変種を実行した。Transformation のみ（A1，重複 12）・Emerging のみ（A2，16）はいずれもベースを完全には再現せず，二軸合成が選定の本体であることを示す。最小は A8（Top100 限定，重複 7）であり，破で母集団を Top1200 に広げた判断こそが選定の最大の駆動要因である。Value Trap Penalty（A4，16）・Theme Hype Penalty（A5，13）・Evidence Level（A3，13）は効くが支配的ではなく，Buffett Core 固定の除去（A11，11）は影響が大きい。ai_keyword_only ガードを Emerging 系役割のみに限定した A16（16）は，同ガードが過度に拘束的でないことを示す。</w:t>
      </w:r>
    </w:p>
    <w:p>
      <w:pPr>
        <w:keepNext/>
        <w:spacing w:before="120" w:after="40"/>
        <w:ind w:firstLine="0" w:firstLineChars="0"/>
      </w:pPr>
      <w:r>
        <w:rPr>
          <w:rFonts w:ascii="ＭＳ ゴシック" w:hAnsi="ＭＳ ゴシック" w:eastAsia="ＭＳ ゴシック"/>
          <w:b/>
          <w:color w:val="000000"/>
          <w:sz w:val="18"/>
        </w:rPr>
        <w:t>図表 Ⅳ-1　アブレーション（A1〜A16）と最終二〇社の重複</w:t>
      </w:r>
    </w:p>
    <w:p>
      <w:pPr>
        <w:jc w:val="center"/>
        <w:keepNext/>
        <w:ind w:firstLine="0" w:firstLineChars="0"/>
      </w:pPr>
      <w:r>
        <w:drawing>
          <wp:inline xmlns:a="http://schemas.openxmlformats.org/drawingml/2006/main" xmlns:pic="http://schemas.openxmlformats.org/drawingml/2006/picture">
            <wp:extent cx="5040000" cy="2352000"/>
            <wp:docPr id="4" name="Picture 4"/>
            <wp:cNvGraphicFramePr>
              <a:graphicFrameLocks noChangeAspect="1"/>
            </wp:cNvGraphicFramePr>
            <a:graphic>
              <a:graphicData uri="http://schemas.openxmlformats.org/drawingml/2006/picture">
                <pic:pic>
                  <pic:nvPicPr>
                    <pic:cNvPr id="0" name="ablation_overlap.png"/>
                    <pic:cNvPicPr/>
                  </pic:nvPicPr>
                  <pic:blipFill>
                    <a:blip r:embed="rId12"/>
                    <a:stretch>
                      <a:fillRect/>
                    </a:stretch>
                  </pic:blipFill>
                  <pic:spPr>
                    <a:xfrm>
                      <a:off x="0" y="0"/>
                      <a:ext cx="5040000" cy="2352000"/>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注：重複は二〇社中の一致数。A8（Top100 限定）が最小 7。in-sample の構造検査であり性能主張ではない。出所：ablation_results.csv。</w:t>
      </w:r>
    </w:p>
    <w:p>
      <w:pPr>
        <w:keepNext/>
        <w:spacing w:before="120" w:after="40"/>
        <w:ind w:firstLine="0" w:firstLineChars="0"/>
      </w:pPr>
      <w:r>
        <w:rPr>
          <w:rFonts w:ascii="ＭＳ ゴシック" w:hAnsi="ＭＳ ゴシック" w:eastAsia="ＭＳ ゴシック"/>
          <w:b/>
          <w:color w:val="000000"/>
          <w:sz w:val="18"/>
        </w:rPr>
        <w:t>図表 Ⅳ-2　ドローダウン（三年・in-sample）</w:t>
      </w:r>
    </w:p>
    <w:p>
      <w:pPr>
        <w:jc w:val="center"/>
        <w:keepNext/>
        <w:ind w:firstLine="0" w:firstLineChars="0"/>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drawdown_chart.png"/>
                    <pic:cNvPicPr/>
                  </pic:nvPicPr>
                  <pic:blipFill>
                    <a:blip r:embed="rId13"/>
                    <a:stretch>
                      <a:fillRect/>
                    </a:stretch>
                  </pic:blipFill>
                  <pic:spPr>
                    <a:xfrm>
                      <a:off x="0" y="0"/>
                      <a:ext cx="5040000" cy="3780000"/>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注：リスク特性の確認であり性能主張ではない。1306.T は分割補正済み。出所：phase5_validation_summary.json。</w:t>
      </w:r>
    </w:p>
    <w:p>
      <w:pPr>
        <w:pStyle w:val="Heading2"/>
      </w:pPr>
      <w:r>
        <w:rPr>
          <w:rFonts w:ascii="ＭＳ ゴシック" w:hAnsi="ＭＳ ゴシック" w:eastAsia="ＭＳ ゴシック"/>
          <w:b/>
          <w:color w:val="000000"/>
          <w:sz w:val="22"/>
        </w:rPr>
        <w:t>4．主要なリスクと限界</w:t>
      </w:r>
    </w:p>
    <w:p>
      <w:pPr/>
      <w:r>
        <w:rPr>
          <w:rFonts w:ascii="Times New Roman" w:hAnsi="Times New Roman" w:eastAsia="ＭＳ 明朝"/>
          <w:b w:val="0"/>
          <w:sz w:val="18"/>
        </w:rPr>
        <w:t>本研究の主要なリスクと限界を整理する。第一に将来 Moat への偏重（寄与が Emerging Core に集中）。第二に AI テーマ過熱（テーマ HHI 0.402）。第三に Transformation のバリュートラップ。第四に開示不足による過小・過大評価（Emerging の Level 2 以上は 14 社の個別精査に依存）。第五に流動性・小型株リスク。第六に業種集中。第七に単元株調整による配分歪み（L=100 で九社購入不可，単元未満株が前提）。第八に標本内評価の限界（直近一年 Information Ratio が負）。第九に独自合成式の恣意性（±二〇%感度で反論）。低 PBR 企業を除外するとボラティリティが悪化したことから，Value 銘柄がリスク緩衝として働いた可能性も観察された。これらはいずれも本文に明記し，過大な主張を避けた。</w:t>
      </w:r>
    </w:p>
    <w:p>
      <w:pPr>
        <w:pStyle w:val="Heading1"/>
      </w:pPr>
      <w:r>
        <w:rPr>
          <w:rFonts w:ascii="ＭＳ ゴシック" w:hAnsi="ＭＳ ゴシック" w:eastAsia="ＭＳ ゴシック"/>
          <w:b/>
          <w:color w:val="000000"/>
          <w:sz w:val="24"/>
        </w:rPr>
        <w:t>Ⅴ．一次情報と学び</w:t>
      </w:r>
    </w:p>
    <w:p>
      <w:pPr>
        <w:pStyle w:val="Heading2"/>
      </w:pPr>
      <w:r>
        <w:rPr>
          <w:rFonts w:ascii="ＭＳ ゴシック" w:hAnsi="ＭＳ ゴシック" w:eastAsia="ＭＳ ゴシック"/>
          <w:b/>
          <w:color w:val="000000"/>
          <w:sz w:val="22"/>
        </w:rPr>
        <w:t>1．企業・専門家インタビュー（記入欄）</w:t>
      </w:r>
    </w:p>
    <w:p>
      <w:pPr/>
      <w:r>
        <w:rPr>
          <w:rFonts w:ascii="Times New Roman" w:hAnsi="Times New Roman" w:eastAsia="ＭＳ 明朝"/>
          <w:b w:val="0"/>
          <w:sz w:val="18"/>
        </w:rPr>
        <w:t>本研究の選定が実態を反映しているかを確かめるため，投資対象企業へのインタビュー・アンケートを予定する。以下は記入欄である。未実施の回答を捏造せず，実施後に提出者が記入する。実施に至らない場合は「今後の課題」として扱う（人間確認事項）。</w:t>
      </w:r>
    </w:p>
    <w:p>
      <w:pPr>
        <w:spacing w:after="20"/>
        <w:ind w:firstLine="0" w:firstLineChars="0"/>
      </w:pPr>
      <w:r>
        <w:rPr>
          <w:rFonts w:ascii="Times New Roman" w:hAnsi="Times New Roman" w:eastAsia="ＭＳ 明朝"/>
          <w:b w:val="0"/>
          <w:sz w:val="18"/>
        </w:rPr>
        <w:t>・対象者（企業名・部署・役職）：［記入］</w:t>
      </w:r>
    </w:p>
    <w:p>
      <w:pPr>
        <w:spacing w:after="20"/>
        <w:ind w:firstLine="0" w:firstLineChars="0"/>
      </w:pPr>
      <w:r>
        <w:rPr>
          <w:rFonts w:ascii="Times New Roman" w:hAnsi="Times New Roman" w:eastAsia="ＭＳ 明朝"/>
          <w:b w:val="0"/>
          <w:sz w:val="18"/>
        </w:rPr>
        <w:t>・実施日・実施方法：［記入］</w:t>
      </w:r>
    </w:p>
    <w:p>
      <w:pPr>
        <w:spacing w:after="20"/>
        <w:ind w:firstLine="0" w:firstLineChars="0"/>
      </w:pPr>
      <w:r>
        <w:rPr>
          <w:rFonts w:ascii="Times New Roman" w:hAnsi="Times New Roman" w:eastAsia="ＭＳ 明朝"/>
          <w:b w:val="0"/>
          <w:sz w:val="18"/>
        </w:rPr>
        <w:t>・質問①〜③：［記入］</w:t>
      </w:r>
    </w:p>
    <w:p>
      <w:pPr>
        <w:spacing w:after="20"/>
        <w:ind w:firstLine="0" w:firstLineChars="0"/>
      </w:pPr>
      <w:r>
        <w:rPr>
          <w:rFonts w:ascii="Times New Roman" w:hAnsi="Times New Roman" w:eastAsia="ＭＳ 明朝"/>
          <w:b w:val="0"/>
          <w:sz w:val="18"/>
        </w:rPr>
        <w:t>・回答①〜③：［記入］</w:t>
      </w:r>
    </w:p>
    <w:p>
      <w:pPr>
        <w:spacing w:after="20"/>
        <w:ind w:firstLine="0" w:firstLineChars="0"/>
      </w:pPr>
      <w:r>
        <w:rPr>
          <w:rFonts w:ascii="Times New Roman" w:hAnsi="Times New Roman" w:eastAsia="ＭＳ 明朝"/>
          <w:b w:val="0"/>
          <w:sz w:val="18"/>
        </w:rPr>
        <w:t>・分析への反映：［記入］</w:t>
      </w:r>
    </w:p>
    <w:p>
      <w:pPr>
        <w:spacing w:after="120"/>
        <w:ind w:firstLine="0" w:firstLineChars="0"/>
      </w:pPr>
      <w:r>
        <w:rPr>
          <w:rFonts w:ascii="Times New Roman" w:hAnsi="Times New Roman" w:eastAsia="ＭＳ 明朝"/>
          <w:b w:val="0"/>
          <w:sz w:val="16"/>
        </w:rPr>
        <w:t>（対象 2〜4 社を目安に記入。未実施の場合は本節を「今後の課題」に移す。捏造しない。）</w:t>
      </w:r>
    </w:p>
    <w:p>
      <w:pPr>
        <w:pStyle w:val="Heading2"/>
      </w:pPr>
      <w:r>
        <w:rPr>
          <w:rFonts w:ascii="ＭＳ ゴシック" w:hAnsi="ＭＳ ゴシック" w:eastAsia="ＭＳ ゴシック"/>
          <w:b/>
          <w:color w:val="000000"/>
          <w:sz w:val="22"/>
        </w:rPr>
        <w:t>2．研究を通じた学びと振り返り（記入欄）</w:t>
      </w:r>
    </w:p>
    <w:p>
      <w:pPr/>
      <w:r>
        <w:rPr>
          <w:rFonts w:ascii="Times New Roman" w:hAnsi="Times New Roman" w:eastAsia="ＭＳ 明朝"/>
          <w:b w:val="0"/>
          <w:sz w:val="18"/>
        </w:rPr>
        <w:t>研究過程の記録に基づく下書きは可能だが，最終的には提出者の実体験として記入・確認する。以下は記入欄である（捏造しない）。</w:t>
      </w:r>
    </w:p>
    <w:p>
      <w:pPr>
        <w:spacing w:after="20"/>
        <w:ind w:firstLine="0" w:firstLineChars="0"/>
      </w:pPr>
      <w:r>
        <w:rPr>
          <w:rFonts w:ascii="Times New Roman" w:hAnsi="Times New Roman" w:eastAsia="ＭＳ 明朝"/>
          <w:b w:val="0"/>
          <w:sz w:val="18"/>
        </w:rPr>
        <w:t>・仮説が変化した点：［記入］</w:t>
      </w:r>
    </w:p>
    <w:p>
      <w:pPr>
        <w:spacing w:after="20"/>
        <w:ind w:firstLine="0" w:firstLineChars="0"/>
      </w:pPr>
      <w:r>
        <w:rPr>
          <w:rFonts w:ascii="Times New Roman" w:hAnsi="Times New Roman" w:eastAsia="ＭＳ 明朝"/>
          <w:b w:val="0"/>
          <w:sz w:val="18"/>
        </w:rPr>
        <w:t>・分析で失敗した点・工夫した点：［記入］</w:t>
      </w:r>
    </w:p>
    <w:p>
      <w:pPr>
        <w:spacing w:after="20"/>
        <w:ind w:firstLine="0" w:firstLineChars="0"/>
      </w:pPr>
      <w:r>
        <w:rPr>
          <w:rFonts w:ascii="Times New Roman" w:hAnsi="Times New Roman" w:eastAsia="ＭＳ 明朝"/>
          <w:b w:val="0"/>
          <w:sz w:val="18"/>
        </w:rPr>
        <w:t>・チームで学んだ点：［記入］</w:t>
      </w:r>
    </w:p>
    <w:p>
      <w:pPr>
        <w:spacing w:after="20"/>
        <w:ind w:firstLine="0" w:firstLineChars="0"/>
      </w:pPr>
      <w:r>
        <w:rPr>
          <w:rFonts w:ascii="Times New Roman" w:hAnsi="Times New Roman" w:eastAsia="ＭＳ 明朝"/>
          <w:b w:val="0"/>
          <w:sz w:val="18"/>
        </w:rPr>
        <w:t>・今後の課題：［記入］</w:t>
      </w:r>
    </w:p>
    <w:p>
      <w:pPr>
        <w:spacing w:after="120"/>
        <w:ind w:firstLine="0" w:firstLineChars="0"/>
      </w:pPr>
      <w:r>
        <w:rPr>
          <w:rFonts w:ascii="Times New Roman" w:hAnsi="Times New Roman" w:eastAsia="ＭＳ 明朝"/>
          <w:b w:val="0"/>
          <w:sz w:val="16"/>
        </w:rPr>
        <w:t>（研究過程の記録から下書き可。最終的には提出者の実体験として記入・確認する。）</w:t>
      </w:r>
    </w:p>
    <w:p>
      <w:pPr>
        <w:pStyle w:val="Heading1"/>
        <w:ind w:firstLine="0" w:firstLineChars="0"/>
      </w:pPr>
      <w:r>
        <w:rPr>
          <w:rFonts w:ascii="ＭＳ ゴシック" w:hAnsi="ＭＳ ゴシック" w:eastAsia="ＭＳ ゴシック"/>
          <w:b/>
          <w:color w:val="000000"/>
          <w:sz w:val="24"/>
        </w:rPr>
        <w:t>注</w:t>
      </w:r>
    </w:p>
    <w:p>
      <w:pPr/>
      <w:r>
        <w:rPr>
          <w:rFonts w:ascii="Times New Roman" w:hAnsi="Times New Roman" w:eastAsia="ＭＳ 明朝"/>
          <w:b w:val="0"/>
          <w:sz w:val="18"/>
        </w:rPr>
        <w:t>1) ベンチマークの TOPIX プロキシ（1306.T）には，原系列に未調整の一対一〇株式分割（2026-03-30）が含まれ，同日に約 −90% の不連続が生じる。本研究では同日以降の価格を一〇倍して連続化した。ポートフォリオ構成銘柄には分割様の不連続はなく，塩水港精糖（2112）の 2024-01-25 の +32.9% は実際の値動きとして保持した。</w:t>
      </w:r>
    </w:p>
    <w:p>
      <w:pPr/>
      <w:r>
        <w:rPr>
          <w:rFonts w:ascii="Times New Roman" w:hAnsi="Times New Roman" w:eastAsia="ＭＳ 明朝"/>
          <w:b w:val="0"/>
          <w:sz w:val="18"/>
        </w:rPr>
        <w:t>2) 本研究の株数は基準ケースで単元未満株（L=1）を前提とする。実単元（L=100）では株価の高い九社が予算・上限制約により購入できず，予算消化率が 46.7% に低下する。実運用では単元未満株の利用を前提とし，その可否は課題規約で確認を要する。</w:t>
      </w:r>
    </w:p>
    <w:p>
      <w:pPr/>
      <w:r>
        <w:rPr>
          <w:rFonts w:ascii="Times New Roman" w:hAnsi="Times New Roman" w:eastAsia="ＭＳ 明朝"/>
          <w:b w:val="0"/>
          <w:sz w:val="18"/>
        </w:rPr>
        <w:t>3) すべての財務・価格数値は 2026 年 6 月時点で入手可能なデータに基づく。したがって履歴シミュレーションは標本内であり，本研究は将来リターンの予測力を主張しない。</w:t>
      </w:r>
    </w:p>
    <w:p>
      <w:pPr>
        <w:pStyle w:val="Heading1"/>
        <w:ind w:firstLine="0" w:firstLineChars="0"/>
      </w:pPr>
      <w:r>
        <w:rPr>
          <w:rFonts w:ascii="ＭＳ ゴシック" w:hAnsi="ＭＳ ゴシック" w:eastAsia="ＭＳ ゴシック"/>
          <w:b/>
          <w:color w:val="000000"/>
          <w:sz w:val="24"/>
        </w:rPr>
        <w:t>参考文献</w:t>
      </w:r>
    </w:p>
    <w:p>
      <w:pPr>
        <w:ind w:firstLine="0" w:firstLineChars="0"/>
      </w:pPr>
      <w:r>
        <w:rPr>
          <w:rFonts w:ascii="ＭＳ ゴシック" w:hAnsi="ＭＳ ゴシック" w:eastAsia="ＭＳ ゴシック"/>
          <w:b/>
          <w:color w:val="000000"/>
          <w:sz w:val="18"/>
        </w:rPr>
        <w:t>英語文献</w:t>
      </w:r>
    </w:p>
    <w:p>
      <w:pPr>
        <w:spacing w:after="20"/>
        <w:ind w:left="360" w:hanging="360"/>
      </w:pPr>
      <w:r>
        <w:rPr>
          <w:rFonts w:ascii="Times New Roman" w:hAnsi="Times New Roman" w:eastAsia="ＭＳ 明朝"/>
          <w:b w:val="0"/>
          <w:sz w:val="16"/>
        </w:rPr>
        <w:t>Akiba, T., Sano, S., Yanase, T., Ohta, T., &amp; Koyama, M. (2019) Optuna: A Next-generation Hyperparameter Optimization Framework. In Proceedings of the 25th ACM SIGKDD International Conference on Knowledge Discovery &amp; Data Mining, pp.2623-2631.</w:t>
      </w:r>
    </w:p>
    <w:p>
      <w:pPr>
        <w:spacing w:after="20"/>
        <w:ind w:left="360" w:hanging="360"/>
      </w:pPr>
      <w:r>
        <w:rPr>
          <w:rFonts w:ascii="Times New Roman" w:hAnsi="Times New Roman" w:eastAsia="ＭＳ 明朝"/>
          <w:b w:val="0"/>
          <w:sz w:val="16"/>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sz w:val="16"/>
        </w:rPr>
        <w:t>Asness, C. S., Frazzini, A., &amp; Pedersen, L. H. (2019) Quality Minus Junk. Review of Accounting Studies, 24, pp.34-112.</w:t>
      </w:r>
    </w:p>
    <w:p>
      <w:pPr>
        <w:spacing w:after="20"/>
        <w:ind w:left="360" w:hanging="360"/>
      </w:pPr>
      <w:r>
        <w:rPr>
          <w:rFonts w:ascii="Times New Roman" w:hAnsi="Times New Roman" w:eastAsia="ＭＳ 明朝"/>
          <w:b w:val="0"/>
          <w:sz w:val="16"/>
        </w:rPr>
        <w:t>Bailey, D. H., Borwein, J., de Prado, M. L.,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sz w:val="16"/>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sz w:val="16"/>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sz w:val="16"/>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sz w:val="16"/>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sz w:val="16"/>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sz w:val="16"/>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sz w:val="16"/>
        </w:rPr>
        <w:t>Fama, E. F., &amp; French, K. R. (2015) A Five-Factor Asset Pricing Model. Journal of Financial Economics, 116(1), pp.1-22.</w:t>
      </w:r>
    </w:p>
    <w:p>
      <w:pPr>
        <w:spacing w:after="20"/>
        <w:ind w:left="360" w:hanging="360"/>
      </w:pPr>
      <w:r>
        <w:rPr>
          <w:rFonts w:ascii="Times New Roman" w:hAnsi="Times New Roman" w:eastAsia="ＭＳ 明朝"/>
          <w:b w:val="0"/>
          <w:sz w:val="16"/>
        </w:rPr>
        <w:t>Frazzini, A., Kabiller, D., &amp; Pedersen, L. H. (2018) Buffett's Alpha. Financial Analysts Journal, 74(4), pp.35-55.</w:t>
      </w:r>
    </w:p>
    <w:p>
      <w:pPr>
        <w:spacing w:after="20"/>
        <w:ind w:left="360" w:hanging="360"/>
      </w:pPr>
      <w:r>
        <w:rPr>
          <w:rFonts w:ascii="Times New Roman" w:hAnsi="Times New Roman" w:eastAsia="ＭＳ 明朝"/>
          <w:b w:val="0"/>
          <w:sz w:val="16"/>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sz w:val="16"/>
        </w:rPr>
        <w:t>Jensen, M. C. (1968) The Performance of Mutual Funds in the Period 1945-1964. The Journal of Finance, 23(2), pp.389-416.</w:t>
      </w:r>
    </w:p>
    <w:p>
      <w:pPr>
        <w:spacing w:after="20"/>
        <w:ind w:left="360" w:hanging="360"/>
      </w:pPr>
      <w:r>
        <w:rPr>
          <w:rFonts w:ascii="Times New Roman" w:hAnsi="Times New Roman" w:eastAsia="ＭＳ 明朝"/>
          <w:b w:val="0"/>
          <w:sz w:val="16"/>
        </w:rPr>
        <w:t>Lev, B., &amp; Gu, F. (2016) The End of Accounting and the Path Forward for Investors and Managers, John Wiley &amp; Sons.</w:t>
      </w:r>
    </w:p>
    <w:p>
      <w:pPr>
        <w:spacing w:after="20"/>
        <w:ind w:left="360" w:hanging="360"/>
      </w:pPr>
      <w:r>
        <w:rPr>
          <w:rFonts w:ascii="Times New Roman" w:hAnsi="Times New Roman" w:eastAsia="ＭＳ 明朝"/>
          <w:b w:val="0"/>
          <w:sz w:val="16"/>
        </w:rPr>
        <w:t>López de Prado, M. (2018) Advances in Financial Machine Learning, John Wiley &amp; Sons.</w:t>
      </w:r>
    </w:p>
    <w:p>
      <w:pPr>
        <w:spacing w:after="20"/>
        <w:ind w:left="360" w:hanging="360"/>
      </w:pPr>
      <w:r>
        <w:rPr>
          <w:rFonts w:ascii="Times New Roman" w:hAnsi="Times New Roman" w:eastAsia="ＭＳ 明朝"/>
          <w:b w:val="0"/>
          <w:sz w:val="16"/>
        </w:rPr>
        <w:t>Markowitz, H. (1952) Portfolio Selection. The Journal of Finance, 7(1), pp.77-91.</w:t>
      </w:r>
    </w:p>
    <w:p>
      <w:pPr>
        <w:spacing w:after="20"/>
        <w:ind w:left="360" w:hanging="360"/>
      </w:pPr>
      <w:r>
        <w:rPr>
          <w:rFonts w:ascii="Times New Roman" w:hAnsi="Times New Roman" w:eastAsia="ＭＳ 明朝"/>
          <w:b w:val="0"/>
          <w:sz w:val="16"/>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sz w:val="16"/>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sz w:val="16"/>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sz w:val="16"/>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sz w:val="16"/>
        </w:rPr>
        <w:t>Sharpe, W. F. (1966) Mutual Fund Performance. The Journal of Business, 39(1), pp.119-138.</w:t>
      </w:r>
    </w:p>
    <w:p>
      <w:pPr>
        <w:spacing w:after="20"/>
        <w:ind w:left="360" w:hanging="360"/>
      </w:pPr>
      <w:r>
        <w:rPr>
          <w:rFonts w:ascii="Times New Roman" w:hAnsi="Times New Roman" w:eastAsia="ＭＳ 明朝"/>
          <w:b w:val="0"/>
          <w:sz w:val="16"/>
        </w:rPr>
        <w:t>Sharpe, W. F. (1994) The Sharpe Ratio. The Journal of Portfolio Management, 21(1), pp.49-58.</w:t>
      </w:r>
    </w:p>
    <w:p>
      <w:pPr>
        <w:spacing w:after="20"/>
        <w:ind w:left="360" w:hanging="360"/>
      </w:pPr>
      <w:r>
        <w:rPr>
          <w:rFonts w:ascii="Times New Roman" w:hAnsi="Times New Roman" w:eastAsia="ＭＳ 明朝"/>
          <w:b w:val="0"/>
          <w:sz w:val="16"/>
        </w:rPr>
        <w:t>Sloan, R. G. (1996) Do Stock Prices Fully Reflect Information in Accruals and Cash Flows about Future Earnings? The Accounting Review, 71(3), pp.289-315.</w:t>
      </w:r>
    </w:p>
    <w:p>
      <w:pPr>
        <w:ind w:firstLine="0" w:firstLineChars="0"/>
      </w:pPr>
      <w:r>
        <w:rPr>
          <w:rFonts w:ascii="ＭＳ ゴシック" w:hAnsi="ＭＳ ゴシック" w:eastAsia="ＭＳ ゴシック"/>
          <w:b/>
          <w:color w:val="000000"/>
          <w:sz w:val="18"/>
        </w:rPr>
        <w:t>日本語文献</w:t>
      </w:r>
    </w:p>
    <w:p>
      <w:pPr>
        <w:spacing w:after="20"/>
        <w:ind w:left="360" w:hanging="360"/>
      </w:pPr>
      <w:r>
        <w:rPr>
          <w:rFonts w:ascii="Times New Roman" w:hAnsi="Times New Roman" w:eastAsia="ＭＳ 明朝"/>
          <w:b w:val="0"/>
          <w:sz w:val="16"/>
        </w:rPr>
        <w:t>経済産業省（2014）『持続的成長への競争力とインセンティブ ―企業と投資家の望ましい関係構築― プロジェクト最終報告書（伊藤レポート）』経済産業省．</w:t>
      </w:r>
    </w:p>
    <w:p>
      <w:pPr>
        <w:spacing w:after="20"/>
        <w:ind w:left="360" w:hanging="360"/>
      </w:pPr>
      <w:r>
        <w:rPr>
          <w:rFonts w:ascii="Times New Roman" w:hAnsi="Times New Roman" w:eastAsia="ＭＳ 明朝"/>
          <w:b w:val="0"/>
          <w:sz w:val="16"/>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sz w:val="16"/>
        </w:rPr>
        <w:t>金融庁「EDINET（金融商品取引法に基づく有価証券報告書等の開示書類に関する電子開示システム）」，https://disclosure2.edinet-fsa.go.jp/ （2026年7月8日）</w:t>
      </w:r>
    </w:p>
    <w:p>
      <w:pPr>
        <w:spacing w:after="20"/>
        <w:ind w:left="360" w:hanging="360"/>
      </w:pPr>
      <w:r>
        <w:rPr>
          <w:rFonts w:ascii="Times New Roman" w:hAnsi="Times New Roman" w:eastAsia="ＭＳ 明朝"/>
          <w:b w:val="0"/>
          <w:sz w:val="16"/>
        </w:rPr>
        <w:t>日本取引所グループ「上場会社情報」，https://www.jpx.co.jp/listing/co-search/ （2026年7月8日）</w:t>
      </w:r>
    </w:p>
    <w:sectPr w:rsidR="00FC693F" w:rsidRPr="0006063C" w:rsidSect="00034616">
      <w:pgSz w:w="11906" w:h="16838"/>
      <w:pgMar w:top="2296" w:right="1814" w:bottom="2296"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