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val="false"/>
          <w:bCs w:val="false"/>
          <w:color w:val="5B6373"/>
          <w:sz w:val="17"/>
          <w:szCs w:val="17"/>
        </w:rPr>
        <w:t xml:space="preserve">STOCKリーグ提出版</w:t>
      </w:r>
    </w:p>
    <w:p>
      <w:pPr>
        <w:spacing w:after="60"/>
      </w:pPr>
      <w:r>
        <w:rPr>
          <w:rFonts w:ascii="Yu Gothic" w:cs="Yu Gothic" w:eastAsia="Yu Gothic" w:hAnsi="Yu Gothic"/>
          <w:b/>
          <w:bCs/>
          <w:color w:val="1B1F27"/>
          <w:sz w:val="36"/>
          <w:szCs w:val="36"/>
        </w:rPr>
        <w:t xml:space="preserve">新スクリーニング 簡易レポート</w:t>
      </w:r>
    </w:p>
    <w:p>
      <w:pPr>
        <w:spacing w:after="140"/>
      </w:pPr>
      <w:r>
        <w:rPr>
          <w:rFonts w:ascii="Yu Gothic" w:cs="Yu Gothic" w:eastAsia="Yu Gothic" w:hAnsi="Yu Gothic"/>
          <w:b w:val="false"/>
          <w:bCs w:val="false"/>
          <w:color w:val="2F4B8F"/>
          <w:sz w:val="21"/>
          <w:szCs w:val="21"/>
        </w:rPr>
        <w:t xml:space="preserve">4軸（Moat／Change／Future／Price）等重み25%</w:t>
      </w:r>
    </w:p>
    <w:p>
      <w:pPr>
        <w:pBdr>
          <w:bottom w:val="single" w:color="C9CEDA" w:sz="6" w:space="8"/>
        </w:pBdr>
        <w:spacing w:after="300"/>
      </w:pPr>
      <w:r>
        <w:rPr>
          <w:rFonts w:ascii="Yu Gothic" w:cs="Yu Gothic" w:eastAsia="Yu Gothic" w:hAnsi="Yu Gothic"/>
          <w:b w:val="false"/>
          <w:bCs w:val="false"/>
          <w:color w:val="5B6373"/>
          <w:sz w:val="16"/>
          <w:szCs w:val="16"/>
        </w:rPr>
        <w:t xml:space="preserve">2026-08-17　／　株価・時価総額 2026-08-17時点／財務 各社最新の有価証券報告書／流動性・業種 2026-06-01時点</w:t>
      </w: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1. 結論</w:t>
      </w:r>
    </w:p>
    <w:p>
      <w:pPr>
        <w:spacing w:after="120" w:before="0" w:line="300"/>
        <w:jc w:val="left"/>
      </w:pPr>
      <w:r>
        <w:rPr>
          <w:rFonts w:ascii="Yu Gothic" w:cs="Yu Gothic" w:eastAsia="Yu Gothic" w:hAnsi="Yu Gothic"/>
          <w:b w:val="false"/>
          <w:bCs w:val="false"/>
          <w:color w:val="1B1F27"/>
          <w:sz w:val="18"/>
          <w:szCs w:val="18"/>
        </w:rPr>
        <w:t xml:space="preserve">全上場3,649社から投資可能な1,931社を母集団とし、4つの軸（Moat・Change・Future・Price）を各0〜100点の順位点にして25%ずつ合計、同一業種2社までの制約をかけて20社を選んだ。11業種に分散している。</w:t>
      </w:r>
    </w:p>
    <w:p>
      <w:pPr>
        <w:spacing w:after="120" w:before="0" w:line="300"/>
        <w:jc w:val="left"/>
      </w:pPr>
      <w:r>
        <w:rPr>
          <w:rFonts w:ascii="Yu Gothic" w:cs="Yu Gothic" w:eastAsia="Yu Gothic" w:hAnsi="Yu Gothic"/>
          <w:b w:val="false"/>
          <w:bCs w:val="false"/>
          <w:color w:val="1B1F27"/>
          <w:sz w:val="18"/>
          <w:szCs w:val="18"/>
        </w:rPr>
        <w:t xml:space="preserve">選んだ20社はPER中央値8.3倍・PBR中央値0.79倍・時価総額中央値170.7億円で、ROE中央値は10.9%。投資枠500万円に対し4,988,650円を配分し、余剰現金は11,350円（0.23%）。</w:t>
      </w:r>
    </w:p>
    <w:p>
      <w:pPr>
        <w:spacing w:after="120" w:before="0" w:line="300"/>
        <w:jc w:val="left"/>
      </w:pPr>
      <w:r>
        <w:rPr>
          <w:rFonts w:ascii="Yu Gothic" w:cs="Yu Gothic" w:eastAsia="Yu Gothic" w:hAnsi="Yu Gothic"/>
          <w:b w:val="false"/>
          <w:bCs w:val="false"/>
          <w:color w:val="1B1F27"/>
          <w:sz w:val="18"/>
          <w:szCs w:val="18"/>
        </w:rPr>
        <w:t xml:space="preserve">現行版（守破離の重み30/25/30/15）の20社との重複は</w:t>
      </w:r>
      <w:r>
        <w:rPr>
          <w:rFonts w:ascii="Yu Gothic" w:cs="Yu Gothic" w:eastAsia="Yu Gothic" w:hAnsi="Yu Gothic"/>
          <w:b/>
          <w:bCs/>
          <w:color w:val="1B1F27"/>
          <w:sz w:val="18"/>
          <w:szCs w:val="18"/>
        </w:rPr>
        <w:t xml:space="preserve">1社</w:t>
      </w:r>
      <w:r>
        <w:rPr>
          <w:rFonts w:ascii="Yu Gothic" w:cs="Yu Gothic" w:eastAsia="Yu Gothic" w:hAnsi="Yu Gothic"/>
          <w:b w:val="false"/>
          <w:bCs w:val="false"/>
          <w:color w:val="1B1F27"/>
          <w:sz w:val="18"/>
          <w:szCs w:val="18"/>
        </w:rPr>
        <w:t xml:space="preserve">。この方式に変えることは、銘柄の入れ替えではなくポートフォリオの総入れ替えを意味する。</w:t>
      </w: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2. スクリーニングの手順</w:t>
      </w:r>
    </w:p>
    <w:p>
      <w:pPr>
        <w:pStyle w:val="Heading2"/>
        <w:spacing w:after="110" w:before="260"/>
      </w:pPr>
      <w:r>
        <w:rPr>
          <w:rFonts w:ascii="Yu Gothic" w:cs="Yu Gothic" w:eastAsia="Yu Gothic" w:hAnsi="Yu Gothic"/>
          <w:b/>
          <w:bCs/>
          <w:color w:val="1B1F27"/>
          <w:sz w:val="21"/>
          <w:szCs w:val="21"/>
        </w:rPr>
        <w:t xml:space="preserve">2-1. 母集団の絞り込み（Step 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5206"/>
      </w:tblGrid>
      <w:tr>
        <w:trPr>
          <w:tblHeader/>
        </w:trPr>
        <w:tc>
          <w:tcPr>
            <w:tcW w:type="dxa" w:w="37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段階</w:t>
            </w:r>
          </w:p>
        </w:tc>
        <w:tc>
          <w:tcPr>
            <w:tcW w:type="dxa" w:w="13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社数</w:t>
            </w:r>
          </w:p>
        </w:tc>
        <w:tc>
          <w:tcPr>
            <w:tcW w:type="dxa" w:w="520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内容</w:t>
            </w:r>
          </w:p>
        </w:tc>
      </w:tr>
      <w:tr>
        <w:tc>
          <w:tcPr>
            <w:tcW w:type="dxa" w:w="3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全上場企業</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3,649社</w:t>
            </w:r>
          </w:p>
        </w:tc>
        <w:tc>
          <w:tcPr>
            <w:tcW w:type="dxa" w:w="52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JPX上場全銘柄</w:t>
            </w:r>
          </w:p>
        </w:tc>
      </w:tr>
      <w:tr>
        <w:tc>
          <w:tcPr>
            <w:tcW w:type="dxa" w:w="3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条件1〜8 通過</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1,963社</w:t>
            </w:r>
          </w:p>
        </w:tc>
        <w:tc>
          <w:tcPr>
            <w:tcW w:type="dxa" w:w="52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流動性2,000万円/日・3期連続赤字なし・財務データ完備など</w:t>
            </w:r>
          </w:p>
        </w:tc>
      </w:tr>
      <w:tr>
        <w:tc>
          <w:tcPr>
            <w:tcW w:type="dxa" w:w="3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条件9（バリュエーション範囲）で除外</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−32社</w:t>
            </w:r>
          </w:p>
        </w:tc>
        <w:tc>
          <w:tcPr>
            <w:tcW w:type="dxa" w:w="52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PER 0以下/120超、PBR 0以下/20超。今回から全社に適用</w:t>
            </w:r>
          </w:p>
        </w:tc>
      </w:tr>
      <w:tr>
        <w:tc>
          <w:tcPr>
            <w:tcW w:type="dxa" w:w="3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Step 0 通過（母集団）</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1,931社</w:t>
            </w:r>
          </w:p>
        </w:tc>
        <w:tc>
          <w:tcPr>
            <w:tcW w:type="dxa" w:w="52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4軸で採点する対象</w:t>
            </w:r>
          </w:p>
        </w:tc>
      </w:tr>
      <w:tr>
        <w:tc>
          <w:tcPr>
            <w:tcW w:type="dxa" w:w="3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1単元が上限8%を超え購入不可</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−334社</w:t>
            </w:r>
          </w:p>
        </w:tc>
        <w:tc>
          <w:tcPr>
            <w:tcW w:type="dxa" w:w="52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1単元40万円超。投資枠500万円の制約で買えないため次点を繰り上げる</w:t>
            </w:r>
          </w:p>
        </w:tc>
      </w:tr>
      <w:tr>
        <w:tc>
          <w:tcPr>
            <w:tcW w:type="dxa" w:w="3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選抜対象プール</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1,597社</w:t>
            </w:r>
          </w:p>
        </w:tc>
        <w:tc>
          <w:tcPr>
            <w:tcW w:type="dxa" w:w="52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ここから総合点順に採る</w:t>
            </w:r>
          </w:p>
        </w:tc>
      </w:tr>
      <w:tr>
        <w:tc>
          <w:tcPr>
            <w:tcW w:type="dxa" w:w="3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Step 3 選抜</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20社</w:t>
            </w:r>
          </w:p>
        </w:tc>
        <w:tc>
          <w:tcPr>
            <w:tcW w:type="dxa" w:w="52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総合点の上位・同一業種は2社まで</w:t>
            </w:r>
          </w:p>
        </w:tc>
      </w:tr>
    </w:tbl>
    <w:p>
      <w:pPr>
        <w:spacing w:after="120" w:before="120" w:line="300"/>
        <w:jc w:val="left"/>
      </w:pPr>
      <w:r>
        <w:rPr>
          <w:rFonts w:ascii="Yu Gothic" w:cs="Yu Gothic" w:eastAsia="Yu Gothic" w:hAnsi="Yu Gothic"/>
          <w:b w:val="false"/>
          <w:bCs w:val="false"/>
          <w:color w:val="5B6373"/>
          <w:sz w:val="16"/>
          <w:szCs w:val="16"/>
        </w:rPr>
        <w:t xml:space="preserve">条件9（バリュエーション範囲の検査）は、これまで株価指標を取得できていた売買代金上位300社にしか適用されていなかった。今回から全社の時価総額を用意したため、全社に適用している。</w:t>
      </w:r>
    </w:p>
    <w:p>
      <w:pPr>
        <w:pStyle w:val="Heading2"/>
        <w:spacing w:after="110" w:before="260"/>
      </w:pPr>
      <w:r>
        <w:rPr>
          <w:rFonts w:ascii="Yu Gothic" w:cs="Yu Gothic" w:eastAsia="Yu Gothic" w:hAnsi="Yu Gothic"/>
          <w:b/>
          <w:bCs/>
          <w:color w:val="1B1F27"/>
          <w:sz w:val="21"/>
          <w:szCs w:val="21"/>
        </w:rPr>
        <w:t xml:space="preserve">2-2. 4つの評価軸（Step 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5106"/>
        <w:gridCol w:w="2500"/>
      </w:tblGrid>
      <w:tr>
        <w:trPr>
          <w:tblHeader/>
        </w:trPr>
        <w:tc>
          <w:tcPr>
            <w:tcW w:type="dxa" w:w="26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軸</w:t>
            </w:r>
          </w:p>
        </w:tc>
        <w:tc>
          <w:tcPr>
            <w:tcW w:type="dxa" w:w="510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使う指標</w:t>
            </w:r>
          </w:p>
        </w:tc>
        <w:tc>
          <w:tcPr>
            <w:tcW w:type="dxa" w:w="25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作り方</w:t>
            </w:r>
          </w:p>
        </w:tc>
      </w:tr>
      <w:tr>
        <w:tc>
          <w:tcPr>
            <w:tcW w:type="dxa" w:w="26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① Moat（いま強いか）</w:t>
            </w:r>
          </w:p>
        </w:tc>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売上総利益/総資産、営業利益率、ROA、営業CF率、自己資本比率</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5指標の順位点の平均</w:t>
            </w:r>
          </w:p>
        </w:tc>
      </w:tr>
      <w:tr>
        <w:tc>
          <w:tcPr>
            <w:tcW w:type="dxa" w:w="26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② Change（良くなっているか）</w:t>
            </w:r>
          </w:p>
        </w:tc>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Piotroski Fスコア、ΔROA、Δ売上総利益率、Δ総資産回転率、増収率、営業増益率</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6指標の順位点の平均。株価倍率は含めない</w:t>
            </w:r>
          </w:p>
        </w:tc>
      </w:tr>
      <w:tr>
        <w:tc>
          <w:tcPr>
            <w:tcW w:type="dxa" w:w="26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③ Future（構造変化の恩恵）</w:t>
            </w:r>
          </w:p>
        </w:tc>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EDINET本文のキーワード照合（AI基盤0.30／無形資産0.25／省人化0.20／データ0.15／信頼0.10）</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合成値の順位点</w:t>
            </w:r>
          </w:p>
        </w:tc>
      </w:tr>
      <w:tr>
        <w:tc>
          <w:tcPr>
            <w:tcW w:type="dxa" w:w="26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④ Price（高すぎないか）</w:t>
            </w:r>
          </w:p>
        </w:tc>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益回り（純利益/時価総額）、自己資本/時価総額</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2指標の順位点の平均</w:t>
            </w:r>
          </w:p>
        </w:tc>
      </w:tr>
    </w:tbl>
    <w:p>
      <w:pPr>
        <w:spacing w:after="120" w:before="120" w:line="300"/>
        <w:jc w:val="left"/>
      </w:pPr>
      <w:r>
        <w:rPr>
          <w:rFonts w:ascii="Yu Gothic" w:cs="Yu Gothic" w:eastAsia="Yu Gothic" w:hAnsi="Yu Gothic"/>
          <w:b w:val="false"/>
          <w:bCs w:val="false"/>
          <w:color w:val="5B6373"/>
          <w:sz w:val="16"/>
          <w:szCs w:val="16"/>
        </w:rPr>
        <w:t xml:space="preserve">各指標は母集団内の順位を0〜100点に直して平均する。欠測はゼロで埋めず、平均から外す（ゼロ埋めは「平均並み」を意味してしまうため）。</w:t>
      </w:r>
    </w:p>
    <w:p>
      <w:pPr>
        <w:pStyle w:val="Heading2"/>
        <w:spacing w:after="110" w:before="260"/>
      </w:pPr>
      <w:r>
        <w:rPr>
          <w:rFonts w:ascii="Yu Gothic" w:cs="Yu Gothic" w:eastAsia="Yu Gothic" w:hAnsi="Yu Gothic"/>
          <w:b/>
          <w:bCs/>
          <w:color w:val="1B1F27"/>
          <w:sz w:val="21"/>
          <w:szCs w:val="21"/>
        </w:rPr>
        <w:t xml:space="preserve">2-3. 合成（Step 2）</w:t>
      </w:r>
    </w:p>
    <w:p>
      <w:pPr>
        <w:spacing w:after="120" w:before="0" w:line="300"/>
        <w:jc w:val="left"/>
      </w:pPr>
      <w:r>
        <w:rPr>
          <w:rFonts w:ascii="Yu Gothic" w:cs="Yu Gothic" w:eastAsia="Yu Gothic" w:hAnsi="Yu Gothic"/>
          <w:b w:val="false"/>
          <w:bCs w:val="false"/>
          <w:color w:val="1B1F27"/>
          <w:sz w:val="18"/>
          <w:szCs w:val="18"/>
        </w:rPr>
        <w:t xml:space="preserve">総合点 ＝ 0.25×Moat ＋ 0.25×Change ＋ 0.25×Future ＋ 0.25×Price</w:t>
      </w:r>
    </w:p>
    <w:p>
      <w:pPr>
        <w:spacing w:after="120" w:before="0" w:line="300"/>
        <w:jc w:val="left"/>
      </w:pPr>
      <w:r>
        <w:rPr>
          <w:rFonts w:ascii="Yu Gothic" w:cs="Yu Gothic" w:eastAsia="Yu Gothic" w:hAnsi="Yu Gothic"/>
          <w:b w:val="false"/>
          <w:bCs w:val="false"/>
          <w:color w:val="1B1F27"/>
          <w:sz w:val="18"/>
          <w:szCs w:val="18"/>
        </w:rPr>
        <w:t xml:space="preserve">ただし名目の25%は、実際に総合点を動かす割合とは一致しない。各軸が合成点の分散にどれだけ寄与しているかを測ると次のとおり。</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6"/>
        <w:gridCol w:w="1900"/>
        <w:gridCol w:w="1900"/>
        <w:gridCol w:w="1900"/>
        <w:gridCol w:w="1900"/>
      </w:tblGrid>
      <w:tr>
        <w:trPr>
          <w:tblHeader/>
        </w:trPr>
        <w:tc>
          <w:tcPr>
            <w:tcW w:type="dxa" w:w="260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
            </w:r>
          </w:p>
        </w:tc>
        <w:tc>
          <w:tcPr>
            <w:tcW w:type="dxa" w:w="19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Moat</w:t>
            </w:r>
          </w:p>
        </w:tc>
        <w:tc>
          <w:tcPr>
            <w:tcW w:type="dxa" w:w="19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Change</w:t>
            </w:r>
          </w:p>
        </w:tc>
        <w:tc>
          <w:tcPr>
            <w:tcW w:type="dxa" w:w="19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Future</w:t>
            </w:r>
          </w:p>
        </w:tc>
        <w:tc>
          <w:tcPr>
            <w:tcW w:type="dxa" w:w="19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Price</w:t>
            </w:r>
          </w:p>
        </w:tc>
      </w:tr>
      <w:tr>
        <w:tc>
          <w:tcPr>
            <w:tcW w:type="dxa" w:w="26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名目</w:t>
            </w:r>
          </w:p>
        </w:tc>
        <w:tc>
          <w:tcPr>
            <w:tcW w:type="dxa" w:w="19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25.0%</w:t>
            </w:r>
          </w:p>
        </w:tc>
        <w:tc>
          <w:tcPr>
            <w:tcW w:type="dxa" w:w="19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25.0%</w:t>
            </w:r>
          </w:p>
        </w:tc>
      </w:tr>
      <w:tr>
        <w:tc>
          <w:tcPr>
            <w:tcW w:type="dxa" w:w="26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実効（分散寄与）</w:t>
            </w:r>
          </w:p>
        </w:tc>
        <w:tc>
          <w:tcPr>
            <w:tcW w:type="dxa" w:w="19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24.0%</w:t>
            </w:r>
          </w:p>
        </w:tc>
        <w:tc>
          <w:tcPr>
            <w:tcW w:type="dxa" w:w="19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21.7%</w:t>
            </w:r>
          </w:p>
        </w:tc>
        <w:tc>
          <w:tcPr>
            <w:tcW w:type="dxa" w:w="19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38.7%</w:t>
            </w:r>
          </w:p>
        </w:tc>
        <w:tc>
          <w:tcPr>
            <w:tcW w:type="dxa" w:w="19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15.6%</w:t>
            </w:r>
          </w:p>
        </w:tc>
      </w:tr>
    </w:tbl>
    <w:p>
      <w:pPr>
        <w:spacing w:after="120" w:before="120" w:line="300"/>
        <w:jc w:val="left"/>
      </w:pPr>
      <w:r>
        <w:rPr>
          <w:rFonts w:ascii="Yu Gothic" w:cs="Yu Gothic" w:eastAsia="Yu Gothic" w:hAnsi="Yu Gothic"/>
          <w:b w:val="false"/>
          <w:bCs w:val="false"/>
          <w:color w:val="5B6373"/>
          <w:sz w:val="16"/>
          <w:szCs w:val="16"/>
        </w:rPr>
        <w:t xml:space="preserve">Priceが下がるのは、割安な会社ほど収益性が低い傾向があり、足し合わせの中で打ち消されるため。「等しく配点する」ことと「等しく効く」ことは別である。</w:t>
      </w:r>
    </w:p>
    <w:p>
      <w:pPr>
        <w:pStyle w:val="Heading2"/>
        <w:spacing w:after="110" w:before="260"/>
      </w:pPr>
      <w:r>
        <w:rPr>
          <w:rFonts w:ascii="Yu Gothic" w:cs="Yu Gothic" w:eastAsia="Yu Gothic" w:hAnsi="Yu Gothic"/>
          <w:b/>
          <w:bCs/>
          <w:color w:val="1B1F27"/>
          <w:sz w:val="21"/>
          <w:szCs w:val="21"/>
        </w:rPr>
        <w:t xml:space="preserve">2-4. 選抜と保有比率（Step 3・4）</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総合点の降順に、同一の33業種分類は最大2社までとして20社を採る。</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業種上限を外すと20社が5業種に偏る（機械8社・電気機器8社）。上限を入れると平均総合点は77.63点から74.2点へ下がるが、集中は解消される。</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保有比率は均等5%を目標とし、売買単位100株の制約の中で目標に最も近くなるよう単元数を決める。結果の比率は3.55%〜7.87%に収まった。</w:t>
      </w:r>
    </w:p>
    <w:p>
      <w:pPr>
        <w:pageBreakBefore/>
      </w:pP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3. 選定した20社</w:t>
      </w:r>
    </w:p>
    <w:p>
      <w:pPr>
        <w:spacing w:after="120" w:before="0" w:line="300"/>
        <w:jc w:val="left"/>
      </w:pPr>
      <w:r>
        <w:rPr>
          <w:rFonts w:ascii="Yu Gothic" w:cs="Yu Gothic" w:eastAsia="Yu Gothic" w:hAnsi="Yu Gothic"/>
          <w:b w:val="false"/>
          <w:bCs w:val="false"/>
          <w:color w:val="5B6373"/>
          <w:sz w:val="16"/>
          <w:szCs w:val="16"/>
        </w:rPr>
        <w:t xml:space="preserve">数値は各軸の0〜100点。総合点はその単純平均。</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60"/>
        <w:gridCol w:w="780"/>
        <w:gridCol w:w="2400"/>
        <w:gridCol w:w="1700"/>
        <w:gridCol w:w="1100"/>
        <w:gridCol w:w="780"/>
        <w:gridCol w:w="780"/>
        <w:gridCol w:w="780"/>
        <w:gridCol w:w="780"/>
        <w:gridCol w:w="546"/>
      </w:tblGrid>
      <w:tr>
        <w:trPr>
          <w:tblHeader/>
        </w:trPr>
        <w:tc>
          <w:tcPr>
            <w:tcW w:type="dxa" w:w="56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w:t>
            </w:r>
          </w:p>
        </w:tc>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コード</w:t>
            </w:r>
          </w:p>
        </w:tc>
        <w:tc>
          <w:tcPr>
            <w:tcW w:type="dxa" w:w="24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5"/>
                <w:szCs w:val="15"/>
              </w:rPr>
              <w:t xml:space="preserve">会社名</w:t>
            </w:r>
          </w:p>
        </w:tc>
        <w:tc>
          <w:tcPr>
            <w:tcW w:type="dxa" w:w="17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5"/>
                <w:szCs w:val="15"/>
              </w:rPr>
              <w:t xml:space="preserve">業種</w:t>
            </w:r>
          </w:p>
        </w:tc>
        <w:tc>
          <w:tcPr>
            <w:tcW w:type="dxa" w:w="11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5"/>
                <w:szCs w:val="15"/>
              </w:rPr>
              <w:t xml:space="preserve">市場</w:t>
            </w:r>
          </w:p>
        </w:tc>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Moat</w:t>
            </w:r>
          </w:p>
        </w:tc>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Chg</w:t>
            </w:r>
          </w:p>
        </w:tc>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Fut</w:t>
            </w:r>
          </w:p>
        </w:tc>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Price</w:t>
            </w:r>
          </w:p>
        </w:tc>
        <w:tc>
          <w:tcPr>
            <w:tcW w:type="dxa" w:w="54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総合</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7991</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マミヤ・オーピー</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機械</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74</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88</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98</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84.4</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6149</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小田原エンジニアリング</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機械</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60</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91</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88</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93</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82.9</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6626</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ＳＥＭＩＴＥＣ</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電気機器</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62</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84</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80.3</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7722</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国際計測器</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精密機器</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79.6</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6658</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シライ電子工業</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電気機器</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60</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65</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94</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78.5</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4112</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保土谷化学工業</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化学</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92</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77.1</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4994</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大成ラミックグループ</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化学</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58</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78</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87</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75.4</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3834</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朝日ネット</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情報・通信業</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74</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75.1</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3930</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はてな</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情報・通信業</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グロース</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84</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74.8</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5819</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カナレ電気</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非鉄金属</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85</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87</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72.5</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11</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7745</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Ａ＆Ｄホロンホールディングス</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精密機器</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70</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72</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52</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72.5</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9507</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四国電力</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電気・ガス業</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55</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88</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72.0</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13</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5729</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日本精鉱</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非鉄金属</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53</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84</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70</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71.4</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9247</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ＴＲＥホールディングス</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サービス業</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63</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54</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74</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71.0</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15</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8920</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東　祥</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サービス業</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54</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87</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54</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88</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70.8</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3089</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テクノアルファ</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卸売業</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スタンダード</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88</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90</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69.9</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7347</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マーキュリアホールディングス</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証券・商品先物取引業</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80</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86</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69.7</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18</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9513</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電源開発</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電気・ガス業</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51</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69.4</w:t>
            </w:r>
          </w:p>
        </w:tc>
      </w:tr>
      <w:tr>
        <w:tc>
          <w:tcPr>
            <w:tcW w:type="dxa" w:w="56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5947</w:t>
            </w:r>
          </w:p>
        </w:tc>
        <w:tc>
          <w:tcPr>
            <w:tcW w:type="dxa" w:w="24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リンナイ</w:t>
            </w:r>
          </w:p>
        </w:tc>
        <w:tc>
          <w:tcPr>
            <w:tcW w:type="dxa" w:w="17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金属製品</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67</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65</w:t>
            </w:r>
          </w:p>
        </w:tc>
        <w:tc>
          <w:tcPr>
            <w:tcW w:type="dxa" w:w="54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68.9</w:t>
            </w:r>
          </w:p>
        </w:tc>
      </w:tr>
      <w:tr>
        <w:tc>
          <w:tcPr>
            <w:tcW w:type="dxa" w:w="56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20</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5975</w:t>
            </w:r>
          </w:p>
        </w:tc>
        <w:tc>
          <w:tcPr>
            <w:tcW w:type="dxa" w:w="24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東プレ</w:t>
            </w:r>
          </w:p>
        </w:tc>
        <w:tc>
          <w:tcPr>
            <w:tcW w:type="dxa" w:w="17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金属製品</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プライム</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46</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62</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w:t>
            </w:r>
          </w:p>
        </w:tc>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84</w:t>
            </w:r>
          </w:p>
        </w:tc>
        <w:tc>
          <w:tcPr>
            <w:tcW w:type="dxa" w:w="54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67.7</w:t>
            </w:r>
          </w:p>
        </w:tc>
      </w:tr>
    </w:tbl>
    <w:p>
      <w:pPr>
        <w:pStyle w:val="Heading1"/>
        <w:pBdr>
          <w:bottom w:val="single" w:color="2F4B8F" w:sz="8" w:space="6"/>
        </w:pBdr>
        <w:spacing w:after="160" w:before="360"/>
      </w:pPr>
      <w:r>
        <w:rPr>
          <w:rFonts w:ascii="Yu Gothic" w:cs="Yu Gothic" w:eastAsia="Yu Gothic" w:hAnsi="Yu Gothic"/>
          <w:b/>
          <w:bCs/>
          <w:color w:val="2F4B8F"/>
          <w:sz w:val="26"/>
          <w:szCs w:val="26"/>
        </w:rPr>
        <w:t xml:space="preserve">4. ポートフォリオ構成</w:t>
      </w:r>
    </w:p>
    <w:p>
      <w:pPr>
        <w:spacing w:after="120" w:before="0" w:line="300"/>
        <w:jc w:val="left"/>
      </w:pPr>
      <w:r>
        <w:rPr>
          <w:rFonts w:ascii="Yu Gothic" w:cs="Yu Gothic" w:eastAsia="Yu Gothic" w:hAnsi="Yu Gothic"/>
          <w:b w:val="false"/>
          <w:bCs w:val="false"/>
          <w:color w:val="1B1F27"/>
          <w:sz w:val="18"/>
          <w:szCs w:val="18"/>
        </w:rPr>
        <w:t xml:space="preserve">投資枠500万円、売買単位100株、1銘柄あたりの上限8%。合計4,988,650円（99.77%）を配分し、残る現金は11,350円。</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0"/>
        <w:gridCol w:w="1000"/>
        <w:gridCol w:w="800"/>
        <w:gridCol w:w="800"/>
        <w:gridCol w:w="1100"/>
        <w:gridCol w:w="1000"/>
        <w:gridCol w:w="1300"/>
        <w:gridCol w:w="926"/>
      </w:tblGrid>
      <w:tr>
        <w:trPr>
          <w:tblHeader/>
        </w:trPr>
        <w:tc>
          <w:tcPr>
            <w:tcW w:type="dxa" w:w="78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コード</w:t>
            </w:r>
          </w:p>
        </w:tc>
        <w:tc>
          <w:tcPr>
            <w:tcW w:type="dxa" w:w="25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5"/>
                <w:szCs w:val="15"/>
              </w:rPr>
              <w:t xml:space="preserve">会社名</w:t>
            </w:r>
          </w:p>
        </w:tc>
        <w:tc>
          <w:tcPr>
            <w:tcW w:type="dxa" w:w="10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株価</w:t>
            </w:r>
          </w:p>
        </w:tc>
        <w:tc>
          <w:tcPr>
            <w:tcW w:type="dxa" w:w="8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PER</w:t>
            </w:r>
          </w:p>
        </w:tc>
        <w:tc>
          <w:tcPr>
            <w:tcW w:type="dxa" w:w="8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PBR</w:t>
            </w:r>
          </w:p>
        </w:tc>
        <w:tc>
          <w:tcPr>
            <w:tcW w:type="dxa" w:w="11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時価総額</w:t>
            </w:r>
          </w:p>
        </w:tc>
        <w:tc>
          <w:tcPr>
            <w:tcW w:type="dxa" w:w="10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株数</w:t>
            </w:r>
          </w:p>
        </w:tc>
        <w:tc>
          <w:tcPr>
            <w:tcW w:type="dxa" w:w="13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投資額</w:t>
            </w:r>
          </w:p>
        </w:tc>
        <w:tc>
          <w:tcPr>
            <w:tcW w:type="dxa" w:w="92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比率</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7991</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マミヤ・オーピー</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1,080</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2.4</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0.44</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112億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216,000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4.32%</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6149</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小田原エンジニアリング</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2,263</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5.6</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0.70</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129億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226,300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4.53%</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6626</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ＳＥＭＩＴＥＣ</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2,270</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7.0</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0.94</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218億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227,000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4.54%</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7722</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国際計測器</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796</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10.7</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0.92</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107億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238,800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4.78%</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6658</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シライ電子工業</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461</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3.3</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0.69</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69億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230,500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4.61%</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4112</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保土谷化学工業</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2,310</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8.0</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0.63</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368億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231,000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4.62%</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4994</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大成ラミックグループ</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2,755</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9.9</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0.66</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167億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275,500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5.51%</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3834</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朝日ネット</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620</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9.2</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1.14</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161億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248,000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4.96%</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3930</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はてな</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743</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9.6</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0.79</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222,900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4.46%</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5819</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カナレ電気</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1,774</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10.1</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0.64</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121億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177,400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3.55%</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7745</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Ａ＆Ｄホロンホールディングス</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2,950</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12.4</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1.89</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808億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295,000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5.90%</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9507</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四国電力</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1,808</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5.4</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0.84</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3,694億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180,750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3.62%</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5729</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日本精鉱</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1,776</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7.1</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1.46</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174億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177,600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3.55%</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9247</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ＴＲＥホールディングス</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2,013</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7.6</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1.26</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947億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201,300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4.03%</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8920</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東　祥</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720</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10.4</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0.60</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252億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216,000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4.32%</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3089</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テクノアルファ</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1,047</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4.5</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0.80</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18億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314,100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6.28%</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7347</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マーキュリアホールディングス</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791</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8.6</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0.80</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153億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237,300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4.75%</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9513</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電源開発</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3,933</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6.8</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0.47</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6,922億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393,300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7.87%</w:t>
            </w:r>
          </w:p>
        </w:tc>
      </w:tr>
      <w:tr>
        <w:tc>
          <w:tcPr>
            <w:tcW w:type="dxa" w:w="78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5947</w:t>
            </w:r>
          </w:p>
        </w:tc>
        <w:tc>
          <w:tcPr>
            <w:tcW w:type="dxa" w:w="25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リンナイ</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3,609</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13.4</w:t>
            </w:r>
          </w:p>
        </w:tc>
        <w:tc>
          <w:tcPr>
            <w:tcW w:type="dxa" w:w="8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1.08</w:t>
            </w:r>
          </w:p>
        </w:tc>
        <w:tc>
          <w:tcPr>
            <w:tcW w:type="dxa" w:w="1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4,983億</w:t>
            </w:r>
          </w:p>
        </w:tc>
        <w:tc>
          <w:tcPr>
            <w:tcW w:type="dxa" w:w="10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360,900</w:t>
            </w:r>
          </w:p>
        </w:tc>
        <w:tc>
          <w:tcPr>
            <w:tcW w:type="dxa" w:w="92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7.22%</w:t>
            </w:r>
          </w:p>
        </w:tc>
      </w:tr>
      <w:tr>
        <w:tc>
          <w:tcPr>
            <w:tcW w:type="dxa" w:w="78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5975</w:t>
            </w:r>
          </w:p>
        </w:tc>
        <w:tc>
          <w:tcPr>
            <w:tcW w:type="dxa" w:w="25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5"/>
                <w:szCs w:val="15"/>
              </w:rPr>
              <w:t xml:space="preserve">東プレ</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3,190</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10.8</w:t>
            </w:r>
          </w:p>
        </w:tc>
        <w:tc>
          <w:tcPr>
            <w:tcW w:type="dxa" w:w="8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0.69</w:t>
            </w:r>
          </w:p>
        </w:tc>
        <w:tc>
          <w:tcPr>
            <w:tcW w:type="dxa" w:w="1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1,543億</w:t>
            </w:r>
          </w:p>
        </w:tc>
        <w:tc>
          <w:tcPr>
            <w:tcW w:type="dxa" w:w="10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100</w:t>
            </w:r>
          </w:p>
        </w:tc>
        <w:tc>
          <w:tcPr>
            <w:tcW w:type="dxa" w:w="13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5"/>
                <w:szCs w:val="15"/>
              </w:rPr>
              <w:t xml:space="preserve">319,000</w:t>
            </w:r>
          </w:p>
        </w:tc>
        <w:tc>
          <w:tcPr>
            <w:tcW w:type="dxa" w:w="92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5"/>
                <w:szCs w:val="15"/>
              </w:rPr>
              <w:t xml:space="preserve">6.38%</w:t>
            </w:r>
          </w:p>
        </w:tc>
      </w:tr>
    </w:tbl>
    <w:p>
      <w:pPr>
        <w:spacing w:after="120" w:before="100" w:line="300"/>
        <w:jc w:val="left"/>
      </w:pPr>
      <w:r>
        <w:rPr>
          <w:rFonts w:ascii="Yu Gothic" w:cs="Yu Gothic" w:eastAsia="Yu Gothic" w:hAnsi="Yu Gothic"/>
          <w:b w:val="false"/>
          <w:bCs w:val="false"/>
          <w:color w:val="5B6373"/>
          <w:sz w:val="15"/>
          <w:szCs w:val="15"/>
        </w:rPr>
        <w:t xml:space="preserve">※ 株価・時価総額は2026-08-17時点の実勢値（発行済株式数×株価）。PER・PBRは各社最新の有価証券報告書の当期純利益・自己資本で算出。</w:t>
      </w: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5. 構成の特徴</w:t>
      </w:r>
    </w:p>
    <w:p>
      <w:pPr>
        <w:pStyle w:val="Heading2"/>
        <w:spacing w:after="110" w:before="260"/>
      </w:pPr>
      <w:r>
        <w:rPr>
          <w:rFonts w:ascii="Yu Gothic" w:cs="Yu Gothic" w:eastAsia="Yu Gothic" w:hAnsi="Yu Gothic"/>
          <w:b/>
          <w:bCs/>
          <w:color w:val="1B1F27"/>
          <w:sz w:val="21"/>
          <w:szCs w:val="21"/>
        </w:rPr>
        <w:t xml:space="preserve">5-1. 業種</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6"/>
        <w:gridCol w:w="5100"/>
      </w:tblGrid>
      <w:tr>
        <w:trPr>
          <w:tblHeader/>
        </w:trPr>
        <w:tc>
          <w:tcPr>
            <w:tcW w:type="dxa" w:w="5106"/>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業種</w:t>
            </w:r>
          </w:p>
        </w:tc>
        <w:tc>
          <w:tcPr>
            <w:tcW w:type="dxa" w:w="510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社数</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機械</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電気機器</w:t>
            </w:r>
          </w:p>
        </w:tc>
        <w:tc>
          <w:tcPr>
            <w:tcW w:type="dxa" w:w="5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精密機器</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化学</w:t>
            </w:r>
          </w:p>
        </w:tc>
        <w:tc>
          <w:tcPr>
            <w:tcW w:type="dxa" w:w="5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情報・通信業</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非鉄金属</w:t>
            </w:r>
          </w:p>
        </w:tc>
        <w:tc>
          <w:tcPr>
            <w:tcW w:type="dxa" w:w="5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電気・ガス業</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サービス業</w:t>
            </w:r>
          </w:p>
        </w:tc>
        <w:tc>
          <w:tcPr>
            <w:tcW w:type="dxa" w:w="5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金属製品</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2社</w:t>
            </w:r>
          </w:p>
        </w:tc>
      </w:tr>
      <w:tr>
        <w:tc>
          <w:tcPr>
            <w:tcW w:type="dxa" w:w="5106"/>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卸売業</w:t>
            </w:r>
          </w:p>
        </w:tc>
        <w:tc>
          <w:tcPr>
            <w:tcW w:type="dxa" w:w="510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1社</w:t>
            </w:r>
          </w:p>
        </w:tc>
      </w:tr>
      <w:tr>
        <w:tc>
          <w:tcPr>
            <w:tcW w:type="dxa" w:w="5106"/>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証券・商品先物取引業</w:t>
            </w:r>
          </w:p>
        </w:tc>
        <w:tc>
          <w:tcPr>
            <w:tcW w:type="dxa" w:w="510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1社</w:t>
            </w:r>
          </w:p>
        </w:tc>
      </w:tr>
    </w:tbl>
    <w:p>
      <w:pPr>
        <w:pStyle w:val="Heading2"/>
        <w:spacing w:after="110" w:before="260"/>
      </w:pPr>
      <w:r>
        <w:rPr>
          <w:rFonts w:ascii="Yu Gothic" w:cs="Yu Gothic" w:eastAsia="Yu Gothic" w:hAnsi="Yu Gothic"/>
          <w:b/>
          <w:bCs/>
          <w:color w:val="1B1F27"/>
          <w:sz w:val="21"/>
          <w:szCs w:val="21"/>
        </w:rPr>
        <w:t xml:space="preserve">5-2. 市場区分と規模</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3"/>
        <w:gridCol w:w="2553"/>
        <w:gridCol w:w="2550"/>
        <w:gridCol w:w="2550"/>
      </w:tblGrid>
      <w:tr>
        <w:trPr>
          <w:tblHeader/>
        </w:trPr>
        <w:tc>
          <w:tcPr>
            <w:tcW w:type="dxa" w:w="2553"/>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市場</w:t>
            </w:r>
          </w:p>
        </w:tc>
        <w:tc>
          <w:tcPr>
            <w:tcW w:type="dxa" w:w="2553"/>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社数</w:t>
            </w:r>
          </w:p>
        </w:tc>
        <w:tc>
          <w:tcPr>
            <w:tcW w:type="dxa" w:w="255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規模区分</w:t>
            </w:r>
          </w:p>
        </w:tc>
        <w:tc>
          <w:tcPr>
            <w:tcW w:type="dxa" w:w="2550"/>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社数</w:t>
            </w:r>
          </w:p>
        </w:tc>
      </w:tr>
      <w:tr>
        <w:tc>
          <w:tcPr>
            <w:tcW w:type="dxa" w:w="2553"/>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スタンダード</w:t>
            </w:r>
          </w:p>
        </w:tc>
        <w:tc>
          <w:tcPr>
            <w:tcW w:type="dxa" w:w="2553"/>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10社</w:t>
            </w:r>
          </w:p>
        </w:tc>
        <w:tc>
          <w:tcPr>
            <w:tcW w:type="dxa" w:w="255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区分なし</w:t>
            </w:r>
          </w:p>
        </w:tc>
        <w:tc>
          <w:tcPr>
            <w:tcW w:type="dxa" w:w="255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10社</w:t>
            </w:r>
          </w:p>
        </w:tc>
      </w:tr>
      <w:tr>
        <w:tc>
          <w:tcPr>
            <w:tcW w:type="dxa" w:w="2553"/>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プライム</w:t>
            </w:r>
          </w:p>
        </w:tc>
        <w:tc>
          <w:tcPr>
            <w:tcW w:type="dxa" w:w="2553"/>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9社</w:t>
            </w:r>
          </w:p>
        </w:tc>
        <w:tc>
          <w:tcPr>
            <w:tcW w:type="dxa" w:w="255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TOPIX Small 2</w:t>
            </w:r>
          </w:p>
        </w:tc>
        <w:tc>
          <w:tcPr>
            <w:tcW w:type="dxa" w:w="255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4社</w:t>
            </w:r>
          </w:p>
        </w:tc>
      </w:tr>
      <w:tr>
        <w:tc>
          <w:tcPr>
            <w:tcW w:type="dxa" w:w="2553"/>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グロース</w:t>
            </w:r>
          </w:p>
        </w:tc>
        <w:tc>
          <w:tcPr>
            <w:tcW w:type="dxa" w:w="2553"/>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1社</w:t>
            </w:r>
          </w:p>
        </w:tc>
        <w:tc>
          <w:tcPr>
            <w:tcW w:type="dxa" w:w="255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TOPIX Small 1</w:t>
            </w:r>
          </w:p>
        </w:tc>
        <w:tc>
          <w:tcPr>
            <w:tcW w:type="dxa" w:w="2550"/>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3社</w:t>
            </w:r>
          </w:p>
        </w:tc>
      </w:tr>
      <w:tr>
        <w:tc>
          <w:tcPr>
            <w:tcW w:type="dxa" w:w="2553"/>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
            </w:r>
          </w:p>
        </w:tc>
        <w:tc>
          <w:tcPr>
            <w:tcW w:type="dxa" w:w="2553"/>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
            </w:r>
          </w:p>
        </w:tc>
        <w:tc>
          <w:tcPr>
            <w:tcW w:type="dxa" w:w="255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val="false"/>
                <w:bCs w:val="false"/>
                <w:color w:val="1B1F27"/>
                <w:sz w:val="16"/>
                <w:szCs w:val="16"/>
              </w:rPr>
              <w:t xml:space="preserve">TOPIX Mid400</w:t>
            </w:r>
          </w:p>
        </w:tc>
        <w:tc>
          <w:tcPr>
            <w:tcW w:type="dxa" w:w="2550"/>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3社</w:t>
            </w:r>
          </w:p>
        </w:tc>
      </w:tr>
    </w:tbl>
    <w:p>
      <w:pPr>
        <w:spacing w:after="120" w:before="140" w:line="300"/>
        <w:jc w:val="left"/>
      </w:pPr>
      <w:r>
        <w:rPr>
          <w:rFonts w:ascii="Yu Gothic" w:cs="Yu Gothic" w:eastAsia="Yu Gothic" w:hAnsi="Yu Gothic"/>
          <w:b w:val="false"/>
          <w:bCs w:val="false"/>
          <w:color w:val="1B1F27"/>
          <w:sz w:val="18"/>
          <w:szCs w:val="18"/>
        </w:rPr>
        <w:t xml:space="preserve">母集団全体のPER中央値は16.17倍、PBR中央値は1.33倍で、PBR1倍割れが31%を占める。選んだ20社はこの中でも割安側に寄っている。</w:t>
      </w: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6. 現行版との比較</w:t>
      </w:r>
    </w:p>
    <w:p>
      <w:pPr>
        <w:spacing w:after="120" w:before="0" w:line="300"/>
        <w:jc w:val="left"/>
      </w:pPr>
      <w:r>
        <w:rPr>
          <w:rFonts w:ascii="Yu Gothic" w:cs="Yu Gothic" w:eastAsia="Yu Gothic" w:hAnsi="Yu Gothic"/>
          <w:b w:val="false"/>
          <w:bCs w:val="false"/>
          <w:color w:val="1B1F27"/>
          <w:sz w:val="18"/>
          <w:szCs w:val="18"/>
        </w:rPr>
        <w:t xml:space="preserve">両ポートフォリオを同じ4軸で採点したときの中央値。</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tblHeader/>
        </w:trPr>
        <w:tc>
          <w:tcPr>
            <w:tcW w:type="dxa" w:w="3402"/>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軸</w:t>
            </w:r>
          </w:p>
        </w:tc>
        <w:tc>
          <w:tcPr>
            <w:tcW w:type="dxa" w:w="3402"/>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現行版20社</w:t>
            </w:r>
          </w:p>
        </w:tc>
        <w:tc>
          <w:tcPr>
            <w:tcW w:type="dxa" w:w="3402"/>
            <w:tcBorders>
              <w:top w:val="single" w:color="C9CEDA" w:sz="2"/>
              <w:left w:val="none" w:color="FFFFFF" w:sz="0"/>
              <w:bottom w:val="single" w:color="C9CEDA" w:sz="2"/>
              <w:right w:val="none" w:color="FFFFFF" w:sz="0"/>
            </w:tcBorders>
            <w:shd w:fill="EDF0F6" w:color="auto" w:val="clear"/>
            <w:tcMar>
              <w:top w:type="dxa" w:w="60"/>
              <w:left w:type="dxa" w:w="90"/>
              <w:bottom w:type="dxa" w:w="60"/>
              <w:right w:type="dxa" w:w="90"/>
            </w:tcMar>
          </w:tcPr>
          <w:p>
            <w:pPr>
              <w:spacing w:after="0" w:before="0" w:line="250"/>
              <w:jc w:val="right"/>
            </w:pPr>
            <w:r>
              <w:rPr>
                <w:rFonts w:ascii="Yu Gothic" w:cs="Yu Gothic" w:eastAsia="Yu Gothic" w:hAnsi="Yu Gothic"/>
                <w:b/>
                <w:bCs/>
                <w:color w:val="1B1F27"/>
                <w:sz w:val="16"/>
                <w:szCs w:val="16"/>
              </w:rPr>
              <w:t xml:space="preserve">新方式20社</w:t>
            </w:r>
          </w:p>
        </w:tc>
      </w:tr>
      <w:tr>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Moat</w:t>
            </w:r>
          </w:p>
        </w:tc>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75.3</w:t>
            </w:r>
          </w:p>
        </w:tc>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63.5</w:t>
            </w:r>
          </w:p>
        </w:tc>
      </w:tr>
      <w:tr>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Change</w:t>
            </w:r>
          </w:p>
        </w:tc>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55.4</w:t>
            </w:r>
          </w:p>
        </w:tc>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75.2</w:t>
            </w:r>
          </w:p>
        </w:tc>
      </w:tr>
      <w:tr>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Future</w:t>
            </w:r>
          </w:p>
        </w:tc>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78.6</w:t>
            </w:r>
          </w:p>
        </w:tc>
        <w:tc>
          <w:tcPr>
            <w:tcW w:type="dxa" w:w="3402"/>
            <w:tcBorders>
              <w:top w:val="single" w:color="C9CEDA" w:sz="2"/>
              <w:left w:val="none" w:color="FFFFFF" w:sz="0"/>
              <w:bottom w:val="single" w:color="C9CEDA" w:sz="2"/>
              <w:right w:val="none" w:color="FFFFFF" w:sz="0"/>
            </w:tcBorders>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78.6</w:t>
            </w:r>
          </w:p>
        </w:tc>
      </w:tr>
      <w:tr>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left"/>
            </w:pPr>
            <w:r>
              <w:rPr>
                <w:rFonts w:ascii="Yu Gothic" w:cs="Yu Gothic" w:eastAsia="Yu Gothic" w:hAnsi="Yu Gothic"/>
                <w:b/>
                <w:bCs/>
                <w:color w:val="1B1F27"/>
                <w:sz w:val="16"/>
                <w:szCs w:val="16"/>
              </w:rPr>
              <w:t xml:space="preserve">Price</w:t>
            </w:r>
          </w:p>
        </w:tc>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31.7</w:t>
            </w:r>
          </w:p>
        </w:tc>
        <w:tc>
          <w:tcPr>
            <w:tcW w:type="dxa" w:w="3402"/>
            <w:tcBorders>
              <w:top w:val="single" w:color="C9CEDA" w:sz="2"/>
              <w:left w:val="none" w:color="FFFFFF" w:sz="0"/>
              <w:bottom w:val="single" w:color="C9CEDA" w:sz="2"/>
              <w:right w:val="none" w:color="FFFFFF" w:sz="0"/>
            </w:tcBorders>
            <w:shd w:fill="F7F8FB" w:color="auto" w:val="clear"/>
            <w:tcMar>
              <w:top w:type="dxa" w:w="60"/>
              <w:left w:type="dxa" w:w="90"/>
              <w:bottom w:type="dxa" w:w="60"/>
              <w:right w:type="dxa" w:w="90"/>
            </w:tcMar>
          </w:tcPr>
          <w:p>
            <w:pPr>
              <w:spacing w:after="0" w:before="0" w:line="250"/>
              <w:jc w:val="right"/>
            </w:pPr>
            <w:r>
              <w:rPr>
                <w:rFonts w:ascii="Yu Gothic" w:cs="Yu Gothic" w:eastAsia="Yu Gothic" w:hAnsi="Yu Gothic"/>
                <w:b w:val="false"/>
                <w:bCs w:val="false"/>
                <w:color w:val="1B1F27"/>
                <w:sz w:val="16"/>
                <w:szCs w:val="16"/>
              </w:rPr>
              <w:t xml:space="preserve">86.7</w:t>
            </w:r>
          </w:p>
        </w:tc>
      </w:tr>
    </w:tbl>
    <w:p>
      <w:pPr>
        <w:spacing w:after="120" w:before="140" w:line="300"/>
        <w:jc w:val="left"/>
      </w:pPr>
      <w:r>
        <w:rPr>
          <w:rFonts w:ascii="Yu Gothic" w:cs="Yu Gothic" w:eastAsia="Yu Gothic" w:hAnsi="Yu Gothic"/>
          <w:b w:val="false"/>
          <w:bCs w:val="false"/>
          <w:color w:val="1B1F27"/>
          <w:sz w:val="18"/>
          <w:szCs w:val="18"/>
        </w:rPr>
        <w:t xml:space="preserve">現行版はMoatとFutureで高い一方、Priceが母集団の中央値を下回っている。「割安に買う」を評価軸として明示的に組み込んだ結果が、この差に表れている。</w:t>
      </w:r>
    </w:p>
    <w:p>
      <w:pPr>
        <w:pStyle w:val="Heading1"/>
        <w:pBdr>
          <w:bottom w:val="single" w:color="2F4B8F" w:sz="8" w:space="6"/>
        </w:pBdr>
        <w:spacing w:after="160" w:before="360"/>
      </w:pPr>
      <w:r>
        <w:rPr>
          <w:rFonts w:ascii="Yu Gothic" w:cs="Yu Gothic" w:eastAsia="Yu Gothic" w:hAnsi="Yu Gothic"/>
          <w:b/>
          <w:bCs/>
          <w:color w:val="2F4B8F"/>
          <w:sz w:val="26"/>
          <w:szCs w:val="26"/>
        </w:rPr>
        <w:t xml:space="preserve">7. 留意点</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4軸すべてで高得点の会社は存在しない。全4軸60点以上は24社、70点以上は1社、80点以上は0社。平均を取る方式である以上、選ばれた会社もどこか1軸は弱い。</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Future軸は、EDINET本文のキーワード照合で作っている。33業種の分類だけで99%以上を説明でき、個社の判断というより「構造変化の恩恵を受けやすい業種群に属しているか」の判定である。また構成要素のうち無形資産投資（重み0.25）は研究開発費がほぼ取得できず、実質的に機能していない。</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時価総額は実勢の発行済株式数×実勢株価で計算している。有価証券報告書の提出後に株式分割した会社は、報告書の株式数のままだと時価総額が分割比率のぶん過小になり「異常に割安」と誤判定される。実際、修正前の上位20社のうち6社がこれに該当していた。今回は母集団のうち216社で提出後の分割を検出し、うち23社は直近3か月以内の分割だった。株式数は1948社で実勢値を用い、取得できなかった15社のみ報告書の値を使っている。</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PERは最新の有価証券報告書の当期純利益を用いている。提出後に業績が変化した会社では、直近12か月ベースのPERと差が出る（例: 7991は有報ベース2.4倍に対し直近12か月ベースでは6.5倍）。上位に入った銘柄は、直近四半期の利益動向を必ず確認すること。</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投資枠500万円・1銘柄上限8%の制約から、1単元が40万円を超える334社は選抜対象から除いている。大型株の一部が構造的に選ばれないため、この点は資金量に依存する制約である。</w:t>
      </w:r>
    </w:p>
    <w:p>
      <w:pPr>
        <w:pStyle w:val="ListParagraph"/>
        <w:numPr>
          <w:ilvl w:val="0"/>
          <w:numId w:val="2"/>
        </w:numPr>
        <w:spacing w:after="70" w:line="290"/>
      </w:pPr>
      <w:r>
        <w:rPr>
          <w:rFonts w:ascii="Yu Gothic" w:cs="Yu Gothic" w:eastAsia="Yu Gothic" w:hAnsi="Yu Gothic"/>
          <w:b w:val="false"/>
          <w:bCs w:val="false"/>
          <w:color w:val="1B1F27"/>
          <w:sz w:val="18"/>
          <w:szCs w:val="18"/>
        </w:rPr>
        <w:t xml:space="preserve">本スクリーニングは選定ロジックの提示であり、将来の運用成績を約束するものではない。STOCKリーグの審査ではリターンは採点対象外であり、本書は選定の再現性と説明可能性を示すためのものである。</w:t>
      </w:r>
    </w:p>
    <w:p>
      <w:pPr>
        <w:pBdr>
          <w:top w:val="single" w:color="C9CEDA" w:sz="6" w:space="8"/>
        </w:pBdr>
        <w:spacing w:before="400"/>
      </w:pPr>
      <w:r>
        <w:rPr>
          <w:rFonts w:ascii="Yu Gothic" w:cs="Yu Gothic" w:eastAsia="Yu Gothic" w:hAnsi="Yu Gothic"/>
          <w:b w:val="false"/>
          <w:bCs w:val="false"/>
          <w:color w:val="5B6373"/>
          <w:sz w:val="15"/>
          <w:szCs w:val="15"/>
        </w:rPr>
        <w:t xml:space="preserve">再現コード: work/new_4axis_screen/07_final_screen.py ／ 仕様: NEW4AXIS_SPEC_v1.md ／ 検証: NEW4AXIS_AUDIT_v1.md</w:t>
      </w:r>
    </w:p>
    <w:sectPr>
      <w:footerReference w:type="default" r:id="rId7"/>
      <w:pgSz w:w="11906" w:h="16838" w:orient="portrait"/>
      <w:pgMar w:top="10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B63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B1F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2026-08-17T11:35:42.430Z</dcterms:created>
  <dcterms:modified xsi:type="dcterms:W3CDTF">2026-08-17T11:35:42.431Z</dcterms:modified>
</cp:coreProperties>
</file>

<file path=docProps/custom.xml><?xml version="1.0" encoding="utf-8"?>
<Properties xmlns="http://schemas.openxmlformats.org/officeDocument/2006/custom-properties" xmlns:vt="http://schemas.openxmlformats.org/officeDocument/2006/docPropsVTypes"/>
</file>