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863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6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keepNext/>
        <w:spacing w:before="240" w:after="100" w:line="307" w:lineRule="auto"/>
        <w:ind w:firstLine="0" w:firstLineChars="0"/>
        <w:shd w:val="clear" w:color="auto" w:fill="16324F"/>
      </w:pPr>
      <w:r>
        <w:rPr>
          <w:rFonts w:ascii="ＭＳ ゴシック" w:hAnsi="ＭＳ ゴシック" w:eastAsia="ＭＳ ゴシック"/>
          <w:b/>
          <w:color w:val="FFFFFF"/>
          <w:sz w:val="28"/>
        </w:rPr>
        <w:t xml:space="preserve">　基礎学習</w:t>
      </w:r>
    </w:p>
    <w:p>
      <w:pPr>
        <w:spacing w:after="80" w:line="312" w:lineRule="auto"/>
        <w:jc w:val="both"/>
        <w:ind w:firstLineChars="100" w:firstLine="200"/>
      </w:pPr>
      <w:r>
        <w:rPr>
          <w:rFonts w:ascii="Times New Roman" w:hAnsi="Times New Roman" w:eastAsia="ＭＳ 明朝"/>
          <w:b w:val="0"/>
          <w:color w:val="000000"/>
          <w:sz w:val="20"/>
        </w:rPr>
        <w:t>日経ＳＴＯＣＫリーグ所定の基礎学習ワークシートに基づき、当年度の設問への解答を本節に記入する（配布年度により設問が異なるため、本テンプレートでは枠のみを用意した）。</w:t>
      </w:r>
    </w:p>
    <w:p>
      <w:pPr>
        <w:spacing w:before="0" w:after="40" w:line="307" w:lineRule="auto"/>
        <w:ind w:firstLine="0" w:firstLineChars="0"/>
      </w:pPr>
      <w:r>
        <w:rPr>
          <w:rFonts w:ascii="Times New Roman" w:hAnsi="Times New Roman" w:eastAsia="ＭＳ 明朝"/>
          <w:b/>
          <w:color w:val="000000"/>
          <w:sz w:val="20"/>
        </w:rPr>
        <w:t>・基礎学習の設問と解答（当年度ワークシートを転記）：</w:t>
      </w:r>
      <w:r>
        <w:rPr>
          <w:rFonts w:ascii="Times New Roman" w:hAnsi="Times New Roman" w:eastAsia="ＭＳ 明朝"/>
          <w:b w:val="0"/>
          <w:color w:val="888888"/>
          <w:sz w:val="20"/>
        </w:rPr>
        <w:t>［記入］</w:t>
      </w:r>
    </w:p>
    <w:p>
      <w:pPr>
        <w:keepNext/>
        <w:spacing w:before="120" w:after="60" w:line="307" w:lineRule="auto"/>
        <w:ind w:firstLine="0" w:firstLineChars="0"/>
        <w:pBdr>
          <w:bottom w:val="dashed" w:sz="10" w:space="2" w:color="2F6D5F"/>
        </w:pBdr>
      </w:pPr>
      <w:r>
        <w:rPr>
          <w:rFonts w:ascii="ＭＳ ゴシック" w:hAnsi="ＭＳ ゴシック" w:eastAsia="ＭＳ ゴシック"/>
          <w:b/>
          <w:color w:val="2F6D5F"/>
          <w:sz w:val="21"/>
        </w:rPr>
        <w:t>投資テーマと関連が深い SDGs の目標（3つ以内・記入）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3288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8"/>
              </w:rPr>
              <w:t>関連の深い SDGs の目標</w:t>
            </w:r>
          </w:p>
        </w:tc>
        <w:tc>
          <w:tcPr>
            <w:tcW w:type="dxa" w:w="6123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8"/>
              </w:rPr>
              <w:t>その主な理由（記入）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8"/>
              </w:rPr>
              <w:t>9．産業と技術革新の基盤をつくろう</w:t>
            </w:r>
          </w:p>
        </w:tc>
        <w:tc>
          <w:tcPr>
            <w:tcW w:type="dxa" w:w="6123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8"/>
              </w:rPr>
              <w:t>［記入例の観点：AI・半導体・光通信など「生まれる堀」への投資が技術革新の基盤形成を支えるため］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8"/>
              </w:rPr>
              <w:t>8．働きがいも経済成長も</w:t>
            </w:r>
          </w:p>
        </w:tc>
        <w:tc>
          <w:tcPr>
            <w:tcW w:type="dxa" w:w="6123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8"/>
              </w:rPr>
              <w:t>［記入例の観点：資本効率改革で「変わる堀」を持つ企業の再評価が日本経済の成長につながるため］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8"/>
              </w:rPr>
              <w:t>12．つくる責任・つかう責任</w:t>
            </w:r>
          </w:p>
        </w:tc>
        <w:tc>
          <w:tcPr>
            <w:tcW w:type="dxa" w:w="6123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8"/>
              </w:rPr>
              <w:t>［記入］</w:t>
            </w:r>
          </w:p>
        </w:tc>
      </w:tr>
    </w:tbl>
    <w:p>
      <w:pPr>
        <w:spacing w:before="0" w:after="80" w:line="307" w:lineRule="auto"/>
        <w:ind w:firstLine="0" w:firstLineChars="0"/>
      </w:pPr>
    </w:p>
    <w:p>
      <w:r>
        <w:br w:type="page"/>
      </w:r>
    </w:p>
    <w:p>
      <w:pPr>
        <w:keepNext/>
        <w:spacing w:before="240" w:after="100" w:line="307" w:lineRule="auto"/>
        <w:ind w:firstLine="0" w:firstLineChars="0"/>
        <w:shd w:val="clear" w:color="auto" w:fill="16324F"/>
      </w:pPr>
      <w:r>
        <w:rPr>
          <w:rFonts w:ascii="ＭＳ ゴシック" w:hAnsi="ＭＳ ゴシック" w:eastAsia="ＭＳ ゴシック"/>
          <w:b/>
          <w:color w:val="FFFFFF"/>
          <w:sz w:val="28"/>
        </w:rPr>
        <w:t xml:space="preserve">　要旨</w:t>
      </w:r>
    </w:p>
    <w:p>
      <w:pPr>
        <w:spacing w:after="80" w:line="312" w:lineRule="auto"/>
        <w:jc w:val="both"/>
        <w:ind w:firstLineChars="100" w:firstLine="200"/>
      </w:pPr>
      <w:r>
        <w:rPr>
          <w:rFonts w:ascii="Times New Roman" w:hAnsi="Times New Roman" w:eastAsia="ＭＳ 明朝"/>
          <w:b w:val="0"/>
          <w:color w:val="000000"/>
          <w:sz w:val="20"/>
        </w:rPr>
        <w:t>本レポートでは、これからの日本株投資の姿として「三世代の堀（Three-Generation Moat）」を提示する。堀（Moat）とは、他社がまねしにくい持続的な競争優位のことである。私たちは、ウォーレン・バフェットが築いた「完成した堀を割安に買う」という規律を出発点に、堀を時間軸でとらえ直した。すなわち、いま完成している堀だけでなく、資本効率改革によってこれから「変わる堀」、AI・半導体・光通信などの構造変化からこれから「生まれる堀」までを、一つのポートフォリオに束ねる。</w:t>
      </w:r>
    </w:p>
    <w:p>
      <w:pPr>
        <w:spacing w:after="80" w:line="312" w:lineRule="auto"/>
        <w:jc w:val="both"/>
        <w:ind w:firstLineChars="100" w:firstLine="200"/>
      </w:pPr>
      <w:r>
        <w:rPr>
          <w:rFonts w:ascii="Times New Roman" w:hAnsi="Times New Roman" w:eastAsia="ＭＳ 明朝"/>
          <w:b w:val="0"/>
          <w:color w:val="000000"/>
          <w:sz w:val="20"/>
        </w:rPr>
        <w:t>選定は、剣道の修行段階になぞらえた守・破・離の三段階スクリーニングで行った。守では先行研究の式だけで完成した堀を5社に絞り、破では式を変えずに候補を1,200社へ広げ、離では変わる堀・生まれる堀を証拠水準つきで測って最終20社を組んだ。銘柄は一度も成績を見て入れ替えていない。私たちは、成績を誇る代わりに、この20社が「壊れにくい構造」を持つことを16通りの検査で確かめた。三世代の堀こそ、バフェットを超える——正しくは、バフェットの規律を未来へ延長する——私たちの答えである。</w:t>
      </w:r>
    </w:p>
    <w:p>
      <w:pPr>
        <w:keepNext/>
        <w:spacing w:before="240" w:after="100" w:line="307" w:lineRule="auto"/>
        <w:ind w:firstLine="0" w:firstLineChars="0"/>
        <w:shd w:val="clear" w:color="auto" w:fill="16324F"/>
      </w:pPr>
      <w:r>
        <w:rPr>
          <w:rFonts w:ascii="ＭＳ ゴシック" w:hAnsi="ＭＳ ゴシック" w:eastAsia="ＭＳ ゴシック"/>
          <w:b/>
          <w:color w:val="FFFFFF"/>
          <w:sz w:val="28"/>
        </w:rPr>
        <w:t xml:space="preserve">　目次</w:t>
      </w:r>
    </w:p>
    <w:p>
      <w:pPr>
        <w:spacing w:before="0" w:after="40" w:line="307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基礎学習</w:t>
      </w:r>
      <w:r>
        <w:rPr>
          <w:rFonts w:ascii="Times New Roman" w:hAnsi="Times New Roman" w:eastAsia="ＭＳ 明朝"/>
          <w:b w:val="0"/>
          <w:color w:val="000000"/>
          <w:sz w:val="20"/>
        </w:rPr>
        <w:t xml:space="preserve">　････････････････････････････････････････････････　2</w:t>
      </w:r>
    </w:p>
    <w:p>
      <w:pPr>
        <w:spacing w:before="0" w:after="40" w:line="307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要旨</w:t>
      </w:r>
      <w:r>
        <w:rPr>
          <w:rFonts w:ascii="Times New Roman" w:hAnsi="Times New Roman" w:eastAsia="ＭＳ 明朝"/>
          <w:b w:val="0"/>
          <w:color w:val="000000"/>
          <w:sz w:val="20"/>
        </w:rPr>
        <w:t xml:space="preserve">　････････････････････････････････････････････････････　3</w:t>
      </w:r>
    </w:p>
    <w:p>
      <w:pPr>
        <w:spacing w:before="0" w:after="40" w:line="307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Ⅰ．背景・投資テーマ決定</w:t>
      </w:r>
      <w:r>
        <w:rPr>
          <w:rFonts w:ascii="Times New Roman" w:hAnsi="Times New Roman" w:eastAsia="ＭＳ 明朝"/>
          <w:b w:val="0"/>
          <w:color w:val="000000"/>
          <w:sz w:val="20"/>
        </w:rPr>
        <w:t xml:space="preserve">　････････････････････････････････　4</w:t>
      </w:r>
    </w:p>
    <w:p>
      <w:pPr>
        <w:spacing w:before="0" w:after="40" w:line="307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Ⅱ．スクリーニング ― 守・破・離</w:t>
      </w:r>
      <w:r>
        <w:rPr>
          <w:rFonts w:ascii="Times New Roman" w:hAnsi="Times New Roman" w:eastAsia="ＭＳ 明朝"/>
          <w:b w:val="0"/>
          <w:color w:val="000000"/>
          <w:sz w:val="20"/>
        </w:rPr>
        <w:t xml:space="preserve">　･･････････････････････　6</w:t>
      </w:r>
    </w:p>
    <w:p>
      <w:pPr>
        <w:spacing w:before="0" w:after="40" w:line="307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Ⅲ．ポートフォリオの決定・銘柄紹介・パフォーマンス</w:t>
      </w:r>
      <w:r>
        <w:rPr>
          <w:rFonts w:ascii="Times New Roman" w:hAnsi="Times New Roman" w:eastAsia="ＭＳ 明朝"/>
          <w:b w:val="0"/>
          <w:color w:val="000000"/>
          <w:sz w:val="20"/>
        </w:rPr>
        <w:t xml:space="preserve">　･･････　10</w:t>
      </w:r>
    </w:p>
    <w:p>
      <w:pPr>
        <w:spacing w:before="0" w:after="40" w:line="307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Ⅳ．インタビュー・アンケート</w:t>
      </w:r>
      <w:r>
        <w:rPr>
          <w:rFonts w:ascii="Times New Roman" w:hAnsi="Times New Roman" w:eastAsia="ＭＳ 明朝"/>
          <w:b w:val="0"/>
          <w:color w:val="000000"/>
          <w:sz w:val="20"/>
        </w:rPr>
        <w:t xml:space="preserve">　････････････････････････････　14</w:t>
      </w:r>
    </w:p>
    <w:p>
      <w:pPr>
        <w:spacing w:before="0" w:after="40" w:line="307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Ⅴ．日経ＳＴＯＣＫリーグを通じて学んだこと</w:t>
      </w:r>
      <w:r>
        <w:rPr>
          <w:rFonts w:ascii="Times New Roman" w:hAnsi="Times New Roman" w:eastAsia="ＭＳ 明朝"/>
          <w:b w:val="0"/>
          <w:color w:val="000000"/>
          <w:sz w:val="20"/>
        </w:rPr>
        <w:t xml:space="preserve">　･･････････････　14</w:t>
      </w:r>
    </w:p>
    <w:p>
      <w:pPr>
        <w:spacing w:before="0" w:after="40" w:line="307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参考文献</w:t>
      </w:r>
      <w:r>
        <w:rPr>
          <w:rFonts w:ascii="Times New Roman" w:hAnsi="Times New Roman" w:eastAsia="ＭＳ 明朝"/>
          <w:b w:val="0"/>
          <w:color w:val="000000"/>
          <w:sz w:val="20"/>
        </w:rPr>
        <w:t xml:space="preserve">　････････････････････････････････････････････････　14</w:t>
      </w:r>
    </w:p>
    <w:p>
      <w:r>
        <w:br w:type="page"/>
      </w:r>
    </w:p>
    <w:p>
      <w:pPr>
        <w:keepNext/>
        <w:spacing w:before="240" w:after="100" w:line="307" w:lineRule="auto"/>
        <w:ind w:firstLine="0" w:firstLineChars="0"/>
        <w:shd w:val="clear" w:color="auto" w:fill="16324F"/>
      </w:pPr>
      <w:r>
        <w:rPr>
          <w:rFonts w:ascii="ＭＳ ゴシック" w:hAnsi="ＭＳ ゴシック" w:eastAsia="ＭＳ ゴシック"/>
          <w:b/>
          <w:color w:val="FFFFFF"/>
          <w:sz w:val="28"/>
        </w:rPr>
        <w:t xml:space="preserve">　Ⅰ．背景・投資テーマ決定</w:t>
      </w:r>
    </w:p>
    <w:p>
      <w:pPr>
        <w:keepNext/>
        <w:spacing w:before="180" w:after="80" w:line="307" w:lineRule="auto"/>
        <w:ind w:firstLine="0" w:firstLineChars="0"/>
        <w:shd w:val="clear" w:color="auto" w:fill="DCE8E4"/>
        <w:pBdr>
          <w:left w:val="single" w:sz="28" w:space="3" w:color="16324F"/>
        </w:pBdr>
      </w:pPr>
      <w:r>
        <w:rPr>
          <w:rFonts w:ascii="ＭＳ ゴシック" w:hAnsi="ＭＳ ゴシック" w:eastAsia="ＭＳ ゴシック"/>
          <w:b/>
          <w:color w:val="16324F"/>
          <w:sz w:val="23"/>
        </w:rPr>
        <w:t xml:space="preserve">　0．イントロダクション ― 百年企業の中に、未来の堀が眠っていた</w:t>
      </w:r>
    </w:p>
    <w:p>
      <w:pPr>
        <w:spacing w:before="120" w:after="40" w:line="360" w:lineRule="auto"/>
        <w:ind w:firstLine="0" w:firstLineChars="0"/>
        <w:ind w:left="480" w:right="480"/>
      </w:pPr>
      <w:r>
        <w:rPr>
          <w:rFonts w:ascii="Times New Roman" w:hAnsi="Times New Roman" w:eastAsia="ＭＳ 明朝"/>
          <w:b/>
          <w:i/>
          <w:color w:val="16324F"/>
          <w:sz w:val="22"/>
        </w:rPr>
        <w:t>「素晴らしい会社をまずまずの価格で買うほうが、まずまずの会社を素晴らしい価格で買うよりずっと良い。」</w:t>
      </w:r>
    </w:p>
    <w:p>
      <w:pPr>
        <w:spacing w:before="0" w:after="160" w:line="307" w:lineRule="auto"/>
        <w:jc w:val="right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18"/>
        </w:rPr>
        <w:t>――　ウォーレン・バフェット（1989年 株主への手紙）</w:t>
      </w:r>
    </w:p>
    <w:p>
      <w:pPr>
        <w:spacing w:after="80" w:line="312" w:lineRule="auto"/>
        <w:jc w:val="both"/>
        <w:ind w:firstLineChars="100" w:firstLine="200"/>
      </w:pPr>
      <w:r>
        <w:rPr>
          <w:rFonts w:ascii="Times New Roman" w:hAnsi="Times New Roman" w:eastAsia="ＭＳ 明朝"/>
          <w:b w:val="0"/>
          <w:color w:val="000000"/>
          <w:sz w:val="20"/>
        </w:rPr>
        <w:t>バフェットは、企業を城に、競争優位を城を守る堀（Moat）にたとえた。深い堀を持つ会社を、高すぎない価格で買い、長く持つ。この単純な規律が、半世紀を超える成果を生んだ。私たちの研究は、この規律への挑戦ではなく、その延長である。</w:t>
      </w:r>
    </w:p>
    <w:p>
      <w:pPr>
        <w:spacing w:after="80" w:line="312" w:lineRule="auto"/>
        <w:jc w:val="both"/>
        <w:ind w:firstLineChars="100" w:firstLine="200"/>
      </w:pPr>
      <w:r>
        <w:rPr>
          <w:rFonts w:ascii="Times New Roman" w:hAnsi="Times New Roman" w:eastAsia="ＭＳ 明朝"/>
          <w:b w:val="0"/>
          <w:color w:val="000000"/>
          <w:sz w:val="20"/>
        </w:rPr>
        <w:t>きっかけは、一つの会社だった。フジクラ（5803）——1885年創業の電線メーカーである。長らく「成熟産業の老舗」と見られてきたこの会社は、いま、生成AIのデータセンターを支える光配線の担い手として再評価されている。百年かけて磨いた細径高密度の配線技術が、AIという新しい産業の「ボトルネック」を握ったのだ。完成したはずの堀の内側で、新しい堀が生まれていた。</w:t>
      </w:r>
    </w:p>
    <w:p>
      <w:pPr>
        <w:spacing w:after="80" w:line="312" w:lineRule="auto"/>
        <w:jc w:val="both"/>
        <w:ind w:firstLineChars="100" w:firstLine="200"/>
      </w:pPr>
      <w:r>
        <w:rPr>
          <w:rFonts w:ascii="Times New Roman" w:hAnsi="Times New Roman" w:eastAsia="ＭＳ 明朝"/>
          <w:b w:val="0"/>
          <w:color w:val="000000"/>
          <w:sz w:val="20"/>
        </w:rPr>
        <w:t>同じ頃、東京証券取引所は上場企業に「資本コストや株価を意識した経営」を求め、長く割安に放置された企業が、資本効率の改善と株主還元の強化によって変わり始めた。堀は静的ではない。変わる堀があり、生まれる堀がある。ならば、いまの堀だけを測るバフェットの物差しを、時間軸の方向へ延長できないか。これが私たちの問いである。</w:t>
      </w:r>
    </w:p>
    <w:p>
      <w:pPr>
        <w:keepNext/>
        <w:spacing w:before="180" w:after="80" w:line="307" w:lineRule="auto"/>
        <w:ind w:firstLine="0" w:firstLineChars="0"/>
        <w:shd w:val="clear" w:color="auto" w:fill="DCE8E4"/>
        <w:pBdr>
          <w:left w:val="single" w:sz="28" w:space="3" w:color="16324F"/>
        </w:pBdr>
      </w:pPr>
      <w:r>
        <w:rPr>
          <w:rFonts w:ascii="ＭＳ ゴシック" w:hAnsi="ＭＳ ゴシック" w:eastAsia="ＭＳ ゴシック"/>
          <w:b/>
          <w:color w:val="16324F"/>
          <w:sz w:val="23"/>
        </w:rPr>
        <w:t xml:space="preserve">　1．背景 ― 二つの地殻変動</w:t>
      </w:r>
    </w:p>
    <w:p>
      <w:pPr>
        <w:spacing w:after="80" w:line="312" w:lineRule="auto"/>
        <w:jc w:val="both"/>
        <w:ind w:firstLineChars="100" w:firstLine="200"/>
      </w:pPr>
      <w:r>
        <w:rPr>
          <w:rFonts w:ascii="Times New Roman" w:hAnsi="Times New Roman" w:eastAsia="ＭＳ 明朝"/>
          <w:b w:val="0"/>
          <w:color w:val="000000"/>
          <w:sz w:val="20"/>
        </w:rPr>
        <w:t>第一の地殻変動は資本効率改革である。東京証券取引所（2023）の要請は、伊藤レポート（経済産業省、2014）以来の資本収益性重視の流れを決定づけ、PBR（株価純資産倍率）1倍割れ企業の経営改革を促した。割安に放置された企業の中から、本当に変われる企業を見分けられれば、それは「変わる堀」への投資になる。</w:t>
      </w:r>
    </w:p>
    <w:p>
      <w:pPr>
        <w:spacing w:after="80" w:line="312" w:lineRule="auto"/>
        <w:jc w:val="both"/>
        <w:ind w:firstLineChars="100" w:firstLine="200"/>
      </w:pPr>
      <w:r>
        <w:rPr>
          <w:rFonts w:ascii="Times New Roman" w:hAnsi="Times New Roman" w:eastAsia="ＭＳ 明朝"/>
          <w:b w:val="0"/>
          <w:color w:val="000000"/>
          <w:sz w:val="20"/>
        </w:rPr>
        <w:t>第二の地殻変動はAIを起点とする産業構造の転換である。生成AIは、半導体・光通信・データセンター・電力・品質保証といった基盤産業に、実需としての追い風を与えている。ただし「AI」と口にする企業がすべて堀を持つわけではない。私たちの調査では、開示資料でAIに言及しながら具体的な製品・顧客・数量の裏づけを欠く企業が577社に上った。キーワードと堀を見分ける仕組みが要る。</w:t>
      </w:r>
    </w:p>
    <w:p>
      <w:pPr>
        <w:keepNext/>
        <w:spacing w:before="180" w:after="80" w:line="307" w:lineRule="auto"/>
        <w:ind w:firstLine="0" w:firstLineChars="0"/>
        <w:shd w:val="clear" w:color="auto" w:fill="DCE8E4"/>
        <w:pBdr>
          <w:left w:val="single" w:sz="28" w:space="3" w:color="16324F"/>
        </w:pBdr>
      </w:pPr>
      <w:r>
        <w:rPr>
          <w:rFonts w:ascii="ＭＳ ゴシック" w:hAnsi="ＭＳ ゴシック" w:eastAsia="ＭＳ ゴシック"/>
          <w:b/>
          <w:color w:val="16324F"/>
          <w:sz w:val="23"/>
        </w:rPr>
        <w:t xml:space="preserve">　2．三世代の堀 ― 私たちが求める企業像</w:t>
      </w:r>
    </w:p>
    <w:p>
      <w:pPr>
        <w:spacing w:after="80" w:line="312" w:lineRule="auto"/>
        <w:jc w:val="both"/>
        <w:ind w:firstLineChars="100" w:firstLine="200"/>
      </w:pPr>
      <w:r>
        <w:rPr>
          <w:rFonts w:ascii="Times New Roman" w:hAnsi="Times New Roman" w:eastAsia="ＭＳ 明朝"/>
          <w:b w:val="0"/>
          <w:color w:val="000000"/>
          <w:sz w:val="20"/>
        </w:rPr>
        <w:t>以上から、私たちは投資対象を三つの世代で定義する。第一に、すでに完成した堀（バフェットの規律で測れる企業）。第二に、資本効率改革で変わる堀（割安×改善の証拠を持つ企業）。第三に、構造変化から生まれる堀（AI基盤への実需接続を証拠で示せる企業）。この三世代を一つのポートフォリオに束ね、どれか一つの未来に賭けない。これが「三世代の堀」である。</w:t>
      </w:r>
    </w:p>
    <w:p>
      <w:pPr>
        <w:keepNext/>
        <w:spacing w:before="120" w:after="40" w:line="307" w:lineRule="auto"/>
        <w:ind w:firstLine="0" w:firstLineChars="0"/>
      </w:pPr>
      <w:r>
        <w:rPr>
          <w:rFonts w:ascii="ＭＳ ゴシック" w:hAnsi="ＭＳ ゴシック" w:eastAsia="ＭＳ ゴシック"/>
          <w:b/>
          <w:color w:val="16324F"/>
          <w:sz w:val="19"/>
        </w:rPr>
        <w:t>図表 Ⅰ-1　三世代の堀（完成・変化・新生）</w:t>
      </w:r>
    </w:p>
    <w:p>
      <w:pPr>
        <w:jc w:val="center"/>
        <w:keepNext/>
        <w:ind w:firstLine="0" w:firstLineChars="0"/>
      </w:pPr>
      <w:r>
        <w:drawing>
          <wp:inline xmlns:a="http://schemas.openxmlformats.org/drawingml/2006/main" xmlns:pic="http://schemas.openxmlformats.org/drawingml/2006/picture">
            <wp:extent cx="5400000" cy="19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at_timeax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7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16"/>
        </w:rPr>
        <w:t>注：完成した堀（守 Top5）・変わる堀（Transformation）・生まれる堀（Emerging）。筆者作成。</w:t>
      </w:r>
    </w:p>
    <w:p>
      <w:pPr>
        <w:keepNext/>
        <w:spacing w:before="180" w:after="80" w:line="307" w:lineRule="auto"/>
        <w:ind w:firstLine="0" w:firstLineChars="0"/>
        <w:shd w:val="clear" w:color="auto" w:fill="DCE8E4"/>
        <w:pBdr>
          <w:left w:val="single" w:sz="28" w:space="3" w:color="16324F"/>
        </w:pBdr>
      </w:pPr>
      <w:r>
        <w:rPr>
          <w:rFonts w:ascii="ＭＳ ゴシック" w:hAnsi="ＭＳ ゴシック" w:eastAsia="ＭＳ ゴシック"/>
          <w:b/>
          <w:color w:val="16324F"/>
          <w:sz w:val="23"/>
        </w:rPr>
        <w:t xml:space="preserve">　3．投資テーマの決定 ― 守・破・離</w:t>
      </w:r>
    </w:p>
    <w:p>
      <w:pPr>
        <w:spacing w:after="80" w:line="312" w:lineRule="auto"/>
        <w:jc w:val="both"/>
        <w:ind w:firstLineChars="100" w:firstLine="200"/>
      </w:pPr>
      <w:r>
        <w:rPr>
          <w:rFonts w:ascii="Times New Roman" w:hAnsi="Times New Roman" w:eastAsia="ＭＳ 明朝"/>
          <w:b w:val="0"/>
          <w:color w:val="000000"/>
          <w:sz w:val="20"/>
        </w:rPr>
        <w:t>三世代の堀を、思いつきの銘柄選びにしないため、私たちは選定手順そのものを守・破・離の三段階に設計した。守では先行研究の式を一切変えずに使い、破では式を変えずに使い方だけを最適化し、離で初めて独自の物差しを導入する。独自性を最後に置くことで、独自の物差しがどこで何を変えたかを、いつでも遡って検証できる。</w:t>
      </w:r>
    </w:p>
    <w:p>
      <w:r>
        <w:br w:type="page"/>
      </w:r>
    </w:p>
    <w:p>
      <w:pPr>
        <w:keepNext/>
        <w:spacing w:before="240" w:after="100" w:line="307" w:lineRule="auto"/>
        <w:ind w:firstLine="0" w:firstLineChars="0"/>
        <w:shd w:val="clear" w:color="auto" w:fill="16324F"/>
      </w:pPr>
      <w:r>
        <w:rPr>
          <w:rFonts w:ascii="ＭＳ ゴシック" w:hAnsi="ＭＳ ゴシック" w:eastAsia="ＭＳ ゴシック"/>
          <w:b/>
          <w:color w:val="FFFFFF"/>
          <w:sz w:val="28"/>
        </w:rPr>
        <w:t xml:space="preserve">　Ⅱ．スクリーニング ― 守・破・離</w:t>
      </w:r>
    </w:p>
    <w:p>
      <w:pPr>
        <w:spacing w:after="80" w:line="312" w:lineRule="auto"/>
        <w:jc w:val="both"/>
        <w:ind w:firstLineChars="100" w:firstLine="200"/>
      </w:pPr>
      <w:r>
        <w:rPr>
          <w:rFonts w:ascii="Times New Roman" w:hAnsi="Times New Roman" w:eastAsia="ＭＳ 明朝"/>
          <w:b w:val="0"/>
          <w:color w:val="000000"/>
          <w:sz w:val="20"/>
        </w:rPr>
        <w:t>本章が選定の中核である。3,099社の非金融普通株から、三段階のスクリーニングで最終20社を選ぶ。各段階では、何を見たか（観点）、何で測ったか（データと式）、どこで区切ったか（基準）、何社が残ったか（結果）を必ず示す。</w:t>
      </w:r>
    </w:p>
    <w:p>
      <w:pPr>
        <w:keepNext/>
        <w:spacing w:before="160" w:after="40" w:line="307" w:lineRule="auto"/>
        <w:ind w:firstLine="0" w:firstLineChars="0"/>
      </w:pPr>
      <w:r>
        <w:rPr>
          <w:rFonts w:ascii="ＭＳ ゴシック" w:hAnsi="ＭＳ ゴシック" w:eastAsia="ＭＳ ゴシック"/>
          <w:b/>
          <w:color w:val="FFFFFF"/>
          <w:sz w:val="20"/>
          <w:shd w:val="clear" w:color="auto" w:fill="16324F"/>
        </w:rPr>
        <w:t xml:space="preserve">  STEP 1  </w:t>
      </w:r>
      <w:r>
        <w:rPr>
          <w:rFonts w:ascii="ＭＳ ゴシック" w:hAnsi="ＭＳ ゴシック" w:eastAsia="ＭＳ ゴシック"/>
          <w:b/>
          <w:color w:val="16324F"/>
          <w:sz w:val="22"/>
        </w:rPr>
        <w:t xml:space="preserve">　守 ― 完成した堀を抽出する（→ Buffett Core 5社）</w:t>
      </w:r>
    </w:p>
    <w:p>
      <w:pPr>
        <w:spacing w:after="80" w:line="312" w:lineRule="auto"/>
        <w:jc w:val="both"/>
        <w:ind w:firstLineChars="100" w:firstLine="200"/>
      </w:pPr>
      <w:r>
        <w:rPr>
          <w:rFonts w:ascii="Times New Roman" w:hAnsi="Times New Roman" w:eastAsia="ＭＳ 明朝"/>
          <w:b w:val="0"/>
          <w:color w:val="000000"/>
          <w:sz w:val="20"/>
        </w:rPr>
        <w:t>守では、バフェットの規律「良い会社を、高すぎない価格で買い、長期保有に耐えない企業を避ける」を、先行研究の式だけで再現する。独自の重み付きスコアは使わず、関門を一つずつ通す。判定基準は次の通りであ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1928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7"/>
              </w:rPr>
              <w:t>観点</w:t>
            </w:r>
          </w:p>
        </w:tc>
        <w:tc>
          <w:tcPr>
            <w:tcW w:type="dxa" w:w="2948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7"/>
              </w:rPr>
              <w:t>使うデータ・式</w:t>
            </w:r>
          </w:p>
        </w:tc>
        <w:tc>
          <w:tcPr>
            <w:tcW w:type="dxa" w:w="2268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7"/>
              </w:rPr>
              <w:t>通過基準</w:t>
            </w:r>
          </w:p>
        </w:tc>
        <w:tc>
          <w:tcPr>
            <w:tcW w:type="dxa" w:w="2268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7"/>
              </w:rPr>
              <w:t>通過社数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割安か（純資産）</w:t>
            </w:r>
          </w:p>
        </w:tc>
        <w:tc>
          <w:tcPr>
            <w:tcW w:type="dxa" w:w="294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B/M＝純資産÷時価総額（式1）</w:t>
            </w:r>
          </w:p>
        </w:tc>
        <w:tc>
          <w:tcPr>
            <w:tcW w:type="dxa" w:w="226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市場上位30%</w:t>
            </w:r>
          </w:p>
        </w:tc>
        <w:tc>
          <w:tcPr>
            <w:tcW w:type="dxa" w:w="226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3,099→2,740社（算出可能）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割安か（利益）</w:t>
            </w:r>
          </w:p>
        </w:tc>
        <w:tc>
          <w:tcPr>
            <w:tcW w:type="dxa" w:w="294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E/P＝純利益÷時価総額</w:t>
            </w:r>
          </w:p>
        </w:tc>
        <w:tc>
          <w:tcPr>
            <w:tcW w:type="dxa" w:w="226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黒字かつ上位50%</w:t>
            </w:r>
          </w:p>
        </w:tc>
        <w:tc>
          <w:tcPr>
            <w:tcW w:type="dxa" w:w="226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→583社（Value通過）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良い会社か</w:t>
            </w:r>
          </w:p>
        </w:tc>
        <w:tc>
          <w:tcPr>
            <w:tcW w:type="dxa" w:w="294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Gross Profitability（式2）</w:t>
            </w:r>
          </w:p>
        </w:tc>
        <w:tc>
          <w:tcPr>
            <w:tcW w:type="dxa" w:w="226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市場中央値以上</w:t>
            </w:r>
          </w:p>
        </w:tc>
        <w:tc>
          <w:tcPr>
            <w:tcW w:type="dxa" w:w="226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（同上583社に含む）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財務は健全か</w:t>
            </w:r>
          </w:p>
        </w:tc>
        <w:tc>
          <w:tcPr>
            <w:tcW w:type="dxa" w:w="294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Piotroski 合格割合</w:t>
            </w:r>
          </w:p>
        </w:tc>
        <w:tc>
          <w:tcPr>
            <w:tcW w:type="dxa" w:w="226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0.65以上</w:t>
            </w:r>
          </w:p>
        </w:tc>
        <w:tc>
          <w:tcPr>
            <w:tcW w:type="dxa" w:w="226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→146社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利益は本物か</w:t>
            </w:r>
          </w:p>
        </w:tc>
        <w:tc>
          <w:tcPr>
            <w:tcW w:type="dxa" w:w="294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Sloan アクルーアル</w:t>
            </w:r>
          </w:p>
        </w:tc>
        <w:tc>
          <w:tcPr>
            <w:tcW w:type="dxa" w:w="226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悪い側上位を除外</w:t>
            </w:r>
          </w:p>
        </w:tc>
        <w:tc>
          <w:tcPr>
            <w:tcW w:type="dxa" w:w="226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→112社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壊れにくいか</w:t>
            </w:r>
          </w:p>
        </w:tc>
        <w:tc>
          <w:tcPr>
            <w:tcW w:type="dxa" w:w="294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危機ガードレール（債務超過・3期連続赤字）</w:t>
            </w:r>
          </w:p>
        </w:tc>
        <w:tc>
          <w:tcPr>
            <w:tcW w:type="dxa" w:w="226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該当ゼロ</w:t>
            </w:r>
          </w:p>
        </w:tc>
        <w:tc>
          <w:tcPr>
            <w:tcW w:type="dxa" w:w="226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→90社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実際に買えるか</w:t>
            </w:r>
          </w:p>
        </w:tc>
        <w:tc>
          <w:tcPr>
            <w:tcW w:type="dxa" w:w="294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60日平均売買代金</w:t>
            </w:r>
          </w:p>
        </w:tc>
        <w:tc>
          <w:tcPr>
            <w:tcW w:type="dxa" w:w="226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約1,000万円/日以上</w:t>
            </w:r>
          </w:p>
        </w:tc>
        <w:tc>
          <w:tcPr>
            <w:tcW w:type="dxa" w:w="226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→77社</w:t>
            </w:r>
          </w:p>
        </w:tc>
      </w:tr>
    </w:tbl>
    <w:p>
      <w:pPr>
        <w:spacing w:before="0" w:after="80" w:line="307" w:lineRule="auto"/>
        <w:ind w:firstLine="0" w:firstLineChars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411"/>
            <w:shd w:val="clear" w:color="auto" w:fill="16324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keepNext/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9"/>
              </w:rPr>
              <w:t xml:space="preserve">　式（1）Ｂ／Ｍ ― 純資産に対して安いか（Fama and French, 1993）</w:t>
            </w:r>
          </w:p>
        </w:tc>
      </w:tr>
      <w:tr>
        <w:trPr>
          <w:cantSplit/>
        </w:trPr>
        <w:tc>
          <w:tcPr>
            <w:tcW w:type="dxa" w:w="9411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jc w:val="center"/>
              <w:keepNext/>
              <w:spacing w:before="100" w:after="100"/>
              <w:ind w:firstLine="0" w:firstLineChars="0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rPr>
                            <m:sty m:val="p"/>
                          </m:rPr>
                          <m:t>B</m:t>
                        </m:r>
                        <m:r>
                          <m:rPr>
                            <m:sty m:val="p"/>
                          </m:rPr>
                          <m:t>E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sSub>
                      <m:e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E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den>
                </m:f>
              </m:oMath>
            </m:oMathPara>
          </w:p>
        </w:tc>
      </w:tr>
      <w:tr>
        <w:trPr>
          <w:cantSplit/>
        </w:trPr>
        <w:tc>
          <w:tcPr>
            <w:tcW w:type="dxa" w:w="9411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  <w:ind w:firstLine="0" w:firstLineChars="0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BE＝自己資本（純資産）　ME＝時価総額（株価×株式数）。大きいほど純資産のわりに株価が安い。例：9470 学研ＨＤは1.526で市場上位30%。</w:t>
            </w:r>
          </w:p>
        </w:tc>
      </w:tr>
    </w:tbl>
    <w:p>
      <w:pPr>
        <w:spacing w:before="0" w:after="80" w:line="307" w:lineRule="auto"/>
        <w:ind w:firstLine="0" w:firstLineChars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411"/>
            <w:shd w:val="clear" w:color="auto" w:fill="16324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keepNext/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9"/>
              </w:rPr>
              <w:t xml:space="preserve">　式（2）Gross Profitability ― 資産を粗利に変える力（Novy-Marx, 2013）</w:t>
            </w:r>
          </w:p>
        </w:tc>
      </w:tr>
      <w:tr>
        <w:trPr>
          <w:cantSplit/>
        </w:trPr>
        <w:tc>
          <w:tcPr>
            <w:tcW w:type="dxa" w:w="9411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jc w:val="center"/>
              <w:keepNext/>
              <w:spacing w:before="100" w:after="100"/>
              <w:ind w:firstLine="0" w:firstLineChars="0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G</m:t>
                    </m:r>
                    <m:r>
                      <m:rPr>
                        <m:sty m:val="p"/>
                      </m:rPr>
                      <m:t>P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v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u</m:t>
                        </m:r>
                        <m:r>
                          <m:rPr>
                            <m:sty m:val="p"/>
                          </m:rPr>
                          <m:t>e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O</m:t>
                        </m:r>
                        <m:r>
                          <m:rPr>
                            <m:sty m:val="p"/>
                          </m:rPr>
                          <m:t>G</m:t>
                        </m:r>
                        <m:r>
                          <m:rPr>
                            <m:sty m:val="p"/>
                          </m:rP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sSub>
                      <m:e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o</m:t>
                        </m:r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l</m:t>
                        </m:r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den>
                </m:f>
              </m:oMath>
            </m:oMathPara>
          </w:p>
        </w:tc>
      </w:tr>
      <w:tr>
        <w:trPr>
          <w:cantSplit/>
        </w:trPr>
        <w:tc>
          <w:tcPr>
            <w:tcW w:type="dxa" w:w="9411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  <w:ind w:firstLine="0" w:firstLineChars="0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Revenue＝売上高　COGS＝売上原価　TotalAssets＝総資産。大きいほど資産効率の高い優良企業。例：9470は0.395で中央値以上。</w:t>
            </w:r>
          </w:p>
        </w:tc>
      </w:tr>
    </w:tbl>
    <w:p>
      <w:pPr>
        <w:spacing w:before="0" w:after="80" w:line="307" w:lineRule="auto"/>
        <w:ind w:firstLine="0" w:firstLineChars="0"/>
      </w:pPr>
    </w:p>
    <w:p>
      <w:pPr>
        <w:spacing w:after="80" w:line="312" w:lineRule="auto"/>
        <w:jc w:val="both"/>
        <w:ind w:firstLineChars="100" w:firstLine="200"/>
      </w:pPr>
      <w:r>
        <w:rPr>
          <w:rFonts w:ascii="Times New Roman" w:hAnsi="Times New Roman" w:eastAsia="ＭＳ 明朝"/>
          <w:b w:val="0"/>
          <w:color w:val="000000"/>
          <w:sz w:val="20"/>
        </w:rPr>
        <w:t>通過77社から、GP→E/P→B/M→Piotroski→Sloan→流動性→時価総額の固定順で上位5社を選び、Buffett Core として固定した（同一業種は原則2社まで）。選ばれたのは、3539 JMホールディングス、4350 メディカルシステムネットワーク、6430 大黒電機、7803 ブシロード、9470 学研ホールディングスである。以降、この5社は一度も入れ替えない。</w:t>
      </w:r>
    </w:p>
    <w:p>
      <w:pPr>
        <w:keepNext/>
        <w:spacing w:before="120" w:after="40" w:line="307" w:lineRule="auto"/>
        <w:ind w:firstLine="0" w:firstLineChars="0"/>
      </w:pPr>
      <w:r>
        <w:rPr>
          <w:rFonts w:ascii="ＭＳ ゴシック" w:hAnsi="ＭＳ ゴシック" w:eastAsia="ＭＳ ゴシック"/>
          <w:b/>
          <w:color w:val="16324F"/>
          <w:sz w:val="19"/>
        </w:rPr>
        <w:t>図表 Ⅱ-1　守の絞り込み（3,099社→Top5）</w:t>
      </w:r>
    </w:p>
    <w:p>
      <w:pPr>
        <w:jc w:val="center"/>
        <w:keepNext/>
        <w:ind w:firstLine="0" w:firstLineChars="0"/>
      </w:pPr>
      <w:r>
        <w:drawing>
          <wp:inline xmlns:a="http://schemas.openxmlformats.org/drawingml/2006/main" xmlns:pic="http://schemas.openxmlformats.org/drawingml/2006/picture">
            <wp:extent cx="5400000" cy="20752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1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75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7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16"/>
        </w:rPr>
        <w:t>注：各段階の通過社数。出所：Phase1正典データより筆者作成。</w:t>
      </w:r>
    </w:p>
    <w:p>
      <w:pPr>
        <w:keepNext/>
        <w:spacing w:before="160" w:after="40" w:line="307" w:lineRule="auto"/>
        <w:ind w:firstLine="0" w:firstLineChars="0"/>
      </w:pPr>
      <w:r>
        <w:rPr>
          <w:rFonts w:ascii="ＭＳ ゴシック" w:hAnsi="ＭＳ ゴシック" w:eastAsia="ＭＳ ゴシック"/>
          <w:b/>
          <w:color w:val="FFFFFF"/>
          <w:sz w:val="20"/>
          <w:shd w:val="clear" w:color="auto" w:fill="16324F"/>
        </w:rPr>
        <w:t xml:space="preserve">  STEP 2  </w:t>
      </w:r>
      <w:r>
        <w:rPr>
          <w:rFonts w:ascii="ＭＳ ゴシック" w:hAnsi="ＭＳ ゴシック" w:eastAsia="ＭＳ ゴシック"/>
          <w:b/>
          <w:color w:val="16324F"/>
          <w:sz w:val="22"/>
        </w:rPr>
        <w:t xml:space="preserve">　破 ― 式を変えずに候補を1,200社へ広げる</w:t>
      </w:r>
    </w:p>
    <w:p>
      <w:pPr>
        <w:spacing w:after="80" w:line="312" w:lineRule="auto"/>
        <w:jc w:val="both"/>
        <w:ind w:firstLineChars="100" w:firstLine="200"/>
      </w:pPr>
      <w:r>
        <w:rPr>
          <w:rFonts w:ascii="Times New Roman" w:hAnsi="Times New Roman" w:eastAsia="ＭＳ 明朝"/>
          <w:b w:val="0"/>
          <w:color w:val="000000"/>
          <w:sz w:val="20"/>
        </w:rPr>
        <w:t>守は規律が強い分、通過がわずか77社になる。これでは「変わる堀」「生まれる堀」の候補を評価する余地がない。破では、守の式の定義を一切変えず、閾値・分位・候補数という「使い方」だけを最適化して、次の段階で精査する候補宇宙を1,200社へ広げ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701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7"/>
              </w:rPr>
              <w:t>観点</w:t>
            </w:r>
          </w:p>
        </w:tc>
        <w:tc>
          <w:tcPr>
            <w:tcW w:type="dxa" w:w="4762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2948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7"/>
              </w:rPr>
              <w:t>結果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正規化</w:t>
            </w:r>
          </w:p>
        </w:tc>
        <w:tc>
          <w:tcPr>
            <w:tcW w:type="dxa" w:w="476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各指標を市場内の順位（0〜1）へ変換。式の定義は不変</w:t>
            </w:r>
          </w:p>
        </w:tc>
        <w:tc>
          <w:tcPr>
            <w:tcW w:type="dxa" w:w="294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指標同士を公平に比較可能に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頑健性の監査</w:t>
            </w:r>
          </w:p>
        </w:tc>
        <w:tc>
          <w:tcPr>
            <w:tcW w:type="dxa" w:w="4762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4通りの正規化方式で共通して上位に残るかを確認</w:t>
            </w:r>
          </w:p>
        </w:tc>
        <w:tc>
          <w:tcPr>
            <w:tcW w:type="dxa" w:w="294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core 970社・robust 1,135社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候補数の決定</w:t>
            </w:r>
          </w:p>
        </w:tc>
        <w:tc>
          <w:tcPr>
            <w:tcW w:type="dxa" w:w="476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広さ・品質・安全性・流動性・レビュー可能性を比較</w:t>
            </w:r>
          </w:p>
        </w:tc>
        <w:tc>
          <w:tcPr>
            <w:tcW w:type="dxa" w:w="294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Top1200 を正式採用（Top2000は参照）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守との整合</w:t>
            </w:r>
          </w:p>
        </w:tc>
        <w:tc>
          <w:tcPr>
            <w:tcW w:type="dxa" w:w="4762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守のTop5が候補宇宙に含まれるか</w:t>
            </w:r>
          </w:p>
        </w:tc>
        <w:tc>
          <w:tcPr>
            <w:tcW w:type="dxa" w:w="294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5社すべて Top1200 に含まれる</w:t>
            </w:r>
          </w:p>
        </w:tc>
      </w:tr>
    </w:tbl>
    <w:p>
      <w:pPr>
        <w:spacing w:before="0" w:after="80" w:line="307" w:lineRule="auto"/>
        <w:ind w:firstLine="0" w:firstLineChars="0"/>
      </w:pPr>
    </w:p>
    <w:p>
      <w:pPr>
        <w:spacing w:after="80" w:line="312" w:lineRule="auto"/>
        <w:jc w:val="both"/>
        <w:ind w:firstLineChars="100" w:firstLine="200"/>
      </w:pPr>
      <w:r>
        <w:rPr>
          <w:rFonts w:ascii="Times New Roman" w:hAnsi="Times New Roman" w:eastAsia="ＭＳ 明朝"/>
          <w:b w:val="0"/>
          <w:color w:val="000000"/>
          <w:sz w:val="20"/>
        </w:rPr>
        <w:t>なお1,200という数は、数式が出した唯一の正解ではない。候補を広げるほど取りこぼしは減るが、一社ずつ確認できる規模には限りがある。品質・広さ・レビュー可能性を両立させる運営上の判断として1,200社を選び、その判断過程を開示した。破のスコアは候補づくりの道具であり、最終選定には使っていない。</w:t>
      </w:r>
    </w:p>
    <w:p>
      <w:pPr>
        <w:keepNext/>
        <w:spacing w:before="120" w:after="40" w:line="307" w:lineRule="auto"/>
        <w:ind w:firstLine="0" w:firstLineChars="0"/>
      </w:pPr>
      <w:r>
        <w:rPr>
          <w:rFonts w:ascii="ＭＳ ゴシック" w:hAnsi="ＭＳ ゴシック" w:eastAsia="ＭＳ ゴシック"/>
          <w:b/>
          <w:color w:val="16324F"/>
          <w:sz w:val="19"/>
        </w:rPr>
        <w:t>図表 Ⅱ-2　破：候補宇宙の形成（Top1200）</w:t>
      </w:r>
    </w:p>
    <w:p>
      <w:pPr>
        <w:jc w:val="center"/>
        <w:keepNext/>
        <w:ind w:firstLine="0" w:firstLineChars="0"/>
      </w:pPr>
      <w:r>
        <w:drawing>
          <wp:inline xmlns:a="http://schemas.openxmlformats.org/drawingml/2006/main" xmlns:pic="http://schemas.openxmlformats.org/drawingml/2006/picture">
            <wp:extent cx="5400000" cy="20752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2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75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7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16"/>
        </w:rPr>
        <w:t>注：式は不変のまま使い方を最適化し、入れ子の母集団から Top1200 を正式採用。筆者作成。</w:t>
      </w:r>
    </w:p>
    <w:p>
      <w:pPr>
        <w:keepNext/>
        <w:spacing w:before="160" w:after="40" w:line="307" w:lineRule="auto"/>
        <w:ind w:firstLine="0" w:firstLineChars="0"/>
      </w:pPr>
      <w:r>
        <w:rPr>
          <w:rFonts w:ascii="ＭＳ ゴシック" w:hAnsi="ＭＳ ゴシック" w:eastAsia="ＭＳ ゴシック"/>
          <w:b/>
          <w:color w:val="FFFFFF"/>
          <w:sz w:val="20"/>
          <w:shd w:val="clear" w:color="auto" w:fill="16324F"/>
        </w:rPr>
        <w:t xml:space="preserve">  STEP 3  </w:t>
      </w:r>
      <w:r>
        <w:rPr>
          <w:rFonts w:ascii="ＭＳ ゴシック" w:hAnsi="ＭＳ ゴシック" w:eastAsia="ＭＳ ゴシック"/>
          <w:b/>
          <w:color w:val="16324F"/>
          <w:sz w:val="22"/>
        </w:rPr>
        <w:t xml:space="preserve">　離 ― 変わる堀・生まれる堀を測り、20社を組む</w:t>
      </w:r>
    </w:p>
    <w:p>
      <w:pPr>
        <w:spacing w:after="80" w:line="312" w:lineRule="auto"/>
        <w:jc w:val="both"/>
        <w:ind w:firstLineChars="100" w:firstLine="200"/>
      </w:pPr>
      <w:r>
        <w:rPr>
          <w:rFonts w:ascii="Times New Roman" w:hAnsi="Times New Roman" w:eastAsia="ＭＳ 明朝"/>
          <w:b w:val="0"/>
          <w:color w:val="000000"/>
          <w:sz w:val="20"/>
        </w:rPr>
        <w:t>離で初めて、私たち独自の物差しを導入する。ただし新しい式を発明したのではない。守で使った先行研究の部品（割安・改善・利益の質）を、時間軸の方向へ組み替えた。変わる堀は式（3）、生まれる堀は式（4）で測り、スコアの根拠の強さは式（5）の証拠水準としてスコアと分けて管理す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411"/>
            <w:shd w:val="clear" w:color="auto" w:fill="16324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keepNext/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9"/>
              </w:rPr>
              <w:t xml:space="preserve">　式（3）Transformation Score ― 変わる堀（実装形・選定に使用）</w:t>
            </w:r>
          </w:p>
        </w:tc>
      </w:tr>
      <w:tr>
        <w:trPr>
          <w:cantSplit/>
        </w:trPr>
        <w:tc>
          <w:tcPr>
            <w:tcW w:type="dxa" w:w="9411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jc w:val="center"/>
              <w:keepNext/>
              <w:spacing w:before="100" w:after="100"/>
              <w:ind w:firstLine="0" w:firstLineChars="0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S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s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0.22</m:t>
                </m:r>
                <m:r>
                  <m:t> </m:t>
                </m:r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0.24</m:t>
                </m:r>
                <m:r>
                  <m:t> 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0.10</m:t>
                </m:r>
                <m:r>
                  <m:t> </m:t>
                </m:r>
                <m:sSub>
                  <m:e>
                    <m:r>
                      <m:t>F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0.18</m:t>
                </m:r>
                <m:r>
                  <m:t> 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0.16</m:t>
                </m:r>
                <m:r>
                  <m:t> </m:t>
                </m:r>
                <m:sSub>
                  <m:e>
                    <m:r>
                      <m:t>Q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0.10</m:t>
                </m:r>
                <m:r>
                  <m:t> </m:t>
                </m:r>
                <m:sSub>
                  <m:e>
                    <m:r>
                      <m:rPr>
                        <m:sty m:val="p"/>
                      </m:rPr>
                      <m:t>Φ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Sup>
                  <m:e>
                    <m:r>
                      <m:t>P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p</m:t>
                    </m:r>
                  </m:sup>
                </m:sSubSup>
              </m:oMath>
            </m:oMathPara>
          </w:p>
        </w:tc>
      </w:tr>
      <w:tr>
        <w:trPr>
          <w:cantSplit/>
        </w:trPr>
        <w:tc>
          <w:tcPr>
            <w:tcW w:type="dxa" w:w="9411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  <w:ind w:firstLine="0" w:firstLineChars="0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V＝割安度　C＝資本効率の改善　F＝還元余力（営業CF−設備投資）　X＝実行信頼性　Q＝利益の質　Φ＝データ信頼度　P^Trap＝割安のワナ減点。低PBR株選びではない：割安でも改善証拠を欠く15社を除外した。</w:t>
            </w:r>
          </w:p>
        </w:tc>
      </w:tr>
    </w:tbl>
    <w:p>
      <w:pPr>
        <w:spacing w:before="0" w:after="80" w:line="307" w:lineRule="auto"/>
        <w:ind w:firstLine="0" w:firstLineChars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411"/>
            <w:shd w:val="clear" w:color="auto" w:fill="16324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keepNext/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9"/>
              </w:rPr>
              <w:t xml:space="preserve">　式（4）Emerging Score ― 生まれる堀（選定に使用）</w:t>
            </w:r>
          </w:p>
        </w:tc>
      </w:tr>
      <w:tr>
        <w:trPr>
          <w:cantSplit/>
        </w:trPr>
        <w:tc>
          <w:tcPr>
            <w:tcW w:type="dxa" w:w="9411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jc w:val="center"/>
              <w:keepNext/>
              <w:spacing w:before="100" w:after="100"/>
              <w:ind w:firstLine="0" w:firstLineChars="0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S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g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100</m:t>
                </m:r>
                <m:r>
                  <m:t> 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t>I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w</m:t>
                    </m:r>
                  </m:e>
                  <m:sub>
                    <m:r>
                      <m:t>N</m:t>
                    </m:r>
                  </m:sub>
                </m:sSub>
                <m:sSub>
                  <m:e>
                    <m:r>
                      <m:t>N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w</m:t>
                    </m:r>
                  </m:e>
                  <m:sub>
                    <m:r>
                      <m:t>B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w</m:t>
                    </m:r>
                  </m:e>
                  <m:sub>
                    <m:r>
                      <m:t>A</m:t>
                    </m:r>
                  </m:sub>
                </m:sSub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w</m:t>
                    </m:r>
                  </m:e>
                  <m:sub>
                    <m:r>
                      <m:t>D</m:t>
                    </m:r>
                  </m:sub>
                </m:sSub>
                <m:sSub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w</m:t>
                    </m:r>
                  </m:e>
                  <m:sub>
                    <m:r>
                      <m:t>T</m:t>
                    </m:r>
                  </m:sub>
                </m:sSub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v</m:t>
                    </m:r>
                    <m:r>
                      <m:rPr>
                        <m:sty m:val="p"/>
                      </m:rPr>
                      <m:t>i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P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y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e</m:t>
                    </m:r>
                  </m:sup>
                </m:sSubSup>
              </m:oMath>
            </m:oMathPara>
          </w:p>
        </w:tc>
      </w:tr>
      <w:tr>
        <w:trPr>
          <w:cantSplit/>
        </w:trPr>
        <w:tc>
          <w:tcPr>
            <w:tcW w:type="dxa" w:w="9411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  <w:ind w:firstLine="0" w:firstLineChars="0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I＝無形資産　N＝技術力　B＝ボトルネック性　A＝AI基盤接続　D＝データ顧客基盤　T＝信頼安全基盤　B^Evi＝証拠加点(≤8)　P^Hype＝キーワードのみ18点減点。AIテーマ株選びではない：言及のみの577社を除外した。</w:t>
            </w:r>
          </w:p>
        </w:tc>
      </w:tr>
    </w:tbl>
    <w:p>
      <w:pPr>
        <w:spacing w:before="0" w:after="80" w:line="307" w:lineRule="auto"/>
        <w:ind w:firstLine="0" w:firstLineChars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411"/>
            <w:shd w:val="clear" w:color="auto" w:fill="16324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keepNext/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9"/>
              </w:rPr>
              <w:t xml:space="preserve">　式（5）Evidence Level ― 証拠の強さ（スコアと分離して管理）</w:t>
            </w:r>
          </w:p>
        </w:tc>
      </w:tr>
      <w:tr>
        <w:trPr>
          <w:cantSplit/>
        </w:trPr>
        <w:tc>
          <w:tcPr>
            <w:tcW w:type="dxa" w:w="9411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jc w:val="center"/>
              <w:keepNext/>
              <w:spacing w:before="100" w:after="100"/>
              <w:ind w:firstLine="0" w:firstLineChars="0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l</m:t>
                    </m:r>
                  </m:sup>
                </m:sSubSup>
                <m:r>
                  <m:rPr>
                    <m:sty m:val="p"/>
                  </m:rPr>
                  <m:t>=</m:t>
                </m:r>
                <m:d>
                  <m:dPr>
                    <m:begChr m:val="{"/>
                    <m:sepChr m:val=""/>
                    <m:end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rPr>
                              <m:sty m:val="p"/>
                            </m:rPr>
                            <m:t>min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Sup>
                            <m:e>
                              <m:r>
                                <m:t>L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T</m:t>
                              </m:r>
                              <m:r>
                                <m:t>Q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,</m:t>
                          </m:r>
                          <m:sSubSup>
                            <m:e>
                              <m:r>
                                <m:t>L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E</m:t>
                              </m:r>
                              <m:r>
                                <m:t>M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両立型</m:t>
                          </m:r>
                        </m:e>
                      </m:mr>
                      <m:mr>
                        <m:e>
                          <m:sSubSup>
                            <m:e>
                              <m:r>
                                <m:t>L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E</m:t>
                              </m:r>
                              <m:r>
                                <m:t>M</m:t>
                              </m:r>
                            </m:sup>
                          </m:sSubSup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生まれる堀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max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Sup>
                            <m:e>
                              <m:r>
                                <m:t>L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T</m:t>
                              </m:r>
                              <m:r>
                                <m:t>Q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,</m:t>
                          </m:r>
                          <m:sSubSup>
                            <m:e>
                              <m:r>
                                <m:t>L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T</m:t>
                              </m:r>
                              <m:r>
                                <m:t>S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,</m:t>
                          </m:r>
                          <m:sSubSup>
                            <m:e>
                              <m:r>
                                <m:t>L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T</m:t>
                              </m:r>
                              <m:r>
                                <m:t>R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変わる堀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max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Sup>
                            <m:e>
                              <m:r>
                                <m:t>L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T</m:t>
                              </m:r>
                              <m:r>
                                <m:t>Q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,</m:t>
                          </m:r>
                          <m:sSubSup>
                            <m:e>
                              <m:r>
                                <m:t>L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E</m:t>
                              </m:r>
                              <m:r>
                                <m:t>M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その他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>
        <w:trPr>
          <w:cantSplit/>
        </w:trPr>
        <w:tc>
          <w:tcPr>
            <w:tcW w:type="dxa" w:w="9411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  <w:ind w:firstLine="0" w:firstLineChars="0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Level 1＝言及のみ／Level 2＝製品・顧客・投資計画の具体性／Level 3＝売上・受注・投資額の数量根拠。最終20社の分布は L3：15社、L2：4社、L1：1社。</w:t>
            </w:r>
          </w:p>
        </w:tc>
      </w:tr>
    </w:tbl>
    <w:p>
      <w:pPr>
        <w:spacing w:before="0" w:after="80" w:line="307" w:lineRule="auto"/>
        <w:ind w:firstLine="0" w:firstLineChars="0"/>
      </w:pPr>
    </w:p>
    <w:p>
      <w:pPr>
        <w:spacing w:after="80" w:line="312" w:lineRule="auto"/>
        <w:jc w:val="both"/>
        <w:ind w:firstLineChars="100" w:firstLine="200"/>
      </w:pPr>
      <w:r>
        <w:rPr>
          <w:rFonts w:ascii="Times New Roman" w:hAnsi="Times New Roman" w:eastAsia="ＭＳ 明朝"/>
          <w:b w:val="0"/>
          <w:color w:val="000000"/>
          <w:sz w:val="20"/>
        </w:rPr>
        <w:t>最終20社は、完成した堀5社（守Top5固定）・変わる堀5社・生まれる堀5社・両立型3社・分散役2社の五役割で構成した。同一業種は3社まで、同一テーマは4社までとし、除外した862社は理由別（AIキーワードのみ577・上位互換あり221・財務危険32・割安のワナ17・低PBRのみ15）にすべて記録した。選定後に成績を見た入れ替えは一度も行っていない。</w:t>
      </w:r>
    </w:p>
    <w:p>
      <w:pPr>
        <w:keepNext/>
        <w:spacing w:before="120" w:after="40" w:line="307" w:lineRule="auto"/>
        <w:ind w:firstLine="0" w:firstLineChars="0"/>
      </w:pPr>
      <w:r>
        <w:rPr>
          <w:rFonts w:ascii="ＭＳ ゴシック" w:hAnsi="ＭＳ ゴシック" w:eastAsia="ＭＳ ゴシック"/>
          <w:b/>
          <w:color w:val="16324F"/>
          <w:sz w:val="19"/>
        </w:rPr>
        <w:t>図表 Ⅱ-3　離：三世代の堀から最終20社へ</w:t>
      </w:r>
    </w:p>
    <w:p>
      <w:pPr>
        <w:jc w:val="center"/>
        <w:keepNext/>
        <w:ind w:firstLine="0" w:firstLineChars="0"/>
      </w:pPr>
      <w:r>
        <w:drawing>
          <wp:inline xmlns:a="http://schemas.openxmlformats.org/drawingml/2006/main" xmlns:pic="http://schemas.openxmlformats.org/drawingml/2006/picture">
            <wp:extent cx="5400000" cy="21894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89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7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16"/>
        </w:rPr>
        <w:t>注：二つのスコアと証拠水準から五役割へ。筆者作成。</w:t>
      </w:r>
    </w:p>
    <w:p>
      <w:pPr>
        <w:keepNext/>
        <w:spacing w:before="180" w:after="80" w:line="307" w:lineRule="auto"/>
        <w:ind w:firstLine="0" w:firstLineChars="0"/>
        <w:shd w:val="clear" w:color="auto" w:fill="DCE8E4"/>
        <w:pBdr>
          <w:left w:val="single" w:sz="28" w:space="3" w:color="16324F"/>
        </w:pBdr>
      </w:pPr>
      <w:r>
        <w:rPr>
          <w:rFonts w:ascii="ＭＳ ゴシック" w:hAnsi="ＭＳ ゴシック" w:eastAsia="ＭＳ ゴシック"/>
          <w:b/>
          <w:color w:val="16324F"/>
          <w:sz w:val="23"/>
        </w:rPr>
        <w:t xml:space="preserve">　選定は壊れにくいか ― 16通りの分解検査（アブレーション）</w:t>
      </w:r>
    </w:p>
    <w:p>
      <w:pPr>
        <w:spacing w:after="80" w:line="312" w:lineRule="auto"/>
        <w:jc w:val="both"/>
        <w:ind w:firstLineChars="100" w:firstLine="200"/>
      </w:pPr>
      <w:r>
        <w:rPr>
          <w:rFonts w:ascii="Times New Roman" w:hAnsi="Times New Roman" w:eastAsia="ＭＳ 明朝"/>
          <w:b w:val="0"/>
          <w:color w:val="000000"/>
          <w:sz w:val="20"/>
        </w:rPr>
        <w:t>最後に、この選定が特定の一要素や一テーマ、後付けの調整に依存していないかを、条件を一つずつ外した16通りの再選定で確かめた。最も影響が大きかったのは「候補をTop100に狭める」場合で、20社中7社しか一致しない。つまり、破で候補を1,200社へ広げた判断こそが選定の背骨である。逆に、どのペナルティを一つ外しても選定は崩壊しない。特定の仕掛け一つに頼った選定ではないことを、数で確かめた。</w:t>
      </w:r>
    </w:p>
    <w:p>
      <w:pPr>
        <w:keepNext/>
        <w:spacing w:before="120" w:after="40" w:line="307" w:lineRule="auto"/>
        <w:ind w:firstLine="0" w:firstLineChars="0"/>
      </w:pPr>
      <w:r>
        <w:rPr>
          <w:rFonts w:ascii="ＭＳ ゴシック" w:hAnsi="ＭＳ ゴシック" w:eastAsia="ＭＳ ゴシック"/>
          <w:b/>
          <w:color w:val="16324F"/>
          <w:sz w:val="19"/>
        </w:rPr>
        <w:t>図表 Ⅱ-4　条件を一つ外したときの最終20社との一致数</w:t>
      </w:r>
    </w:p>
    <w:p>
      <w:pPr>
        <w:jc w:val="center"/>
        <w:keepNext/>
        <w:ind w:firstLine="0" w:firstLineChars="0"/>
      </w:pPr>
      <w:r>
        <w:drawing>
          <wp:inline xmlns:a="http://schemas.openxmlformats.org/drawingml/2006/main" xmlns:pic="http://schemas.openxmlformats.org/drawingml/2006/picture">
            <wp:extent cx="5400000" cy="25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_overl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7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16"/>
        </w:rPr>
        <w:t>注：A8（Top100限定）が最小の7。過去データ上の構造検査であり、成績の主張ではない。出所：ablation_results.csv。</w:t>
      </w:r>
    </w:p>
    <w:p>
      <w:r>
        <w:br w:type="page"/>
      </w:r>
    </w:p>
    <w:p>
      <w:pPr>
        <w:keepNext/>
        <w:spacing w:before="240" w:after="100" w:line="307" w:lineRule="auto"/>
        <w:ind w:firstLine="0" w:firstLineChars="0"/>
        <w:shd w:val="clear" w:color="auto" w:fill="16324F"/>
      </w:pPr>
      <w:r>
        <w:rPr>
          <w:rFonts w:ascii="ＭＳ ゴシック" w:hAnsi="ＭＳ ゴシック" w:eastAsia="ＭＳ ゴシック"/>
          <w:b/>
          <w:color w:val="FFFFFF"/>
          <w:sz w:val="28"/>
        </w:rPr>
        <w:t xml:space="preserve">　Ⅲ．ポートフォリオの決定・銘柄紹介・パフォーマンス</w:t>
      </w:r>
    </w:p>
    <w:p>
      <w:pPr>
        <w:keepNext/>
        <w:spacing w:before="180" w:after="80" w:line="307" w:lineRule="auto"/>
        <w:ind w:firstLine="0" w:firstLineChars="0"/>
        <w:shd w:val="clear" w:color="auto" w:fill="DCE8E4"/>
        <w:pBdr>
          <w:left w:val="single" w:sz="28" w:space="3" w:color="16324F"/>
        </w:pBdr>
      </w:pPr>
      <w:r>
        <w:rPr>
          <w:rFonts w:ascii="ＭＳ ゴシック" w:hAnsi="ＭＳ ゴシック" w:eastAsia="ＭＳ ゴシック"/>
          <w:b/>
          <w:color w:val="16324F"/>
          <w:sz w:val="23"/>
        </w:rPr>
        <w:t xml:space="preserve">　1．500万円の配り方 ― 成績予想を使わない配分</w:t>
      </w:r>
    </w:p>
    <w:p>
      <w:pPr>
        <w:spacing w:after="80" w:line="312" w:lineRule="auto"/>
        <w:jc w:val="both"/>
        <w:ind w:firstLineChars="100" w:firstLine="200"/>
      </w:pPr>
      <w:r>
        <w:rPr>
          <w:rFonts w:ascii="Times New Roman" w:hAnsi="Times New Roman" w:eastAsia="ＭＳ 明朝"/>
          <w:b w:val="0"/>
          <w:color w:val="000000"/>
          <w:sz w:val="20"/>
        </w:rPr>
        <w:t>配分は四段階で決めた。①20社を役割ごとに分け、②役割ごとの予算を決め（完成・変化・新生に各25%、両立型15%、分散役10%）、③同じ役割の中では「値動きが穏やかで・売買しやすく・証拠が強く・データが信頼できる」会社を厚くし（式6）、④1銘柄8%の上限と実際に買える株数（式7）に丸める。リターンの予想は一切使っていな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411"/>
            <w:shd w:val="clear" w:color="auto" w:fill="16324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keepNext/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9"/>
              </w:rPr>
              <w:t xml:space="preserve">　式（6）役割予算つきリスク調整配分（選定済み20社への配り方）</w:t>
            </w:r>
          </w:p>
        </w:tc>
      </w:tr>
      <w:tr>
        <w:trPr>
          <w:cantSplit/>
        </w:trPr>
        <w:tc>
          <w:tcPr>
            <w:tcW w:type="dxa" w:w="9411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jc w:val="center"/>
              <w:keepNext/>
              <w:spacing w:before="100" w:after="100"/>
              <w:ind w:firstLine="0" w:firstLineChars="0"/>
            </w:pPr>
            <m:oMathPara>
              <m:oMathParaPr>
                <m:jc m:val="center"/>
              </m:oMathParaPr>
              <m:oMath>
                <m:sSub>
                  <m:e>
                    <m:r>
                      <m:t>ω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B</m:t>
                    </m:r>
                  </m:e>
                  <m:sub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ρ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 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ρ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e>
                    </m:nary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ρ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max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0.10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</w:tc>
      </w:tr>
      <w:tr>
        <w:trPr>
          <w:cantSplit/>
        </w:trPr>
        <w:tc>
          <w:tcPr>
            <w:tcW w:type="dxa" w:w="9411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  <w:ind w:firstLine="0" w:firstLineChars="0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B＝役割予算（25/25/25/15/10%）　ℓ＝流動性係数　e＝証拠係数　c＝信頼度係数　σ＝1年の値動きの大きさ。8%超過分は同じ役割内で配り直す。</w:t>
            </w:r>
          </w:p>
        </w:tc>
      </w:tr>
    </w:tbl>
    <w:p>
      <w:pPr>
        <w:spacing w:before="0" w:after="80" w:line="307" w:lineRule="auto"/>
        <w:ind w:firstLine="0" w:firstLineChars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411"/>
            <w:shd w:val="clear" w:color="auto" w:fill="16324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keepNext/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9"/>
              </w:rPr>
              <w:t xml:space="preserve">　式（7）単元株調整 ― 実際に買える株数へ丸める</w:t>
            </w:r>
          </w:p>
        </w:tc>
      </w:tr>
      <w:tr>
        <w:trPr>
          <w:cantSplit/>
        </w:trPr>
        <w:tc>
          <w:tcPr>
            <w:tcW w:type="dxa" w:w="9411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jc w:val="center"/>
              <w:keepNext/>
              <w:spacing w:before="100" w:after="100"/>
              <w:ind w:firstLine="0" w:firstLineChars="0"/>
            </w:pPr>
            <m:oMathPara>
              <m:oMathParaPr>
                <m:jc m:val="center"/>
              </m:oMathParaPr>
              <m:oMath>
                <m:sSub>
                  <m:e>
                    <m:r>
                      <m:t>q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floor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  <m:r>
                          <m:t> </m:t>
                        </m:r>
                        <m:sSub>
                          <m:e>
                            <m:r>
                              <m:t>ω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</w:tr>
      <w:tr>
        <w:trPr>
          <w:cantSplit/>
        </w:trPr>
        <w:tc>
          <w:tcPr>
            <w:tcW w:type="dxa" w:w="9411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  <w:ind w:firstLine="0" w:firstLineChars="0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q＝購入株数　L＝売買単位（基準1株）　B＝総予算500万円　ω＝目標比率　P＝株価　floor＝切り捨て。投資額4,949,198円・残現金50,801円（消化率99.0%）。</w:t>
            </w:r>
          </w:p>
        </w:tc>
      </w:tr>
    </w:tbl>
    <w:p>
      <w:pPr>
        <w:spacing w:before="0" w:after="80" w:line="307" w:lineRule="auto"/>
        <w:ind w:firstLine="0" w:firstLineChars="0"/>
      </w:pPr>
    </w:p>
    <w:p>
      <w:pPr>
        <w:spacing w:after="80" w:line="312" w:lineRule="auto"/>
        <w:jc w:val="both"/>
        <w:ind w:firstLineChars="100" w:firstLine="200"/>
      </w:pPr>
      <w:r>
        <w:rPr>
          <w:rFonts w:ascii="Times New Roman" w:hAnsi="Times New Roman" w:eastAsia="ＭＳ 明朝"/>
          <w:b w:val="0"/>
          <w:color w:val="000000"/>
          <w:sz w:val="20"/>
        </w:rPr>
        <w:t>最終配分を図表Ⅲ-1に示す。最大保有はゼンリンの7.46%、役割合計は25/25/25/15/10で、すべて制約内である。実単元（100株）では株価の高い9社が買えないため、単元未満株の利用を前提とする。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cantSplit/>
        </w:trPr>
        <w:tc>
          <w:tcPr>
            <w:tcW w:type="dxa" w:w="737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6"/>
              </w:rPr>
              <w:t>コード</w:t>
            </w:r>
          </w:p>
        </w:tc>
        <w:tc>
          <w:tcPr>
            <w:tcW w:type="dxa" w:w="2041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6"/>
              </w:rPr>
              <w:t>企業名</w:t>
            </w:r>
          </w:p>
        </w:tc>
        <w:tc>
          <w:tcPr>
            <w:tcW w:type="dxa" w:w="1134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6"/>
              </w:rPr>
              <w:t>役割</w:t>
            </w:r>
          </w:p>
        </w:tc>
        <w:tc>
          <w:tcPr>
            <w:tcW w:type="dxa" w:w="1361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6"/>
              </w:rPr>
              <w:t>テーマ</w:t>
            </w:r>
          </w:p>
        </w:tc>
        <w:tc>
          <w:tcPr>
            <w:tcW w:type="dxa" w:w="794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6"/>
              </w:rPr>
              <w:t>比率</w:t>
            </w:r>
          </w:p>
        </w:tc>
        <w:tc>
          <w:tcPr>
            <w:tcW w:type="dxa" w:w="794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6"/>
              </w:rPr>
              <w:t>株数</w:t>
            </w:r>
          </w:p>
        </w:tc>
        <w:tc>
          <w:tcPr>
            <w:tcW w:type="dxa" w:w="1191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6"/>
              </w:rPr>
              <w:t>金額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9470</w:t>
            </w:r>
          </w:p>
        </w:tc>
        <w:tc>
          <w:tcPr>
            <w:tcW w:type="dxa" w:w="204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 xml:space="preserve">GAKKEN HOLDINGS </w:t>
            </w:r>
          </w:p>
        </w:tc>
        <w:tc>
          <w:tcPr>
            <w:tcW w:type="dxa" w:w="113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完成した堀</w:t>
            </w:r>
          </w:p>
        </w:tc>
        <w:tc>
          <w:tcPr>
            <w:tcW w:type="dxa" w:w="136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non_ai</w:t>
            </w:r>
          </w:p>
        </w:tc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6.88%</w:t>
            </w:r>
          </w:p>
        </w:tc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365</w:t>
            </w:r>
          </w:p>
        </w:tc>
        <w:tc>
          <w:tcPr>
            <w:tcW w:type="dxa" w:w="119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343,465円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3539</w:t>
            </w:r>
          </w:p>
        </w:tc>
        <w:tc>
          <w:tcPr>
            <w:tcW w:type="dxa" w:w="204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JM HOLDINGS CO.,</w:t>
            </w:r>
          </w:p>
        </w:tc>
        <w:tc>
          <w:tcPr>
            <w:tcW w:type="dxa" w:w="113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完成した堀</w:t>
            </w:r>
          </w:p>
        </w:tc>
        <w:tc>
          <w:tcPr>
            <w:tcW w:type="dxa" w:w="136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non_ai</w:t>
            </w:r>
          </w:p>
        </w:tc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5.58%</w:t>
            </w:r>
          </w:p>
        </w:tc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223</w:t>
            </w:r>
          </w:p>
        </w:tc>
        <w:tc>
          <w:tcPr>
            <w:tcW w:type="dxa" w:w="119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278,304円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6430</w:t>
            </w:r>
          </w:p>
        </w:tc>
        <w:tc>
          <w:tcPr>
            <w:tcW w:type="dxa" w:w="204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DAIKOKU DENKI CO</w:t>
            </w:r>
          </w:p>
        </w:tc>
        <w:tc>
          <w:tcPr>
            <w:tcW w:type="dxa" w:w="113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完成した堀</w:t>
            </w:r>
          </w:p>
        </w:tc>
        <w:tc>
          <w:tcPr>
            <w:tcW w:type="dxa" w:w="136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non_ai</w:t>
            </w:r>
          </w:p>
        </w:tc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5.43%</w:t>
            </w:r>
          </w:p>
        </w:tc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130</w:t>
            </w:r>
          </w:p>
        </w:tc>
        <w:tc>
          <w:tcPr>
            <w:tcW w:type="dxa" w:w="119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271,050円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4350</w:t>
            </w:r>
          </w:p>
        </w:tc>
        <w:tc>
          <w:tcPr>
            <w:tcW w:type="dxa" w:w="204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MEDICAL SYSTEM N</w:t>
            </w:r>
          </w:p>
        </w:tc>
        <w:tc>
          <w:tcPr>
            <w:tcW w:type="dxa" w:w="113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完成した堀</w:t>
            </w:r>
          </w:p>
        </w:tc>
        <w:tc>
          <w:tcPr>
            <w:tcW w:type="dxa" w:w="136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non_ai</w:t>
            </w:r>
          </w:p>
        </w:tc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4.21%</w:t>
            </w:r>
          </w:p>
        </w:tc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409</w:t>
            </w:r>
          </w:p>
        </w:tc>
        <w:tc>
          <w:tcPr>
            <w:tcW w:type="dxa" w:w="119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210,226円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7803</w:t>
            </w:r>
          </w:p>
        </w:tc>
        <w:tc>
          <w:tcPr>
            <w:tcW w:type="dxa" w:w="204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Bushiroad Inc.</w:t>
            </w:r>
          </w:p>
        </w:tc>
        <w:tc>
          <w:tcPr>
            <w:tcW w:type="dxa" w:w="113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完成した堀</w:t>
            </w:r>
          </w:p>
        </w:tc>
        <w:tc>
          <w:tcPr>
            <w:tcW w:type="dxa" w:w="136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non_ai</w:t>
            </w:r>
          </w:p>
        </w:tc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2.90%</w:t>
            </w:r>
          </w:p>
        </w:tc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562</w:t>
            </w:r>
          </w:p>
        </w:tc>
        <w:tc>
          <w:tcPr>
            <w:tcW w:type="dxa" w:w="119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144,996円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5902</w:t>
            </w:r>
          </w:p>
        </w:tc>
        <w:tc>
          <w:tcPr>
            <w:tcW w:type="dxa" w:w="204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 xml:space="preserve">HOKKAN HOLDINGS </w:t>
            </w:r>
          </w:p>
        </w:tc>
        <w:tc>
          <w:tcPr>
            <w:tcW w:type="dxa" w:w="113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変わる堀</w:t>
            </w:r>
          </w:p>
        </w:tc>
        <w:tc>
          <w:tcPr>
            <w:tcW w:type="dxa" w:w="136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non_ai</w:t>
            </w:r>
          </w:p>
        </w:tc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6.70%</w:t>
            </w:r>
          </w:p>
        </w:tc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150</w:t>
            </w:r>
          </w:p>
        </w:tc>
        <w:tc>
          <w:tcPr>
            <w:tcW w:type="dxa" w:w="119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333,000円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9828</w:t>
            </w:r>
          </w:p>
        </w:tc>
        <w:tc>
          <w:tcPr>
            <w:tcW w:type="dxa" w:w="204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Genki Global Din</w:t>
            </w:r>
          </w:p>
        </w:tc>
        <w:tc>
          <w:tcPr>
            <w:tcW w:type="dxa" w:w="113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変わる堀</w:t>
            </w:r>
          </w:p>
        </w:tc>
        <w:tc>
          <w:tcPr>
            <w:tcW w:type="dxa" w:w="136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non_ai</w:t>
            </w:r>
          </w:p>
        </w:tc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5.50%</w:t>
            </w:r>
          </w:p>
        </w:tc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99</w:t>
            </w:r>
          </w:p>
        </w:tc>
        <w:tc>
          <w:tcPr>
            <w:tcW w:type="dxa" w:w="119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272,646円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8037</w:t>
            </w:r>
          </w:p>
        </w:tc>
        <w:tc>
          <w:tcPr>
            <w:tcW w:type="dxa" w:w="204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KAMEI CORPORATIO</w:t>
            </w:r>
          </w:p>
        </w:tc>
        <w:tc>
          <w:tcPr>
            <w:tcW w:type="dxa" w:w="113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変わる堀</w:t>
            </w:r>
          </w:p>
        </w:tc>
        <w:tc>
          <w:tcPr>
            <w:tcW w:type="dxa" w:w="136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non_ai</w:t>
            </w:r>
          </w:p>
        </w:tc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4.84%</w:t>
            </w:r>
          </w:p>
        </w:tc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69</w:t>
            </w:r>
          </w:p>
        </w:tc>
        <w:tc>
          <w:tcPr>
            <w:tcW w:type="dxa" w:w="119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238,740円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3863</w:t>
            </w:r>
          </w:p>
        </w:tc>
        <w:tc>
          <w:tcPr>
            <w:tcW w:type="dxa" w:w="204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Nippon Paper Ind</w:t>
            </w:r>
          </w:p>
        </w:tc>
        <w:tc>
          <w:tcPr>
            <w:tcW w:type="dxa" w:w="113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変わる堀</w:t>
            </w:r>
          </w:p>
        </w:tc>
        <w:tc>
          <w:tcPr>
            <w:tcW w:type="dxa" w:w="136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non_ai</w:t>
            </w:r>
          </w:p>
        </w:tc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4.28%</w:t>
            </w:r>
          </w:p>
        </w:tc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174</w:t>
            </w:r>
          </w:p>
        </w:tc>
        <w:tc>
          <w:tcPr>
            <w:tcW w:type="dxa" w:w="119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212,976円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5233</w:t>
            </w:r>
          </w:p>
        </w:tc>
        <w:tc>
          <w:tcPr>
            <w:tcW w:type="dxa" w:w="204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 xml:space="preserve">TAIHEIYO CEMENT </w:t>
            </w:r>
          </w:p>
        </w:tc>
        <w:tc>
          <w:tcPr>
            <w:tcW w:type="dxa" w:w="113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変わる堀</w:t>
            </w:r>
          </w:p>
        </w:tc>
        <w:tc>
          <w:tcPr>
            <w:tcW w:type="dxa" w:w="136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non_ai</w:t>
            </w:r>
          </w:p>
        </w:tc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3.68%</w:t>
            </w:r>
          </w:p>
        </w:tc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41</w:t>
            </w:r>
          </w:p>
        </w:tc>
        <w:tc>
          <w:tcPr>
            <w:tcW w:type="dxa" w:w="119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182,778円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6368</w:t>
            </w:r>
          </w:p>
        </w:tc>
        <w:tc>
          <w:tcPr>
            <w:tcW w:type="dxa" w:w="204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ORGANO CORPORATI</w:t>
            </w:r>
          </w:p>
        </w:tc>
        <w:tc>
          <w:tcPr>
            <w:tcW w:type="dxa" w:w="113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生まれる堀</w:t>
            </w:r>
          </w:p>
        </w:tc>
        <w:tc>
          <w:tcPr>
            <w:tcW w:type="dxa" w:w="136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semiconductor</w:t>
            </w:r>
          </w:p>
        </w:tc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6.91%</w:t>
            </w:r>
          </w:p>
        </w:tc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119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330,750円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6526</w:t>
            </w:r>
          </w:p>
        </w:tc>
        <w:tc>
          <w:tcPr>
            <w:tcW w:type="dxa" w:w="204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Socionext Inc.</w:t>
            </w:r>
          </w:p>
        </w:tc>
        <w:tc>
          <w:tcPr>
            <w:tcW w:type="dxa" w:w="113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生まれる堀</w:t>
            </w:r>
          </w:p>
        </w:tc>
        <w:tc>
          <w:tcPr>
            <w:tcW w:type="dxa" w:w="136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semiconductor</w:t>
            </w:r>
          </w:p>
        </w:tc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4.90%</w:t>
            </w:r>
          </w:p>
        </w:tc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85</w:t>
            </w:r>
          </w:p>
        </w:tc>
        <w:tc>
          <w:tcPr>
            <w:tcW w:type="dxa" w:w="119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243,270円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6920</w:t>
            </w:r>
          </w:p>
        </w:tc>
        <w:tc>
          <w:tcPr>
            <w:tcW w:type="dxa" w:w="204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Lasertec Corpora</w:t>
            </w:r>
          </w:p>
        </w:tc>
        <w:tc>
          <w:tcPr>
            <w:tcW w:type="dxa" w:w="113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生まれる堀</w:t>
            </w:r>
          </w:p>
        </w:tc>
        <w:tc>
          <w:tcPr>
            <w:tcW w:type="dxa" w:w="136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quality_assurance</w:t>
            </w:r>
          </w:p>
        </w:tc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4.82%</w:t>
            </w:r>
          </w:p>
        </w:tc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19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230,280円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6315</w:t>
            </w:r>
          </w:p>
        </w:tc>
        <w:tc>
          <w:tcPr>
            <w:tcW w:type="dxa" w:w="204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TOWA CORPORATION</w:t>
            </w:r>
          </w:p>
        </w:tc>
        <w:tc>
          <w:tcPr>
            <w:tcW w:type="dxa" w:w="113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生まれる堀</w:t>
            </w:r>
          </w:p>
        </w:tc>
        <w:tc>
          <w:tcPr>
            <w:tcW w:type="dxa" w:w="136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semiconductor</w:t>
            </w:r>
          </w:p>
        </w:tc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4.35%</w:t>
            </w:r>
          </w:p>
        </w:tc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75</w:t>
            </w:r>
          </w:p>
        </w:tc>
        <w:tc>
          <w:tcPr>
            <w:tcW w:type="dxa" w:w="119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216,600円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5803</w:t>
            </w:r>
          </w:p>
        </w:tc>
        <w:tc>
          <w:tcPr>
            <w:tcW w:type="dxa" w:w="204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Fujikura Ltd.</w:t>
            </w:r>
          </w:p>
        </w:tc>
        <w:tc>
          <w:tcPr>
            <w:tcW w:type="dxa" w:w="113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生まれる堀</w:t>
            </w:r>
          </w:p>
        </w:tc>
        <w:tc>
          <w:tcPr>
            <w:tcW w:type="dxa" w:w="136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optical_communication</w:t>
            </w:r>
          </w:p>
        </w:tc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4.02%</w:t>
            </w:r>
          </w:p>
        </w:tc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42</w:t>
            </w:r>
          </w:p>
        </w:tc>
        <w:tc>
          <w:tcPr>
            <w:tcW w:type="dxa" w:w="119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196,434円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9474</w:t>
            </w:r>
          </w:p>
        </w:tc>
        <w:tc>
          <w:tcPr>
            <w:tcW w:type="dxa" w:w="204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ZENRIN CO.,LTD.</w:t>
            </w:r>
          </w:p>
        </w:tc>
        <w:tc>
          <w:tcPr>
            <w:tcW w:type="dxa" w:w="113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両立型</w:t>
            </w:r>
          </w:p>
        </w:tc>
        <w:tc>
          <w:tcPr>
            <w:tcW w:type="dxa" w:w="136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business_data</w:t>
            </w:r>
          </w:p>
        </w:tc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7.46%</w:t>
            </w:r>
          </w:p>
        </w:tc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428</w:t>
            </w:r>
          </w:p>
        </w:tc>
        <w:tc>
          <w:tcPr>
            <w:tcW w:type="dxa" w:w="119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372,360円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6841</w:t>
            </w:r>
          </w:p>
        </w:tc>
        <w:tc>
          <w:tcPr>
            <w:tcW w:type="dxa" w:w="204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YOKOGAWA ELECTRI</w:t>
            </w:r>
          </w:p>
        </w:tc>
        <w:tc>
          <w:tcPr>
            <w:tcW w:type="dxa" w:w="113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両立型</w:t>
            </w:r>
          </w:p>
        </w:tc>
        <w:tc>
          <w:tcPr>
            <w:tcW w:type="dxa" w:w="136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factory_automation</w:t>
            </w:r>
          </w:p>
        </w:tc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4.55%</w:t>
            </w:r>
          </w:p>
        </w:tc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44</w:t>
            </w:r>
          </w:p>
        </w:tc>
        <w:tc>
          <w:tcPr>
            <w:tcW w:type="dxa" w:w="119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223,388円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3697</w:t>
            </w:r>
          </w:p>
        </w:tc>
        <w:tc>
          <w:tcPr>
            <w:tcW w:type="dxa" w:w="204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SHIFT Inc.</w:t>
            </w:r>
          </w:p>
        </w:tc>
        <w:tc>
          <w:tcPr>
            <w:tcW w:type="dxa" w:w="113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両立型</w:t>
            </w:r>
          </w:p>
        </w:tc>
        <w:tc>
          <w:tcPr>
            <w:tcW w:type="dxa" w:w="136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quality_assurance</w:t>
            </w:r>
          </w:p>
        </w:tc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2.99%</w:t>
            </w:r>
          </w:p>
        </w:tc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205</w:t>
            </w:r>
          </w:p>
        </w:tc>
        <w:tc>
          <w:tcPr>
            <w:tcW w:type="dxa" w:w="119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149,076円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2112</w:t>
            </w:r>
          </w:p>
        </w:tc>
        <w:tc>
          <w:tcPr>
            <w:tcW w:type="dxa" w:w="204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Ensuiko Sugar Re</w:t>
            </w:r>
          </w:p>
        </w:tc>
        <w:tc>
          <w:tcPr>
            <w:tcW w:type="dxa" w:w="113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分散役</w:t>
            </w:r>
          </w:p>
        </w:tc>
        <w:tc>
          <w:tcPr>
            <w:tcW w:type="dxa" w:w="136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non_ai</w:t>
            </w:r>
          </w:p>
        </w:tc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6.40%</w:t>
            </w:r>
          </w:p>
        </w:tc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749</w:t>
            </w:r>
          </w:p>
        </w:tc>
        <w:tc>
          <w:tcPr>
            <w:tcW w:type="dxa" w:w="119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319,823円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3089</w:t>
            </w:r>
          </w:p>
        </w:tc>
        <w:tc>
          <w:tcPr>
            <w:tcW w:type="dxa" w:w="204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Techno Alpha Co.</w:t>
            </w:r>
          </w:p>
        </w:tc>
        <w:tc>
          <w:tcPr>
            <w:tcW w:type="dxa" w:w="113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分散役</w:t>
            </w:r>
          </w:p>
        </w:tc>
        <w:tc>
          <w:tcPr>
            <w:tcW w:type="dxa" w:w="136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non_ai</w:t>
            </w:r>
          </w:p>
        </w:tc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3.60%</w:t>
            </w:r>
          </w:p>
        </w:tc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143</w:t>
            </w:r>
          </w:p>
        </w:tc>
        <w:tc>
          <w:tcPr>
            <w:tcW w:type="dxa" w:w="119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6"/>
              </w:rPr>
              <w:t>179,036円</w:t>
            </w:r>
          </w:p>
        </w:tc>
      </w:tr>
    </w:tbl>
    <w:p>
      <w:pPr>
        <w:spacing w:before="0" w:after="80" w:line="307" w:lineRule="auto"/>
        <w:ind w:firstLine="0" w:firstLineChars="0"/>
      </w:pPr>
    </w:p>
    <w:p>
      <w:pPr>
        <w:spacing w:before="0" w:after="160" w:line="307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16"/>
        </w:rPr>
        <w:t>図表 Ⅲ-1　最終ポートフォリオ（総予算500万円・単元未満株基準）。出所：allocation_final.csv。</w:t>
      </w:r>
    </w:p>
    <w:p>
      <w:pPr>
        <w:keepNext/>
        <w:spacing w:before="180" w:after="80" w:line="307" w:lineRule="auto"/>
        <w:ind w:firstLine="0" w:firstLineChars="0"/>
        <w:shd w:val="clear" w:color="auto" w:fill="DCE8E4"/>
        <w:pBdr>
          <w:left w:val="single" w:sz="28" w:space="3" w:color="16324F"/>
        </w:pBdr>
      </w:pPr>
      <w:r>
        <w:rPr>
          <w:rFonts w:ascii="ＭＳ ゴシック" w:hAnsi="ＭＳ ゴシック" w:eastAsia="ＭＳ ゴシック"/>
          <w:b/>
          <w:color w:val="16324F"/>
          <w:sz w:val="23"/>
        </w:rPr>
        <w:t xml:space="preserve">　2．銘柄紹介 ― 三世代の堀、20社の顔ぶれ</w:t>
      </w:r>
    </w:p>
    <w:p>
      <w:pPr>
        <w:spacing w:after="80" w:line="312" w:lineRule="auto"/>
        <w:jc w:val="both"/>
        <w:ind w:firstLineChars="100" w:firstLine="200"/>
      </w:pPr>
      <w:r>
        <w:rPr>
          <w:rFonts w:ascii="Times New Roman" w:hAnsi="Times New Roman" w:eastAsia="ＭＳ 明朝"/>
          <w:b w:val="0"/>
          <w:color w:val="000000"/>
          <w:sz w:val="20"/>
        </w:rPr>
        <w:t>各社の「定量の骨子」（なぜその役割か）は選定データから記載済みである。事業概要と定性的な堀の根拠は、各社のＩＲ資料・有価証券報告書で確認のうえ記入する（［要ＩＲ確認］欄）。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154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5"/>
              </w:rPr>
              <w:t>企業（業種）</w:t>
            </w:r>
          </w:p>
        </w:tc>
        <w:tc>
          <w:tcPr>
            <w:tcW w:type="dxa" w:w="3742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5"/>
              </w:rPr>
              <w:t>定量の骨子（選定データより）</w:t>
            </w:r>
          </w:p>
        </w:tc>
        <w:tc>
          <w:tcPr>
            <w:tcW w:type="dxa" w:w="3515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5"/>
              </w:rPr>
              <w:t>事業概要・堀の根拠（記入）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9470 GAKKEN HOLDIN</w:t>
              <w:br/>
              <w:t>（Information &amp; ）</w:t>
            </w:r>
          </w:p>
        </w:tc>
        <w:tc>
          <w:tcPr>
            <w:tcW w:type="dxa" w:w="374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完成した堀／T=73・E=22／証拠L3／比率6.9%。守の全関門を通過。割安×優良×健全の完成した堀</w:t>
            </w:r>
          </w:p>
        </w:tc>
        <w:tc>
          <w:tcPr>
            <w:tcW w:type="dxa" w:w="351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［要ＩＲ確認：事業概要・堀の根拠・リスク］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3539 JM HOLDINGS C</w:t>
              <w:br/>
              <w:t>（Retail Trade）</w:t>
            </w:r>
          </w:p>
        </w:tc>
        <w:tc>
          <w:tcPr>
            <w:tcW w:type="dxa" w:w="3742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完成した堀／T=72・E=19／証拠L3／比率5.6%。守の全関門を通過。割安×優良×健全の完成した堀</w:t>
            </w:r>
          </w:p>
        </w:tc>
        <w:tc>
          <w:tcPr>
            <w:tcW w:type="dxa" w:w="3515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［要ＩＲ確認：事業概要・堀の根拠・リスク］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6430 DAIKOKU DENKI</w:t>
              <w:br/>
              <w:t>（Machinery）</w:t>
            </w:r>
          </w:p>
        </w:tc>
        <w:tc>
          <w:tcPr>
            <w:tcW w:type="dxa" w:w="374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完成した堀／T=74・E=19／証拠L3／比率5.4%。守の全関門を通過。割安×優良×健全の完成した堀</w:t>
            </w:r>
          </w:p>
        </w:tc>
        <w:tc>
          <w:tcPr>
            <w:tcW w:type="dxa" w:w="351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［要ＩＲ確認：事業概要・堀の根拠・リスク］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4350 MEDICAL SYSTE</w:t>
              <w:br/>
              <w:t>（Retail Trade）</w:t>
            </w:r>
          </w:p>
        </w:tc>
        <w:tc>
          <w:tcPr>
            <w:tcW w:type="dxa" w:w="3742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完成した堀／T=72・E=22／証拠L1／比率4.2%。守の全関門を通過。割安×優良×健全の完成した堀</w:t>
            </w:r>
          </w:p>
        </w:tc>
        <w:tc>
          <w:tcPr>
            <w:tcW w:type="dxa" w:w="3515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［要ＩＲ確認：事業概要・堀の根拠・リスク］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7803 Bushiroad Inc</w:t>
              <w:br/>
              <w:t>（Other Products）</w:t>
            </w:r>
          </w:p>
        </w:tc>
        <w:tc>
          <w:tcPr>
            <w:tcW w:type="dxa" w:w="374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完成した堀／T=76・E=17／証拠L3／比率2.9%。守の全関門を通過。割安×優良×健全の完成した堀</w:t>
            </w:r>
          </w:p>
        </w:tc>
        <w:tc>
          <w:tcPr>
            <w:tcW w:type="dxa" w:w="351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［要ＩＲ確認：事業概要・堀の根拠・リスク］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5902 HOKKAN HOLDIN</w:t>
              <w:br/>
              <w:t>（Metal Products）</w:t>
            </w:r>
          </w:p>
        </w:tc>
        <w:tc>
          <w:tcPr>
            <w:tcW w:type="dxa" w:w="3742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変わる堀／T=82・E=14／証拠L3／比率6.7%。割安かつ資本効率が改善中。還元余力あり＝変わる堀</w:t>
            </w:r>
          </w:p>
        </w:tc>
        <w:tc>
          <w:tcPr>
            <w:tcW w:type="dxa" w:w="3515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［要ＩＲ確認：事業概要・堀の根拠・リスク］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 xml:space="preserve">9828 Genki Global </w:t>
              <w:br/>
              <w:t>（Retail Trade）</w:t>
            </w:r>
          </w:p>
        </w:tc>
        <w:tc>
          <w:tcPr>
            <w:tcW w:type="dxa" w:w="374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変わる堀／T=80・E=20／証拠L3／比率5.5%。割安かつ資本効率が改善中。還元余力あり＝変わる堀</w:t>
            </w:r>
          </w:p>
        </w:tc>
        <w:tc>
          <w:tcPr>
            <w:tcW w:type="dxa" w:w="351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［要ＩＲ確認：事業概要・堀の根拠・リスク］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8037 KAMEI CORPORA</w:t>
              <w:br/>
              <w:t>（Wholesale Trad）</w:t>
            </w:r>
          </w:p>
        </w:tc>
        <w:tc>
          <w:tcPr>
            <w:tcW w:type="dxa" w:w="3742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変わる堀／T=79・E=16／証拠L3／比率4.8%。割安かつ資本効率が改善中。還元余力あり＝変わる堀</w:t>
            </w:r>
          </w:p>
        </w:tc>
        <w:tc>
          <w:tcPr>
            <w:tcW w:type="dxa" w:w="3515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［要ＩＲ確認：事業概要・堀の根拠・リスク］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 xml:space="preserve">3863 Nippon Paper </w:t>
              <w:br/>
              <w:t>（Pulp and Paper）</w:t>
            </w:r>
          </w:p>
        </w:tc>
        <w:tc>
          <w:tcPr>
            <w:tcW w:type="dxa" w:w="374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変わる堀／T=79・E=14／証拠L3／比率4.3%。割安かつ資本効率が改善中。還元余力あり＝変わる堀</w:t>
            </w:r>
          </w:p>
        </w:tc>
        <w:tc>
          <w:tcPr>
            <w:tcW w:type="dxa" w:w="351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［要ＩＲ確認：事業概要・堀の根拠・リスク］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5233 TAIHEIYO CEME</w:t>
              <w:br/>
              <w:t>（Glass and Cera）</w:t>
            </w:r>
          </w:p>
        </w:tc>
        <w:tc>
          <w:tcPr>
            <w:tcW w:type="dxa" w:w="3742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変わる堀／T=80・E=16／証拠L3／比率3.7%。割安かつ資本効率が改善中。還元余力あり＝変わる堀</w:t>
            </w:r>
          </w:p>
        </w:tc>
        <w:tc>
          <w:tcPr>
            <w:tcW w:type="dxa" w:w="3515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［要ＩＲ確認：事業概要・堀の根拠・リスク］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6368 ORGANO CORPOR</w:t>
              <w:br/>
              <w:t>（Machinery）</w:t>
            </w:r>
          </w:p>
        </w:tc>
        <w:tc>
          <w:tcPr>
            <w:tcW w:type="dxa" w:w="374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生まれる堀／T=67・E=74／証拠L3／比率6.9%。AI基盤への実需接続を証拠水準L2以上で確認＝生まれる堀</w:t>
            </w:r>
          </w:p>
        </w:tc>
        <w:tc>
          <w:tcPr>
            <w:tcW w:type="dxa" w:w="351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［要ＩＲ確認：事業概要・堀の根拠・リスク］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6526 Socionext Inc</w:t>
              <w:br/>
              <w:t>（Electric Appli）</w:t>
            </w:r>
          </w:p>
        </w:tc>
        <w:tc>
          <w:tcPr>
            <w:tcW w:type="dxa" w:w="3742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生まれる堀／T=73・E=64／証拠L2／比率4.9%。AI基盤への実需接続を証拠水準L2以上で確認＝生まれる堀</w:t>
            </w:r>
          </w:p>
        </w:tc>
        <w:tc>
          <w:tcPr>
            <w:tcW w:type="dxa" w:w="3515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［要ＩＲ確認：事業概要・堀の根拠・リスク］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6920 Lasertec Corp</w:t>
              <w:br/>
              <w:t>（Electric Appli）</w:t>
            </w:r>
          </w:p>
        </w:tc>
        <w:tc>
          <w:tcPr>
            <w:tcW w:type="dxa" w:w="374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生まれる堀／T=66・E=73／証拠L2／比率4.8%。AI基盤への実需接続を証拠水準L2以上で確認＝生まれる堀</w:t>
            </w:r>
          </w:p>
        </w:tc>
        <w:tc>
          <w:tcPr>
            <w:tcW w:type="dxa" w:w="351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［要ＩＲ確認：事業概要・堀の根拠・リスク］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6315 TOWA CORPORAT</w:t>
              <w:br/>
              <w:t>（Machinery）</w:t>
            </w:r>
          </w:p>
        </w:tc>
        <w:tc>
          <w:tcPr>
            <w:tcW w:type="dxa" w:w="3742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生まれる堀／T=55・E=73／証拠L3／比率4.3%。AI基盤への実需接続を証拠水準L2以上で確認＝生まれる堀</w:t>
            </w:r>
          </w:p>
        </w:tc>
        <w:tc>
          <w:tcPr>
            <w:tcW w:type="dxa" w:w="3515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［要ＩＲ確認：事業概要・堀の根拠・リスク］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5803 Fujikura Ltd.</w:t>
              <w:br/>
              <w:t>（Nonferrous Met）</w:t>
            </w:r>
          </w:p>
        </w:tc>
        <w:tc>
          <w:tcPr>
            <w:tcW w:type="dxa" w:w="374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生まれる堀／T=65・E=52／証拠L2／比率4.0%。AI基盤への実需接続を証拠水準L2以上で確認＝生まれる堀</w:t>
            </w:r>
          </w:p>
        </w:tc>
        <w:tc>
          <w:tcPr>
            <w:tcW w:type="dxa" w:w="351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［要ＩＲ確認：事業概要・堀の根拠・リスク］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9474 ZENRIN CO.,LT</w:t>
              <w:br/>
              <w:t>（Information &amp; ）</w:t>
            </w:r>
          </w:p>
        </w:tc>
        <w:tc>
          <w:tcPr>
            <w:tcW w:type="dxa" w:w="3742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両立型／T=68・E=78／証拠L3／比率7.5%。変わる堀と生まれる堀の両立を min 式で確認</w:t>
            </w:r>
          </w:p>
        </w:tc>
        <w:tc>
          <w:tcPr>
            <w:tcW w:type="dxa" w:w="3515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［要ＩＲ確認：事業概要・堀の根拠・リスク］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6841 YOKOGAWA ELEC</w:t>
              <w:br/>
              <w:t>（Electric Appli）</w:t>
            </w:r>
          </w:p>
        </w:tc>
        <w:tc>
          <w:tcPr>
            <w:tcW w:type="dxa" w:w="374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両立型／T=73・E=79／証拠L3／比率4.5%。変わる堀と生まれる堀の両立を min 式で確認</w:t>
            </w:r>
          </w:p>
        </w:tc>
        <w:tc>
          <w:tcPr>
            <w:tcW w:type="dxa" w:w="351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［要ＩＲ確認：事業概要・堀の根拠・リスク］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3697 SHIFT Inc.</w:t>
              <w:br/>
              <w:t>（Information &amp; ）</w:t>
            </w:r>
          </w:p>
        </w:tc>
        <w:tc>
          <w:tcPr>
            <w:tcW w:type="dxa" w:w="3742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両立型／T=61・E=92／証拠L2／比率3.0%。変わる堀と生まれる堀の両立を min 式で確認</w:t>
            </w:r>
          </w:p>
        </w:tc>
        <w:tc>
          <w:tcPr>
            <w:tcW w:type="dxa" w:w="3515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［要ＩＲ確認：事業概要・堀の根拠・リスク］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2112 Ensuiko Sugar</w:t>
              <w:br/>
              <w:t>（Foods）</w:t>
            </w:r>
          </w:p>
        </w:tc>
        <w:tc>
          <w:tcPr>
            <w:tcW w:type="dxa" w:w="374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分散役／T=77・E=10／証拠L3／比率6.4%。業種・テーマの分散を担う堅実枠</w:t>
            </w:r>
          </w:p>
        </w:tc>
        <w:tc>
          <w:tcPr>
            <w:tcW w:type="dxa" w:w="351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［要ＩＲ確認：事業概要・堀の根拠・リスク］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 xml:space="preserve">3089 Techno Alpha </w:t>
              <w:br/>
              <w:t>（Wholesale Trad）</w:t>
            </w:r>
          </w:p>
        </w:tc>
        <w:tc>
          <w:tcPr>
            <w:tcW w:type="dxa" w:w="3742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分散役／T=79・E=16／証拠L3／比率3.6%。業種・テーマの分散を担う堅実枠</w:t>
            </w:r>
          </w:p>
        </w:tc>
        <w:tc>
          <w:tcPr>
            <w:tcW w:type="dxa" w:w="3515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5"/>
              </w:rPr>
              <w:t>［要ＩＲ確認：事業概要・堀の根拠・リスク］</w:t>
            </w:r>
          </w:p>
        </w:tc>
      </w:tr>
    </w:tbl>
    <w:p>
      <w:pPr>
        <w:spacing w:before="0" w:after="80" w:line="307" w:lineRule="auto"/>
        <w:ind w:firstLine="0" w:firstLineChars="0"/>
      </w:pPr>
    </w:p>
    <w:p>
      <w:pPr>
        <w:spacing w:before="0" w:after="160" w:line="307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16"/>
        </w:rPr>
        <w:t>図表 Ⅲ-2　銘柄紹介（左2列は選定データから自動記載、右列は提出者がＩＲ確認のうえ記入）</w:t>
      </w:r>
    </w:p>
    <w:p>
      <w:pPr>
        <w:keepNext/>
        <w:spacing w:before="180" w:after="80" w:line="307" w:lineRule="auto"/>
        <w:ind w:firstLine="0" w:firstLineChars="0"/>
        <w:shd w:val="clear" w:color="auto" w:fill="DCE8E4"/>
        <w:pBdr>
          <w:left w:val="single" w:sz="28" w:space="3" w:color="16324F"/>
        </w:pBdr>
      </w:pPr>
      <w:r>
        <w:rPr>
          <w:rFonts w:ascii="ＭＳ ゴシック" w:hAnsi="ＭＳ ゴシック" w:eastAsia="ＭＳ ゴシック"/>
          <w:b/>
          <w:color w:val="16324F"/>
          <w:sz w:val="23"/>
        </w:rPr>
        <w:t xml:space="preserve">　3．パフォーマンスの分析 ― 成績を誇る代わりに、壊れにくさを確かめる</w:t>
      </w:r>
    </w:p>
    <w:p>
      <w:pPr>
        <w:spacing w:after="80" w:line="312" w:lineRule="auto"/>
        <w:jc w:val="both"/>
        <w:ind w:firstLineChars="100" w:firstLine="200"/>
      </w:pPr>
      <w:r>
        <w:rPr>
          <w:rFonts w:ascii="Times New Roman" w:hAnsi="Times New Roman" w:eastAsia="ＭＳ 明朝"/>
          <w:b w:val="0"/>
          <w:color w:val="000000"/>
          <w:sz w:val="20"/>
        </w:rPr>
        <w:t>私たちはこのポートフォリオの成績を予測しない。構築に使ったのと同じ期間で成績を測っても（標本内・in-sample）、それは未来の証明にならないからだ。その代わり、過去3年のデータで「リスクの姿」を確かめた。年率の値動きは21.9%、最大の下落は−24.9%で市場（TOPIX −23.3%）並み、市場連動度ベータは0.925。リターンの牽引役は生まれる堀（フジクラ・オルガノなど）で、完成した堀は安定の土台に徹していた。割安株を外すと値動きが35.5%へ悪化することも分かった——変わる堀は、攻めではなく緩衝材として効いている。</w:t>
      </w:r>
    </w:p>
    <w:p>
      <w:pPr>
        <w:spacing w:after="80" w:line="312" w:lineRule="auto"/>
        <w:jc w:val="both"/>
        <w:ind w:firstLineChars="100" w:firstLine="200"/>
      </w:pPr>
      <w:r>
        <w:rPr>
          <w:rFonts w:ascii="Times New Roman" w:hAnsi="Times New Roman" w:eastAsia="ＭＳ 明朝"/>
          <w:b w:val="0"/>
          <w:color w:val="000000"/>
          <w:sz w:val="20"/>
        </w:rPr>
        <w:t>誠実のために記す。直近1年では市場に負けている（超過リターンの安定度ＩＲ＝−0.405）。それでも私たちがこの20社を持てるのは、選定が成績ではなく、三世代の堀という構造と証拠に基づくからである。</w:t>
      </w:r>
    </w:p>
    <w:p>
      <w:pPr>
        <w:keepNext/>
        <w:spacing w:before="120" w:after="40" w:line="307" w:lineRule="auto"/>
        <w:ind w:firstLine="0" w:firstLineChars="0"/>
      </w:pPr>
      <w:r>
        <w:rPr>
          <w:rFonts w:ascii="ＭＳ ゴシック" w:hAnsi="ＭＳ ゴシック" w:eastAsia="ＭＳ ゴシック"/>
          <w:b/>
          <w:color w:val="16324F"/>
          <w:sz w:val="19"/>
        </w:rPr>
        <w:t>図表 Ⅲ-3　過去3年の累積と下落（標本内・リスク特性の確認）</w:t>
      </w:r>
    </w:p>
    <w:p>
      <w:pPr>
        <w:jc w:val="center"/>
        <w:keepNext/>
        <w:ind w:firstLine="0" w:firstLineChars="0"/>
      </w:pPr>
      <w:r>
        <w:drawing>
          <wp:inline xmlns:a="http://schemas.openxmlformats.org/drawingml/2006/main" xmlns:pic="http://schemas.openxmlformats.org/drawingml/2006/picture">
            <wp:extent cx="5400000" cy="40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down_ch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7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16"/>
        </w:rPr>
        <w:t>注：成績の主張ではない。ベンチマークの1306.Tは未調整の株式分割（2026-03-30）を補正済み。</w:t>
      </w:r>
    </w:p>
    <w:p>
      <w:pPr>
        <w:keepNext/>
        <w:spacing w:before="120" w:after="40" w:line="307" w:lineRule="auto"/>
        <w:ind w:firstLine="0" w:firstLineChars="0"/>
      </w:pPr>
      <w:r>
        <w:rPr>
          <w:rFonts w:ascii="ＭＳ ゴシック" w:hAnsi="ＭＳ ゴシック" w:eastAsia="ＭＳ ゴシック"/>
          <w:b/>
          <w:color w:val="16324F"/>
          <w:sz w:val="19"/>
        </w:rPr>
        <w:t>図表 Ⅲ-4　役割別の寄与 ― 生まれる堀が牽引、完成した堀は土台</w:t>
      </w:r>
    </w:p>
    <w:p>
      <w:pPr>
        <w:jc w:val="center"/>
        <w:keepNext/>
        <w:ind w:firstLine="0" w:firstLineChars="0"/>
      </w:pPr>
      <w:r>
        <w:drawing>
          <wp:inline xmlns:a="http://schemas.openxmlformats.org/drawingml/2006/main" xmlns:pic="http://schemas.openxmlformats.org/drawingml/2006/picture">
            <wp:extent cx="5400000" cy="30857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_con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8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7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16"/>
        </w:rPr>
        <w:t>注：過去3年・標本内。出所：phase5_validation_summary.json。</w:t>
      </w:r>
    </w:p>
    <w:p>
      <w:r>
        <w:br w:type="page"/>
      </w:r>
    </w:p>
    <w:p>
      <w:pPr>
        <w:keepNext/>
        <w:spacing w:before="240" w:after="100" w:line="307" w:lineRule="auto"/>
        <w:ind w:firstLine="0" w:firstLineChars="0"/>
        <w:shd w:val="clear" w:color="auto" w:fill="16324F"/>
      </w:pPr>
      <w:r>
        <w:rPr>
          <w:rFonts w:ascii="ＭＳ ゴシック" w:hAnsi="ＭＳ ゴシック" w:eastAsia="ＭＳ ゴシック"/>
          <w:b/>
          <w:color w:val="FFFFFF"/>
          <w:sz w:val="28"/>
        </w:rPr>
        <w:t xml:space="preserve">　Ⅳ．インタビュー・アンケート</w:t>
      </w:r>
    </w:p>
    <w:p>
      <w:pPr>
        <w:spacing w:after="80" w:line="312" w:lineRule="auto"/>
        <w:jc w:val="both"/>
        <w:ind w:firstLineChars="100" w:firstLine="200"/>
      </w:pPr>
      <w:r>
        <w:rPr>
          <w:rFonts w:ascii="Times New Roman" w:hAnsi="Times New Roman" w:eastAsia="ＭＳ 明朝"/>
          <w:b w:val="0"/>
          <w:color w:val="000000"/>
          <w:sz w:val="20"/>
        </w:rPr>
        <w:t>スクリーニングは開示データに基づく。その仮説が実態と合っているかを、投資先企業への取材で確かめる。以下に、選定理由から導いた質問草案を用意した（実施記録は記入欄）。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948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7"/>
              </w:rPr>
              <w:t>対象（役割）</w:t>
            </w:r>
          </w:p>
        </w:tc>
        <w:tc>
          <w:tcPr>
            <w:tcW w:type="dxa" w:w="6463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17"/>
              </w:rPr>
              <w:t>分析から導いた質問草案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5803 フジクラ（生まれる堀）</w:t>
            </w:r>
          </w:p>
        </w:tc>
        <w:tc>
          <w:tcPr>
            <w:tcW w:type="dxa" w:w="6463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①データセンター向け光配線の受注動向と生産能力投資の計画　②AI需要が一巡した場合の下支え事業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6368 オルガノ（生まれる堀）</w:t>
            </w:r>
          </w:p>
        </w:tc>
        <w:tc>
          <w:tcPr>
            <w:tcW w:type="dxa" w:w="6463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①半導体向け超純水装置の需要見通し　②価格決定力（ボトルネック性）の源泉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9470 学研ＨＤ（完成した堀）</w:t>
            </w:r>
          </w:p>
        </w:tc>
        <w:tc>
          <w:tcPr>
            <w:tcW w:type="dxa" w:w="6463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①教育×医療福祉の資本効率改善の進捗　②株主還元方針の考え方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9474 ゼンリン（両立型）</w:t>
            </w:r>
          </w:p>
        </w:tc>
        <w:tc>
          <w:tcPr>
            <w:tcW w:type="dxa" w:w="6463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①地図データベースの参入障壁　②AI時代におけるデータ資産の収益化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3697 ＳＨＩＦＴ（両立型）</w:t>
            </w:r>
          </w:p>
        </w:tc>
        <w:tc>
          <w:tcPr>
            <w:tcW w:type="dxa" w:w="6463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17"/>
              </w:rPr>
              <w:t>①ソフトウェア品質保証の需要構造　②AI活用による事業機会と脅威</w:t>
            </w:r>
          </w:p>
        </w:tc>
      </w:tr>
    </w:tbl>
    <w:p>
      <w:pPr>
        <w:spacing w:before="0" w:after="80" w:line="307" w:lineRule="auto"/>
        <w:ind w:firstLine="0" w:firstLineChars="0"/>
      </w:pPr>
    </w:p>
    <w:p>
      <w:pPr>
        <w:keepNext/>
        <w:spacing w:before="120" w:after="60" w:line="307" w:lineRule="auto"/>
        <w:ind w:firstLine="0" w:firstLineChars="0"/>
        <w:pBdr>
          <w:bottom w:val="dashed" w:sz="10" w:space="2" w:color="2F6D5F"/>
        </w:pBdr>
      </w:pPr>
      <w:r>
        <w:rPr>
          <w:rFonts w:ascii="ＭＳ ゴシック" w:hAnsi="ＭＳ ゴシック" w:eastAsia="ＭＳ ゴシック"/>
          <w:b/>
          <w:color w:val="2F6D5F"/>
          <w:sz w:val="21"/>
        </w:rPr>
        <w:t>実施記録（記入）</w:t>
      </w:r>
    </w:p>
    <w:p>
      <w:pPr>
        <w:spacing w:before="0" w:after="40" w:line="307" w:lineRule="auto"/>
        <w:ind w:firstLine="0" w:firstLineChars="0"/>
      </w:pPr>
      <w:r>
        <w:rPr>
          <w:rFonts w:ascii="Times New Roman" w:hAnsi="Times New Roman" w:eastAsia="ＭＳ 明朝"/>
          <w:b/>
          <w:color w:val="000000"/>
          <w:sz w:val="20"/>
        </w:rPr>
        <w:t>・対象者（企業名・部署・役職）：</w:t>
      </w:r>
      <w:r>
        <w:rPr>
          <w:rFonts w:ascii="Times New Roman" w:hAnsi="Times New Roman" w:eastAsia="ＭＳ 明朝"/>
          <w:b w:val="0"/>
          <w:color w:val="888888"/>
          <w:sz w:val="20"/>
        </w:rPr>
        <w:t>［記入］</w:t>
      </w:r>
    </w:p>
    <w:p>
      <w:pPr>
        <w:spacing w:before="0" w:after="40" w:line="307" w:lineRule="auto"/>
        <w:ind w:firstLine="0" w:firstLineChars="0"/>
      </w:pPr>
      <w:r>
        <w:rPr>
          <w:rFonts w:ascii="Times New Roman" w:hAnsi="Times New Roman" w:eastAsia="ＭＳ 明朝"/>
          <w:b/>
          <w:color w:val="000000"/>
          <w:sz w:val="20"/>
        </w:rPr>
        <w:t>・実施日・実施方法：</w:t>
      </w:r>
      <w:r>
        <w:rPr>
          <w:rFonts w:ascii="Times New Roman" w:hAnsi="Times New Roman" w:eastAsia="ＭＳ 明朝"/>
          <w:b w:val="0"/>
          <w:color w:val="888888"/>
          <w:sz w:val="20"/>
        </w:rPr>
        <w:t>［記入］</w:t>
      </w:r>
    </w:p>
    <w:p>
      <w:pPr>
        <w:spacing w:before="0" w:after="40" w:line="307" w:lineRule="auto"/>
        <w:ind w:firstLine="0" w:firstLineChars="0"/>
      </w:pPr>
      <w:r>
        <w:rPr>
          <w:rFonts w:ascii="Times New Roman" w:hAnsi="Times New Roman" w:eastAsia="ＭＳ 明朝"/>
          <w:b/>
          <w:color w:val="000000"/>
          <w:sz w:val="20"/>
        </w:rPr>
        <w:t>・質問と回答：</w:t>
      </w:r>
      <w:r>
        <w:rPr>
          <w:rFonts w:ascii="Times New Roman" w:hAnsi="Times New Roman" w:eastAsia="ＭＳ 明朝"/>
          <w:b w:val="0"/>
          <w:color w:val="888888"/>
          <w:sz w:val="20"/>
        </w:rPr>
        <w:t>［記入］</w:t>
      </w:r>
    </w:p>
    <w:p>
      <w:pPr>
        <w:spacing w:before="0" w:after="40" w:line="307" w:lineRule="auto"/>
        <w:ind w:firstLine="0" w:firstLineChars="0"/>
      </w:pPr>
      <w:r>
        <w:rPr>
          <w:rFonts w:ascii="Times New Roman" w:hAnsi="Times New Roman" w:eastAsia="ＭＳ 明朝"/>
          <w:b/>
          <w:color w:val="000000"/>
          <w:sz w:val="20"/>
        </w:rPr>
        <w:t>・分析への反映（仮説はどう変わったか）：</w:t>
      </w:r>
      <w:r>
        <w:rPr>
          <w:rFonts w:ascii="Times New Roman" w:hAnsi="Times New Roman" w:eastAsia="ＭＳ 明朝"/>
          <w:b w:val="0"/>
          <w:color w:val="888888"/>
          <w:sz w:val="20"/>
        </w:rPr>
        <w:t>［記入］</w:t>
      </w:r>
    </w:p>
    <w:p>
      <w:pPr>
        <w:spacing w:before="0" w:after="120" w:line="307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16"/>
        </w:rPr>
        <w:t>（未実施の場合は本章を「今後の課題」とし、その旨を明記する。回答の創作はしない。）</w:t>
      </w:r>
    </w:p>
    <w:p>
      <w:pPr>
        <w:keepNext/>
        <w:spacing w:before="240" w:after="100" w:line="307" w:lineRule="auto"/>
        <w:ind w:firstLine="0" w:firstLineChars="0"/>
        <w:shd w:val="clear" w:color="auto" w:fill="16324F"/>
      </w:pPr>
      <w:r>
        <w:rPr>
          <w:rFonts w:ascii="ＭＳ ゴシック" w:hAnsi="ＭＳ ゴシック" w:eastAsia="ＭＳ ゴシック"/>
          <w:b/>
          <w:color w:val="FFFFFF"/>
          <w:sz w:val="28"/>
        </w:rPr>
        <w:t xml:space="preserve">　Ⅴ．日経ＳＴＯＣＫリーグを通じて学んだこと</w:t>
      </w:r>
    </w:p>
    <w:p>
      <w:pPr>
        <w:spacing w:before="0" w:after="40" w:line="307" w:lineRule="auto"/>
        <w:ind w:firstLine="0" w:firstLineChars="0"/>
      </w:pPr>
      <w:r>
        <w:rPr>
          <w:rFonts w:ascii="Times New Roman" w:hAnsi="Times New Roman" w:eastAsia="ＭＳ 明朝"/>
          <w:b/>
          <w:color w:val="000000"/>
          <w:sz w:val="20"/>
        </w:rPr>
        <w:t>・仮説が変わった瞬間（例：成績ではなく構造で持つ、という発想への転換）：</w:t>
      </w:r>
      <w:r>
        <w:rPr>
          <w:rFonts w:ascii="Times New Roman" w:hAnsi="Times New Roman" w:eastAsia="ＭＳ 明朝"/>
          <w:b w:val="0"/>
          <w:color w:val="888888"/>
          <w:sz w:val="20"/>
        </w:rPr>
        <w:t>［記入］</w:t>
      </w:r>
    </w:p>
    <w:p>
      <w:pPr>
        <w:spacing w:before="0" w:after="40" w:line="307" w:lineRule="auto"/>
        <w:ind w:firstLine="0" w:firstLineChars="0"/>
      </w:pPr>
      <w:r>
        <w:rPr>
          <w:rFonts w:ascii="Times New Roman" w:hAnsi="Times New Roman" w:eastAsia="ＭＳ 明朝"/>
          <w:b/>
          <w:color w:val="000000"/>
          <w:sz w:val="20"/>
        </w:rPr>
        <w:t>・うまくいかなかったこと・工夫したこと：</w:t>
      </w:r>
      <w:r>
        <w:rPr>
          <w:rFonts w:ascii="Times New Roman" w:hAnsi="Times New Roman" w:eastAsia="ＭＳ 明朝"/>
          <w:b w:val="0"/>
          <w:color w:val="888888"/>
          <w:sz w:val="20"/>
        </w:rPr>
        <w:t>［記入］</w:t>
      </w:r>
    </w:p>
    <w:p>
      <w:pPr>
        <w:spacing w:before="0" w:after="40" w:line="307" w:lineRule="auto"/>
        <w:ind w:firstLine="0" w:firstLineChars="0"/>
      </w:pPr>
      <w:r>
        <w:rPr>
          <w:rFonts w:ascii="Times New Roman" w:hAnsi="Times New Roman" w:eastAsia="ＭＳ 明朝"/>
          <w:b/>
          <w:color w:val="000000"/>
          <w:sz w:val="20"/>
        </w:rPr>
        <w:t>・チームでの役割分担と学び：</w:t>
      </w:r>
      <w:r>
        <w:rPr>
          <w:rFonts w:ascii="Times New Roman" w:hAnsi="Times New Roman" w:eastAsia="ＭＳ 明朝"/>
          <w:b w:val="0"/>
          <w:color w:val="888888"/>
          <w:sz w:val="20"/>
        </w:rPr>
        <w:t>［記入］</w:t>
      </w:r>
    </w:p>
    <w:p>
      <w:pPr>
        <w:spacing w:before="0" w:after="40" w:line="307" w:lineRule="auto"/>
        <w:ind w:firstLine="0" w:firstLineChars="0"/>
      </w:pPr>
      <w:r>
        <w:rPr>
          <w:rFonts w:ascii="Times New Roman" w:hAnsi="Times New Roman" w:eastAsia="ＭＳ 明朝"/>
          <w:b/>
          <w:color w:val="000000"/>
          <w:sz w:val="20"/>
        </w:rPr>
        <w:t>・今後の課題（単元未満株の扱い、証拠水準の自動化など）：</w:t>
      </w:r>
      <w:r>
        <w:rPr>
          <w:rFonts w:ascii="Times New Roman" w:hAnsi="Times New Roman" w:eastAsia="ＭＳ 明朝"/>
          <w:b w:val="0"/>
          <w:color w:val="888888"/>
          <w:sz w:val="20"/>
        </w:rPr>
        <w:t>［記入］</w:t>
      </w:r>
    </w:p>
    <w:p>
      <w:pPr>
        <w:spacing w:before="0" w:after="120" w:line="307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16"/>
        </w:rPr>
        <w:t>（提出者の実体験として記入する。下書きの創作はしない。）</w:t>
      </w:r>
    </w:p>
    <w:p>
      <w:pPr>
        <w:keepNext/>
        <w:spacing w:before="240" w:after="100" w:line="307" w:lineRule="auto"/>
        <w:ind w:firstLine="0" w:firstLineChars="0"/>
        <w:shd w:val="clear" w:color="auto" w:fill="16324F"/>
      </w:pPr>
      <w:r>
        <w:rPr>
          <w:rFonts w:ascii="ＭＳ ゴシック" w:hAnsi="ＭＳ ゴシック" w:eastAsia="ＭＳ ゴシック"/>
          <w:b/>
          <w:color w:val="FFFFFF"/>
          <w:sz w:val="28"/>
        </w:rPr>
        <w:t xml:space="preserve">　参考文献</w:t>
      </w:r>
    </w:p>
    <w:p>
      <w:pPr>
        <w:keepNext/>
        <w:spacing w:before="120" w:after="60" w:line="307" w:lineRule="auto"/>
        <w:ind w:firstLine="0" w:firstLineChars="0"/>
        <w:pBdr>
          <w:bottom w:val="dashed" w:sz="10" w:space="2" w:color="2F6D5F"/>
        </w:pBdr>
      </w:pPr>
      <w:r>
        <w:rPr>
          <w:rFonts w:ascii="ＭＳ ゴシック" w:hAnsi="ＭＳ ゴシック" w:eastAsia="ＭＳ ゴシック"/>
          <w:b/>
          <w:color w:val="2F6D5F"/>
          <w:sz w:val="21"/>
        </w:rPr>
        <w:t>英語文献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17"/>
        </w:rPr>
        <w:t>Basu, S. (1977) Investment Performance of Common Stocks in Relation to Their Price-Earnings Ratios. The Journal of Finance, 32(3), pp.663-682.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17"/>
        </w:rPr>
        <w:t>Fama, E. F., &amp; French, K. R. (1993) Common Risk Factors in the Returns on Stocks and Bonds. Journal of Financial Economics, 33(1), pp.3-56.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17"/>
        </w:rPr>
        <w:t>Frazzini, A., Kabiller, D., &amp; Pedersen, L. H. (2018) Buffett's Alpha. Financial Analysts Journal, 74(4), pp.35-55.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17"/>
        </w:rPr>
        <w:t>Jensen, M. C. (1968) The Performance of Mutual Funds in the Period 1945-1964. The Journal of Finance, 23(2), pp.389-416.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17"/>
        </w:rPr>
        <w:t>Novy-Marx, R. (2013) The Other Side of Value: The Gross Profitability Premium. Journal of Financial Economics, 108(1), pp.1-28.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17"/>
        </w:rPr>
        <w:t>Piotroski, J. D. (2000) Value Investing. Journal of Accounting Research, 38, Supplement, pp.1-41.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17"/>
        </w:rPr>
        <w:t>Sharpe, W. F. (1966) Mutual Fund Performance. The Journal of Business, 39(1), pp.119-138.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17"/>
        </w:rPr>
        <w:t>Sloan, R. G. (1996) Do Stock Prices Fully Reflect Information in Accruals and Cash Flows about Future Earnings? The Accounting Review, 71(3), pp.289-315.</w:t>
      </w:r>
    </w:p>
    <w:p>
      <w:pPr>
        <w:keepNext/>
        <w:spacing w:before="120" w:after="60" w:line="307" w:lineRule="auto"/>
        <w:ind w:firstLine="0" w:firstLineChars="0"/>
        <w:pBdr>
          <w:bottom w:val="dashed" w:sz="10" w:space="2" w:color="2F6D5F"/>
        </w:pBdr>
      </w:pPr>
      <w:r>
        <w:rPr>
          <w:rFonts w:ascii="ＭＳ ゴシック" w:hAnsi="ＭＳ ゴシック" w:eastAsia="ＭＳ ゴシック"/>
          <w:b/>
          <w:color w:val="2F6D5F"/>
          <w:sz w:val="21"/>
        </w:rPr>
        <w:t>日本語文献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17"/>
        </w:rPr>
        <w:t>経済産業省（2014）『持続的成長への競争力とインセンティブ（伊藤レポート）』経済産業省．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17"/>
        </w:rPr>
        <w:t>東京証券取引所（2023）「資本コストや株価を意識した経営の実現に向けた対応について」株式会社東京証券取引所．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17"/>
        </w:rPr>
        <w:t>バフェット, W.（1989）「株主への手紙」Berkshire Hathaway Inc.（筆者訳）．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17"/>
        </w:rPr>
        <w:t>金融庁「EDINET」，https://disclosure2.edinet-fsa.go.jp/（2026年7月8日）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17"/>
        </w:rPr>
        <w:t>日本取引所グループ「上場会社情報」，https://www.jpx.co.jp/listing/co-search/（2026年7月8日）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  <w:jc w:val="both"/>
      <w:ind w:firstLineChars="100" w:firstLine="180"/>
    </w:pPr>
    <w:rPr>
      <w:rFonts w:ascii="Times New Roman" w:hAnsi="Times New Roman" w:eastAsia="ＭＳ 明朝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jc w:val="left"/>
      <w:outlineLvl w:val="0"/>
      <w:ind w:firstLineChars="0" w:firstLine="0"/>
    </w:pPr>
    <w:rPr>
      <w:rFonts w:asciiTheme="majorHAnsi" w:eastAsiaTheme="majorEastAsia" w:hAnsiTheme="majorHAnsi" w:cstheme="majorBidi" w:ascii="ＭＳ ゴシック" w:hAnsi="ＭＳ ゴシック" w:eastAsia="ＭＳ ゴシック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jc w:val="left"/>
      <w:outlineLvl w:val="1"/>
      <w:ind w:firstLineChars="0" w:firstLine="0"/>
    </w:pPr>
    <w:rPr>
      <w:rFonts w:asciiTheme="majorHAnsi" w:eastAsiaTheme="majorEastAsia" w:hAnsiTheme="majorHAnsi" w:cstheme="majorBidi" w:ascii="ＭＳ ゴシック" w:hAnsi="ＭＳ ゴシック" w:eastAsia="ＭＳ ゴシック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jc w:val="left"/>
      <w:outlineLvl w:val="2"/>
      <w:ind w:firstLineChars="0" w:firstLine="0"/>
    </w:pPr>
    <w:rPr>
      <w:rFonts w:asciiTheme="majorHAnsi" w:eastAsiaTheme="majorEastAsia" w:hAnsiTheme="majorHAnsi" w:cstheme="majorBidi" w:ascii="ＭＳ ゴシック" w:hAnsi="ＭＳ ゴシック" w:eastAsia="ＭＳ ゴシック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jc w:val="left"/>
      <w:outlineLvl w:val="3"/>
      <w:ind w:firstLineChars="0" w:firstLine="0"/>
    </w:pPr>
    <w:rPr>
      <w:rFonts w:asciiTheme="majorHAnsi" w:eastAsiaTheme="majorEastAsia" w:hAnsiTheme="majorHAnsi" w:cstheme="majorBidi" w:ascii="ＭＳ ゴシック" w:hAnsi="ＭＳ ゴシック" w:eastAsia="ＭＳ ゴシック"/>
      <w:b/>
      <w:bCs/>
      <w:i/>
      <w:iCs/>
      <w:color w:val="000000"/>
      <w:sz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