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破離(しゅはり)とは日本の芸道の修行段階で、守＝型を守る・破＝型を破る・離＝独自の境地へ、を指す。守ではバフェットの品質基準(先行研究の式)だけで完成した堀を5社選び、破ではその型を破って割安×変革の会社(変わる堀)を、離では独自の物差しで新しい堀(生まれる堀)を選び、両立型3社・分散役2社を加え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三通りの頑健性検査(品質ゲートの判定の目安を変えること・配分の重み方式・相場局面)で確かめた(詳細は第Ⅱ章末)。</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選ばれない会社を同じ水準の数字の裏づけで選ぶ、③選定が壊れにくい――この三つの設計条件は本文で確かめた。残る④成績は、バフェットの品質基準だけで選んだ20社『新バフェット型』を自作し、先に決めた物差しで比較した。過去データの自己検証では、当時実際に組めた新バフェット型(3年前の会社の大きさで配分した20社)を、リターン・効率・下落の小ささのすべてで上回った(3年で年＋14ポイント。直近1年の差はｔ＝2.16で統計的にも確実)。グレアム型と市場平均(ＴＯＰＩＸ)にも有意に上回った。ただし正直に書く――同じ20社に「上がった後の大きさ」で配分し直した仮想の対照には、3年のリターンで19ポイント届かない(効率と下落の小ささでは上回る)。これはすべて過去の自己検証であり、将来の市場超過の証明ではない――この限界は隠さず記す。</w:t>
      </w:r>
    </w:p>
    <w:p>
      <w:pPr>
        <w:keepNext/>
        <w:spacing w:before="8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3</w:t>
      </w:r>
    </w:p>
    <w:p>
      <w:pPr>
        <w:spacing w:before="0" w:after="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6</w:t>
      </w:r>
    </w:p>
    <w:p>
      <w:pPr>
        <w:spacing w:before="0" w:after="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19</w:t>
      </w:r>
    </w:p>
    <w:p>
      <w:pPr>
        <w:spacing w:before="0" w:after="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26</w:t>
      </w:r>
    </w:p>
    <w:p>
      <w:pPr>
        <w:spacing w:before="0" w:after="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27</w:t>
      </w:r>
    </w:p>
    <w:p>
      <w:pPr>
        <w:spacing w:before="0" w:after="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27</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きっかけは、一つの会社だった。santec Holdings(6777)――光通信の部品をつくる会社である。地味な部品メーカーと見られてきたが、いま、生成ＡＩのデータセンター内をつなぐ高速の光配線の担い手として需要が急拡大している。データが詰まれば計算全体が止まる――その急所を、精密な光の部品技術が握った。完成したはずの部品事業の内側で、ＡＩという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自分が理解できる事業だけを対象にし、理解できない熱狂には乗らない。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「私たちの好みの保有期間は永遠である」(バフェット、1988)。頻繁に売買せず、堀が守る利益の再投資で増やす。</w:t>
      </w:r>
    </w:p>
    <w:p>
      <w:pPr>
        <w:spacing w:after="80" w:line="281" w:lineRule="auto"/>
        <w:jc w:val="both"/>
        <w:ind w:firstLineChars="100" w:firstLine="210"/>
      </w:pPr>
      <w:r>
        <w:rPr>
          <w:rFonts w:ascii="Times New Roman" w:hAnsi="Times New Roman" w:eastAsia="ＭＳ 明朝"/>
          <w:b w:val="0"/>
          <w:color w:val="000000"/>
          <w:sz w:val="21"/>
        </w:rPr>
        <w:t>バフェットの物差しには死角もある。彼が測るのは割安さ・優良さ・値動きの穏やかさ――どれも「いま完成している堀」であり、これから変わる堀・生まれる堀は映らない。私たちが加える視点は三つ――①時間軸(堀の一生を見る)、②証拠主義(言葉ではなく数字の裏づけで測る)、③分散(一つの未来に賭けない)。これ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私たちの追い風となる二つの構造変化</w:t>
      </w:r>
    </w:p>
    <w:p>
      <w:pPr>
        <w:spacing w:after="80" w:line="281" w:lineRule="auto"/>
        <w:jc w:val="both"/>
        <w:ind w:firstLineChars="100" w:firstLine="210"/>
      </w:pPr>
      <w:r>
        <w:rPr>
          <w:rFonts w:ascii="Times New Roman" w:hAnsi="Times New Roman" w:eastAsia="ＭＳ 明朝"/>
          <w:b w:val="0"/>
          <w:color w:val="000000"/>
          <w:sz w:val="21"/>
        </w:rPr>
        <w:t>第一の変化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変化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既製のＡＩ関連スコアは機械的なキーワード照合に頼るため、炊飯器や照明の会社までＡＩ関連として満点に並んでしまう。接点と堀を見分ける仕組み――事業の開示まで遡って実需を確かめる証拠主義――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すでに完成した堀(バフェットの規律で測れる企業)、資本効率改革で変わる堀(割安×改善の証拠を持つ企業)、構造変化から生まれる堀(ＡＩ基盤への実需接続を証拠で示せる企業)。この三世代を一つ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4752000" cy="2582609"/>
            <wp:docPr id="2" name="Picture 2"/>
            <wp:cNvGraphicFramePr>
              <a:graphicFrameLocks noChangeAspect="1"/>
            </wp:cNvGraphicFramePr>
            <a:graphic>
              <a:graphicData uri="http://schemas.openxmlformats.org/drawingml/2006/picture">
                <pic:pic>
                  <pic:nvPicPr>
                    <pic:cNvPr id="0" name="fig1_moat_v10.png"/>
                    <pic:cNvPicPr/>
                  </pic:nvPicPr>
                  <pic:blipFill>
                    <a:blip r:embed="rId11"/>
                    <a:stretch>
                      <a:fillRect/>
                    </a:stretch>
                  </pic:blipFill>
                  <pic:spPr>
                    <a:xfrm>
                      <a:off x="0" y="0"/>
                      <a:ext cx="4752000" cy="2582609"/>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新バフェット型の選定を、リスク調整後の効率(シャープ)と下落の小ささで上回る。過度な集中を避けた三世代の分散が、攻め(リターン)と守り(下落の抑制)の両面で効く――これが、三世代を等しく束ねる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バフェットを超えるということを、確かめられる四つの条件で先に定義しておく。本レポートの残りは、この定義の検証である。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jc w:val="center"/>
            </w:pPr>
            <w:r>
              <w:rPr>
                <w:rFonts w:ascii="Arial" w:hAnsi="Arial" w:eastAsia="ＭＳ ゴシック"/>
                <w:b/>
                <w:color w:val="FFFFFF"/>
                <w:sz w:val="20"/>
              </w:rPr>
              <w:t>条件</w:t>
            </w:r>
          </w:p>
        </w:tc>
        <w:tc>
          <w:tcPr>
            <w:tcW w:type="dxa" w:w="5783"/>
            <w:shd w:val="clear" w:color="auto" w:fill="16324F"/>
          </w:tcPr>
          <w:p>
            <w:pPr>
              <w:spacing w:after="0"/>
              <w:ind w:firstLine="0" w:firstLineChars="0"/>
              <w:jc w:val="center"/>
            </w:pPr>
            <w:r>
              <w:rPr>
                <w:rFonts w:ascii="Arial" w:hAnsi="Arial" w:eastAsia="ＭＳ ゴシック"/>
                <w:b/>
                <w:color w:val="FFFFFF"/>
                <w:sz w:val="20"/>
              </w:rPr>
              <w:t>内容</w:t>
            </w:r>
          </w:p>
        </w:tc>
        <w:tc>
          <w:tcPr>
            <w:tcW w:type="dxa" w:w="1928"/>
            <w:shd w:val="clear" w:color="auto" w:fill="16324F"/>
          </w:tcPr>
          <w:p>
            <w:pPr>
              <w:spacing w:after="0"/>
              <w:ind w:firstLine="0" w:firstLineChars="0"/>
              <w:jc w:val="center"/>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先行研究の式でバフェット流の5社を選び、その5社を実際に20社の中に組み入れる</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バフェットの式では選ばれない会社にも、守の5社と同じ水準の数字の裏づけを要求して選ぶ</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一つの仕掛け・一つのテーマに依存しない。条件を一つ変えても20社中11社以上が維持される</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主対照『新バフェット型』(彼の品質基準だけで選んだ20社。配分は3年前の会社の大きさ)に、リターン・効率・下落の小ささで上回る。グレアム型・市場には有意に上回る。物差しは比較前に宣言</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守=条件①、離=条件②、章末の検査=条件③、第Ⅲ章の対照比較=条件④に対応する(下表)。</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jc w:val="center"/>
            </w:pPr>
            <w:r>
              <w:rPr>
                <w:rFonts w:ascii="Arial" w:hAnsi="Arial" w:eastAsia="ＭＳ ゴシック"/>
                <w:b/>
                <w:color w:val="FFFFFF"/>
                <w:sz w:val="20"/>
              </w:rPr>
              <w:t>段階</w:t>
            </w:r>
          </w:p>
        </w:tc>
        <w:tc>
          <w:tcPr>
            <w:tcW w:type="dxa" w:w="4082"/>
            <w:shd w:val="clear" w:color="auto" w:fill="16324F"/>
          </w:tcPr>
          <w:p>
            <w:pPr>
              <w:spacing w:after="0"/>
              <w:ind w:firstLine="0" w:firstLineChars="0"/>
              <w:jc w:val="center"/>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jc w:val="center"/>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jc w:val="center"/>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型を破り、割安×変革の会社(変わる堀)5社を選ぶ</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(条件②の一部)</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部品は借り物、組み方が独自</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独自性を最後(離)に置く。</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転記ミスがないよう照合して記載した。計算に使ったデータと手順も保存しており、出どころまで遡って確かめられる。</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選ぶ順番として守破離を置いた。本章が選定の中核である。出発点は、金融を除く普通株3,481社。まず全銘柄共通の関所(スクリーニング0)で1,791社に絞り、そこから守(スクリーニング1)・破(同2)・離(同3)の三本の枝がそれぞれ5社を選び、支え役(同4)が両立型3社と分散役2社を加えて、合流した20社が最終ポートフォリオになる。5＋5＋5＋3＋2＝20。本章の書き方は一つだけ徹底する――各スクリーニングの見出しに「何社から何社へ」を必ず書く。まず全体の設計図を一枚で示す。</w:t>
      </w:r>
    </w:p>
    <w:p>
      <w:pPr>
        <w:keepNext/>
        <w:spacing w:before="100" w:after="40" w:line="298" w:lineRule="auto"/>
        <w:ind w:firstLine="0" w:firstLineChars="0"/>
      </w:pPr>
      <w:r>
        <w:rPr>
          <w:rFonts w:ascii="Arial" w:hAnsi="Arial" w:eastAsia="ＭＳ ゴシック"/>
          <w:b/>
          <w:color w:val="16324F"/>
          <w:sz w:val="21"/>
        </w:rPr>
        <w:t>図表Ⅱ-1　スクリーニングの全体設計図 ― 3,481社から20社へ</w:t>
      </w:r>
    </w:p>
    <w:p>
      <w:pPr>
        <w:jc w:val="center"/>
        <w:keepNext/>
        <w:ind w:firstLine="0" w:firstLineChars="0"/>
      </w:pPr>
      <w:r>
        <w:drawing>
          <wp:inline xmlns:a="http://schemas.openxmlformats.org/drawingml/2006/main" xmlns:pic="http://schemas.openxmlformats.org/drawingml/2006/picture">
            <wp:extent cx="5328000" cy="5342400"/>
            <wp:docPr id="3" name="Picture 3"/>
            <wp:cNvGraphicFramePr>
              <a:graphicFrameLocks noChangeAspect="1"/>
            </wp:cNvGraphicFramePr>
            <a:graphic>
              <a:graphicData uri="http://schemas.openxmlformats.org/drawingml/2006/picture">
                <pic:pic>
                  <pic:nvPicPr>
                    <pic:cNvPr id="0" name="fig2_overview_v9.png"/>
                    <pic:cNvPicPr/>
                  </pic:nvPicPr>
                  <pic:blipFill>
                    <a:blip r:embed="rId12"/>
                    <a:stretch>
                      <a:fillRect/>
                    </a:stretch>
                  </pic:blipFill>
                  <pic:spPr>
                    <a:xfrm>
                      <a:off x="0" y="0"/>
                      <a:ext cx="5328000" cy="53424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スクリーニング0は全枝共通の関所。1〜4は同じ出発点(1,791社)から役割別に選ぶ並列の枝であり、番号は絞り込みの直列順ではなく読み順。全社数は選定と同一条件で再計算し、最終20社と一致することを確かめた。出所：選定記録より筆者作成。</w:t>
      </w:r>
    </w:p>
    <w:p>
      <w:pPr>
        <w:spacing w:after="80" w:line="281" w:lineRule="auto"/>
        <w:jc w:val="both"/>
        <w:ind w:firstLineChars="100" w:firstLine="210"/>
      </w:pPr>
      <w:r>
        <w:rPr>
          <w:rFonts w:ascii="Times New Roman" w:hAnsi="Times New Roman" w:eastAsia="ＭＳ 明朝"/>
          <w:b w:val="0"/>
          <w:color w:val="000000"/>
          <w:sz w:val="21"/>
        </w:rPr>
        <w:t>段の名前は第Ⅰ章の三世代にそのまま対応する――守＝完成した堀、破＝変わる堀、離＝生まれる堀。軸は「時間」の一本だけである。以降の各スクリーニングは、ねらい(何を落とし、何を残すか)→基準(式)→結果(何社→何社)→通し例(代表1社で式の動きを追う)、という同じ型で繰り返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スクリーニング０　</w:t>
      </w:r>
      <w:r>
        <w:rPr>
          <w:rFonts w:ascii="Arial" w:hAnsi="Arial" w:eastAsia="ＭＳ ゴシック"/>
          <w:b/>
          <w:color w:val="16324F"/>
          <w:sz w:val="23"/>
        </w:rPr>
        <w:t xml:space="preserve">　共通の関所 ― すべての枝の出発点(3,481社→1,791社)</w:t>
      </w:r>
    </w:p>
    <w:p>
      <w:pPr>
        <w:spacing w:after="80" w:line="281" w:lineRule="auto"/>
        <w:jc w:val="both"/>
        <w:ind w:firstLineChars="100" w:firstLine="210"/>
      </w:pPr>
      <w:r>
        <w:rPr>
          <w:rFonts w:ascii="Times New Roman" w:hAnsi="Times New Roman" w:eastAsia="ＭＳ 明朝"/>
          <w:b w:val="0"/>
          <w:color w:val="000000"/>
          <w:sz w:val="21"/>
        </w:rPr>
        <w:t>ねらい: 「選ぶ」前に、「選んではいけない会社」を全枝共通で除く。三つの関所を通す。第一に投資適格(監理・整理銘柄などを除外)、第二に流動性(60日平均売買代金が基準額以上＝買いたい量を、株価を動かさずに買える)――ここまでで3,481社が1,819社になる。第三に価格履歴3年(756営業日)で1,791社。三つ目は選ぶための関所ではなく、確かめるための関所である――過去3年へ当てて成績を検証できない会社を残すと、第Ⅲ章の自己検証が成り立たない。</w:t>
      </w:r>
    </w:p>
    <w:p>
      <w:pPr>
        <w:spacing w:after="120" w:line="281" w:lineRule="auto"/>
        <w:jc w:val="both"/>
        <w:ind w:firstLineChars="100" w:firstLine="210"/>
      </w:pPr>
      <w:r>
        <w:rPr>
          <w:rFonts w:ascii="Times New Roman" w:hAnsi="Times New Roman" w:eastAsia="ＭＳ 明朝"/>
          <w:b w:val="0"/>
          <w:color w:val="000000"/>
          <w:sz w:val="21"/>
        </w:rPr>
        <w:t>正直な限界も先に書く。出発点の3,481社は直近時点の上場一覧で、期間中に上場廃止となった会社を含まない(生存者バイアス)。また履歴3年の関所は、上場3年未満の若い会社を機械的に外す――生まれる堀の候補を、検証可能性と引き換えに少し狭めてい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スクリーニング１　</w:t>
      </w:r>
      <w:r>
        <w:rPr>
          <w:rFonts w:ascii="Arial" w:hAnsi="Arial" w:eastAsia="ＭＳ ゴシック"/>
          <w:b/>
          <w:color w:val="16324F"/>
          <w:sz w:val="23"/>
        </w:rPr>
        <w:t xml:space="preserve">　守 ― 完成した堀を品質の七関門で選ぶ(1,791社→5社)</w:t>
      </w:r>
    </w:p>
    <w:p>
      <w:pPr>
        <w:spacing w:after="80" w:line="281" w:lineRule="auto"/>
        <w:jc w:val="both"/>
        <w:ind w:firstLineChars="100" w:firstLine="210"/>
      </w:pPr>
      <w:r>
        <w:rPr>
          <w:rFonts w:ascii="Times New Roman" w:hAnsi="Times New Roman" w:eastAsia="ＭＳ 明朝"/>
          <w:b w:val="0"/>
          <w:color w:val="000000"/>
          <w:sz w:val="21"/>
        </w:rPr>
        <w:t>ねらい: バフェットの規律「良い会社を、高すぎない価格で買い、長期保有に耐えない企業を避ける」を、先行研究の式だけで再現する。私たちの判断や調整は加えず、七つの関門を一つずつ通す。ここで選ぶ5社は「何を超えたのか」を測る基準線であり、以降一度も入れ替えない。</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七つの関門を、式そのものから一つずつ見ていく。どの式も先行研究のまま使う。</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関門1　資本を高い率で回せるか ― ＲＯＥ</w:t>
      </w:r>
    </w:p>
    <w:p>
      <w:pPr>
        <w:spacing w:after="40" w:line="281" w:lineRule="auto"/>
        <w:jc w:val="both"/>
        <w:ind w:firstLineChars="100" w:firstLine="210"/>
      </w:pPr>
      <w:r>
        <w:rPr>
          <w:rFonts w:ascii="Times New Roman" w:hAnsi="Times New Roman" w:eastAsia="ＭＳ 明朝"/>
          <w:b w:val="0"/>
          <w:color w:val="000000"/>
          <w:sz w:val="21"/>
        </w:rPr>
        <w:t>自己資本利益率(ＲＯＥ)は、株主の資本をどれだけ効率よく利益に変えるかを示す。高く持続的なＲＯＥは、まねされにくい強み＝堀の現れである。バフェットの超過成績が「割安×優良×安全」で説明できることを示したFrazzini, Kabiller and Pedersen (2018)、および品質factorを定式化したAsness, Frazzini and Pedersen (2019, QMJ)で、収益性は品質の中核に置かれる。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式（1）ＲＯＥ ― 資本の収益率(Frazzini, Kabiller and Pedersen, 2018)</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R</m:t>
                    </m:r>
                    <m:r>
                      <m:rPr>
                        <m:sty m:val="p"/>
                      </m:rPr>
                      <m:t>O</m:t>
                    </m:r>
                    <m:r>
                      <m:rPr>
                        <m:sty m:val="p"/>
                      </m:rPr>
                      <m:t>E</m:t>
                    </m:r>
                  </m:e>
                  <m:sub>
                    <m:r>
                      <m:t>i</m:t>
                    </m:r>
                  </m:sub>
                </m:sSub>
                <m:r>
                  <m:rPr>
                    <m:sty m:val="p"/>
                  </m:rPr>
                  <m:t>=</m:t>
                </m:r>
                <m:f>
                  <m:fPr>
                    <m:type m:val="bar"/>
                  </m:fPr>
                  <m:num>
                    <m:sSub>
                      <m:e>
                        <m:r>
                          <m:rPr>
                            <m:sty m:val="p"/>
                          </m:rPr>
                          <m:t>N</m:t>
                        </m:r>
                        <m:r>
                          <m:rPr>
                            <m:sty m:val="p"/>
                          </m:rPr>
                          <m:t>I</m:t>
                        </m:r>
                      </m:e>
                      <m:sub>
                        <m:r>
                          <m:t>i</m:t>
                        </m:r>
                      </m:sub>
                    </m:sSub>
                  </m:num>
                  <m:den>
                    <m:sSub>
                      <m:e>
                        <m:r>
                          <m:rPr>
                            <m:sty m:val="p"/>
                          </m:rPr>
                          <m:t>E</m:t>
                        </m:r>
                        <m:r>
                          <m:rPr>
                            <m:sty m:val="p"/>
                          </m:rPr>
                          <m:t>q</m:t>
                        </m:r>
                        <m:r>
                          <m:rPr>
                            <m:sty m:val="p"/>
                          </m:rPr>
                          <m:t>u</m:t>
                        </m:r>
                        <m:r>
                          <m:rPr>
                            <m:sty m:val="p"/>
                          </m:rPr>
                          <m:t>i</m:t>
                        </m:r>
                        <m:r>
                          <m:rPr>
                            <m:sty m:val="p"/>
                          </m:rPr>
                          <m:t>t</m:t>
                        </m:r>
                        <m:r>
                          <m:rPr>
                            <m:sty m:val="p"/>
                          </m:rPr>
                          <m:t>y</m:t>
                        </m:r>
                      </m:e>
                      <m:sub>
                        <m:r>
                          <m:t>i</m:t>
                        </m:r>
                      </m:sub>
                    </m:sSub>
                  </m:den>
                </m:f>
                <m:r>
                  <m:t> </m:t>
                </m:r>
                <m:r>
                  <m:rPr>
                    <m:sty m:val="p"/>
                  </m:rPr>
                  <m:t>≥</m:t>
                </m:r>
                <m:r>
                  <m:t> </m:t>
                </m:r>
                <m:r>
                  <m:t>0.15</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株主のお金100円が1年で何円の利益を生むか。15円以上を合格とする。</w:t>
            </w:r>
          </w:p>
          <w:p>
            <w:pPr>
              <w:spacing w:before="0" w:after="40"/>
              <w:ind w:firstLine="0" w:firstLineChars="0"/>
            </w:pPr>
            <w:r>
              <w:rPr>
                <w:rFonts w:ascii="Times New Roman" w:hAnsi="Times New Roman" w:eastAsia="ＭＳ 明朝"/>
                <w:b w:val="0"/>
                <w:color w:val="000000"/>
                <w:sz w:val="20"/>
              </w:rPr>
              <w:t>ＮＩ＝純利益　Equity＝自己資本。15％以上を高収益の基準とする(バフェットが繰り返し目安とする水準)。</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よって、ＲＯＥ15％以上の企業を「資本を高い率で回せる優良企業」と評価する(1-1: 残り384社)。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関門2　価格支配力＝堀があるか ― 営業利益率</w:t>
      </w:r>
    </w:p>
    <w:p>
      <w:pPr>
        <w:spacing w:after="40" w:line="281" w:lineRule="auto"/>
        <w:jc w:val="both"/>
        <w:ind w:firstLineChars="100" w:firstLine="210"/>
      </w:pPr>
      <w:r>
        <w:rPr>
          <w:rFonts w:ascii="Times New Roman" w:hAnsi="Times New Roman" w:eastAsia="ＭＳ 明朝"/>
          <w:b w:val="0"/>
          <w:color w:val="000000"/>
          <w:sz w:val="21"/>
        </w:rPr>
        <w:t>高く安定した営業利益率は、値下げ競争に巻き込まれない価格支配力＝堀の現れである。薄利の会社は、原価や競合の変化で利益が消えやすい(QMJ の収益性)。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式（2）営業利益率 ― 価格支配力(堀)の代理(Asness,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O</m:t>
                    </m:r>
                    <m:r>
                      <m:rPr>
                        <m:sty m:val="p"/>
                      </m:rPr>
                      <m:t>P</m:t>
                    </m:r>
                    <m:r>
                      <m:rPr>
                        <m:sty m:val="p"/>
                      </m:rPr>
                      <m:t>M</m:t>
                    </m:r>
                  </m:e>
                  <m:sub>
                    <m:r>
                      <m:t>i</m:t>
                    </m:r>
                  </m:sub>
                </m:sSub>
                <m:r>
                  <m:rPr>
                    <m:sty m:val="p"/>
                  </m:rPr>
                  <m:t>=</m:t>
                </m:r>
                <m:f>
                  <m:fPr>
                    <m:type m:val="bar"/>
                  </m:fPr>
                  <m:num>
                    <m:sSub>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I</m:t>
                        </m:r>
                        <m:r>
                          <m:rPr>
                            <m:sty m:val="p"/>
                          </m:rPr>
                          <m:t>n</m:t>
                        </m:r>
                        <m:r>
                          <m:rPr>
                            <m:sty m:val="p"/>
                          </m:rPr>
                          <m:t>c</m:t>
                        </m:r>
                        <m:r>
                          <m:rPr>
                            <m:sty m:val="p"/>
                          </m:rPr>
                          <m:t>o</m:t>
                        </m:r>
                        <m:r>
                          <m:rPr>
                            <m:sty m:val="p"/>
                          </m:rPr>
                          <m:t>m</m:t>
                        </m:r>
                        <m:r>
                          <m:rPr>
                            <m:sty m:val="p"/>
                          </m:rPr>
                          <m:t>e</m:t>
                        </m:r>
                      </m:e>
                      <m:sub>
                        <m:r>
                          <m:t>i</m:t>
                        </m:r>
                      </m:sub>
                    </m:sSub>
                  </m:num>
                  <m:den>
                    <m:sSub>
                      <m:e>
                        <m:r>
                          <m:rPr>
                            <m:sty m:val="p"/>
                          </m:rPr>
                          <m:t>R</m:t>
                        </m:r>
                        <m:r>
                          <m:rPr>
                            <m:sty m:val="p"/>
                          </m:rPr>
                          <m:t>e</m:t>
                        </m:r>
                        <m:r>
                          <m:rPr>
                            <m:sty m:val="p"/>
                          </m:rPr>
                          <m:t>v</m:t>
                        </m:r>
                        <m:r>
                          <m:rPr>
                            <m:sty m:val="p"/>
                          </m:rPr>
                          <m:t>e</m:t>
                        </m:r>
                        <m:r>
                          <m:rPr>
                            <m:sty m:val="p"/>
                          </m:rPr>
                          <m:t>n</m:t>
                        </m:r>
                        <m:r>
                          <m:rPr>
                            <m:sty m:val="p"/>
                          </m:rPr>
                          <m:t>u</m:t>
                        </m:r>
                        <m:r>
                          <m:rPr>
                            <m:sty m:val="p"/>
                          </m:rPr>
                          <m:t>e</m:t>
                        </m:r>
                      </m:e>
                      <m:sub>
                        <m:r>
                          <m:t>i</m:t>
                        </m:r>
                      </m:sub>
                    </m:sSub>
                  </m:den>
                </m:f>
                <m:r>
                  <m:t> </m:t>
                </m:r>
                <m:r>
                  <m:rPr>
                    <m:sty m:val="p"/>
                  </m:rPr>
                  <m:t>≥</m:t>
                </m:r>
                <m:r>
                  <m:t> </m:t>
                </m:r>
                <m:r>
                  <m:t>0.10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売上100円のうち何円が本業のもうけか。10円以上なら値下げ競争に強い。</w:t>
            </w:r>
          </w:p>
          <w:p>
            <w:pPr>
              <w:spacing w:before="0" w:after="40"/>
              <w:ind w:firstLine="0" w:firstLineChars="0"/>
            </w:pPr>
            <w:r>
              <w:rPr>
                <w:rFonts w:ascii="Times New Roman" w:hAnsi="Times New Roman" w:eastAsia="ＭＳ 明朝"/>
                <w:b w:val="0"/>
                <w:color w:val="000000"/>
                <w:sz w:val="20"/>
              </w:rPr>
              <w:t>本業の利益÷売上高。10％以上を、堀(価格支配力)のある水準とする。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よって、営業利益率10％以上の企業を「価格支配力＝堀を持つ」と評価する(1-2: 残り278社)。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関門3　財務は健全か ― 自己資本比率</w:t>
      </w:r>
    </w:p>
    <w:p>
      <w:pPr>
        <w:spacing w:after="40" w:line="281" w:lineRule="auto"/>
        <w:jc w:val="both"/>
        <w:ind w:firstLineChars="100" w:firstLine="210"/>
      </w:pPr>
      <w:r>
        <w:rPr>
          <w:rFonts w:ascii="Times New Roman" w:hAnsi="Times New Roman" w:eastAsia="ＭＳ 明朝"/>
          <w:b w:val="0"/>
          <w:color w:val="000000"/>
          <w:sz w:val="21"/>
        </w:rPr>
        <w:t>負債に頼らず高いＲＯＥを出せることが、真の実力である。借入で見かけのＲＯＥを膨らませた会社は、不況で脆い。QMJの「安全」の考え方に沿い、自己資本比率で財務の健全さを測る(Asness et al., 2019)。</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式（3）自己資本比率 ― 財務の安全(Asness,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q</m:t>
                    </m:r>
                    <m:r>
                      <m:rPr>
                        <m:sty m:val="p"/>
                      </m:rPr>
                      <m:t>R</m:t>
                    </m:r>
                  </m:e>
                  <m:sub>
                    <m:r>
                      <m:t>i</m:t>
                    </m:r>
                  </m:sub>
                </m:sSub>
                <m:r>
                  <m:rPr>
                    <m:sty m:val="p"/>
                  </m:rPr>
                  <m:t>=</m:t>
                </m:r>
                <m:f>
                  <m:fPr>
                    <m:type m:val="bar"/>
                  </m:fPr>
                  <m:num>
                    <m:sSub>
                      <m:e>
                        <m:r>
                          <m:rPr>
                            <m:sty m:val="p"/>
                          </m:rPr>
                          <m:t>E</m:t>
                        </m:r>
                        <m:r>
                          <m:rPr>
                            <m:sty m:val="p"/>
                          </m:rPr>
                          <m:t>q</m:t>
                        </m:r>
                        <m:r>
                          <m:rPr>
                            <m:sty m:val="p"/>
                          </m:rPr>
                          <m:t>u</m:t>
                        </m:r>
                        <m:r>
                          <m:rPr>
                            <m:sty m:val="p"/>
                          </m:rPr>
                          <m:t>i</m:t>
                        </m:r>
                        <m:r>
                          <m:rPr>
                            <m:sty m:val="p"/>
                          </m:rPr>
                          <m:t>t</m:t>
                        </m:r>
                        <m:r>
                          <m:rPr>
                            <m:sty m:val="p"/>
                          </m:rPr>
                          <m:t>y</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r>
                  <m:t> </m:t>
                </m:r>
                <m:r>
                  <m:rPr>
                    <m:sty m:val="p"/>
                  </m:rPr>
                  <m:t>≥</m:t>
                </m:r>
                <m:r>
                  <m:t> </m:t>
                </m:r>
                <m:r>
                  <m:t>0.50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会社の財産のうち、借金に頼らない部分の割合。半分以上なら不況に強い。</w:t>
            </w:r>
          </w:p>
          <w:p>
            <w:pPr>
              <w:spacing w:before="0" w:after="40"/>
              <w:ind w:firstLine="0" w:firstLineChars="0"/>
            </w:pPr>
            <w:r>
              <w:rPr>
                <w:rFonts w:ascii="Times New Roman" w:hAnsi="Times New Roman" w:eastAsia="ＭＳ 明朝"/>
                <w:b w:val="0"/>
                <w:color w:val="000000"/>
                <w:sz w:val="20"/>
              </w:rPr>
              <w:t>自己資本÷総資産。50％以上を、負債に頼らない健全な財務とする。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よって、自己資本比率50％以上の企業を「財務が健全」と評価する(1-3: 残り206社)。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関門4　利益は予測可能か ― 直近3期無赤字</w:t>
      </w:r>
    </w:p>
    <w:p>
      <w:pPr>
        <w:spacing w:after="40" w:line="281" w:lineRule="auto"/>
        <w:jc w:val="both"/>
        <w:ind w:firstLineChars="100" w:firstLine="210"/>
      </w:pPr>
      <w:r>
        <w:rPr>
          <w:rFonts w:ascii="Times New Roman" w:hAnsi="Times New Roman" w:eastAsia="ＭＳ 明朝"/>
          <w:b w:val="0"/>
          <w:color w:val="000000"/>
          <w:sz w:val="21"/>
        </w:rPr>
        <w:t>堀のある企業は、不況でも赤字に沈みにくい。逆に、直近数年に赤字を出す会社は利益が読みにくく、長期保有の前提が崩れる。直近3期に営業・純・営業キャッシュフローのいずれも赤字がないことを、予測可能性の条件と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式（4）無赤字 ― 予測可能性(Asness,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L</m:t>
                    </m:r>
                    <m:r>
                      <m:rPr>
                        <m:sty m:val="p"/>
                      </m:rPr>
                      <m:t>o</m:t>
                    </m:r>
                    <m:r>
                      <m:rPr>
                        <m:sty m:val="p"/>
                      </m:rPr>
                      <m:t>s</m:t>
                    </m:r>
                    <m:r>
                      <m:rPr>
                        <m:sty m:val="p"/>
                      </m:rPr>
                      <m:t>s</m:t>
                    </m:r>
                    <m:r>
                      <m:rPr>
                        <m:sty m:val="p"/>
                      </m:rPr>
                      <m:t>Y</m:t>
                    </m:r>
                    <m:r>
                      <m:rPr>
                        <m:sty m:val="p"/>
                      </m:rPr>
                      <m:t>e</m:t>
                    </m:r>
                    <m:r>
                      <m:rPr>
                        <m:sty m:val="p"/>
                      </m:rPr>
                      <m:t>a</m:t>
                    </m:r>
                    <m:r>
                      <m:rPr>
                        <m:sty m:val="p"/>
                      </m:rPr>
                      <m:t>r</m:t>
                    </m:r>
                    <m:r>
                      <m:rPr>
                        <m:sty m:val="p"/>
                      </m:rPr>
                      <m:t>s</m:t>
                    </m:r>
                  </m:e>
                  <m:sub>
                    <m:r>
                      <m:t>i</m:t>
                    </m:r>
                  </m:sub>
                  <m:sup>
                    <m:r>
                      <m:t>3</m:t>
                    </m:r>
                    <m:r>
                      <m:rPr>
                        <m:sty m:val="p"/>
                      </m:rPr>
                      <m:t>y</m:t>
                    </m:r>
                    <m:r>
                      <m:rPr>
                        <m:sty m:val="p"/>
                      </m:rPr>
                      <m:t>r</m:t>
                    </m:r>
                  </m:sup>
                </m:sSubSup>
                <m:r>
                  <m:rPr>
                    <m:sty m:val="p"/>
                  </m:rPr>
                  <m:t>=</m:t>
                </m:r>
                <m:r>
                  <m:t>0</m:t>
                </m:r>
                <m:r>
                  <m:t> </m:t>
                </m:r>
                <m:r>
                  <m:rPr>
                    <m:sty m:val="p"/>
                  </m:rPr>
                  <m:t>(</m:t>
                </m:r>
                <m:r>
                  <m:rPr>
                    <m:nor/>
                    <m:sty m:val="p"/>
                  </m:rPr>
                  <m:t>operating, net, operating-CF</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直近3年、一度も赤字を出していないか。</w:t>
            </w:r>
          </w:p>
          <w:p>
            <w:pPr>
              <w:spacing w:before="0" w:after="40"/>
              <w:ind w:firstLine="0" w:firstLineChars="0"/>
            </w:pPr>
            <w:r>
              <w:rPr>
                <w:rFonts w:ascii="Times New Roman" w:hAnsi="Times New Roman" w:eastAsia="ＭＳ 明朝"/>
                <w:b w:val="0"/>
                <w:color w:val="000000"/>
                <w:sz w:val="20"/>
              </w:rPr>
              <w:t>直近3期の営業損失・純損失・営業CF赤字の年数がいずれもゼロの企業だけを通す。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よって、直近3期に一度も赤字のない企業を「利益が予測可能」と評価する(1-4: 残り182社)。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関門5　利益に現金の裏づけがあるか ― 営業ＣＦ</w:t>
      </w:r>
    </w:p>
    <w:p>
      <w:pPr>
        <w:spacing w:after="40" w:line="281" w:lineRule="auto"/>
        <w:jc w:val="both"/>
        <w:ind w:firstLineChars="100" w:firstLine="210"/>
      </w:pPr>
      <w:r>
        <w:rPr>
          <w:rFonts w:ascii="Times New Roman" w:hAnsi="Times New Roman" w:eastAsia="ＭＳ 明朝"/>
          <w:b w:val="0"/>
          <w:color w:val="000000"/>
          <w:sz w:val="21"/>
        </w:rPr>
        <w:t>会計上の利益は見積りや会計方針で膨らませる余地がある。本業で実際に現金を生んでいるか(営業キャッシュフローがプラスか)を、利益の質の条件とする。帳簿利益と現金の乖離が大きい会社は後で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式（5）営業キャッシュフロー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C</m:t>
                    </m:r>
                    <m:r>
                      <m:rPr>
                        <m:sty m:val="p"/>
                      </m:rPr>
                      <m:t>F</m:t>
                    </m:r>
                    <m:r>
                      <m:rPr>
                        <m:sty m:val="p"/>
                      </m:rPr>
                      <m:t>O</m:t>
                    </m:r>
                  </m:e>
                  <m:sub>
                    <m:r>
                      <m:t>i</m:t>
                    </m:r>
                  </m:sub>
                </m:sSub>
                <m:r>
                  <m:t> </m:t>
                </m:r>
                <m:r>
                  <m:rPr>
                    <m:sty m:val="p"/>
                  </m:rPr>
                  <m:t>&gt;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帳簿の上の利益ではなく、本業で現金が実際に入っているか。</w:t>
            </w:r>
          </w:p>
          <w:p>
            <w:pPr>
              <w:spacing w:before="0" w:after="40"/>
              <w:ind w:firstLine="0" w:firstLineChars="0"/>
            </w:pPr>
            <w:r>
              <w:rPr>
                <w:rFonts w:ascii="Times New Roman" w:hAnsi="Times New Roman" w:eastAsia="ＭＳ 明朝"/>
                <w:b w:val="0"/>
                <w:color w:val="000000"/>
                <w:sz w:val="20"/>
              </w:rPr>
              <w:t>ＣＦＯ＝営業キャッシュフロー(本業の現金収入)。プラスの企業だけを通す。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よって、本業で現金を生んでいる企業を「利益が本物」と評価する(1-5: 残り182社)。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関門6　事業は伸びているか ― 増収かつ増益</w:t>
      </w:r>
    </w:p>
    <w:p>
      <w:pPr>
        <w:spacing w:after="40" w:line="281" w:lineRule="auto"/>
        <w:jc w:val="both"/>
        <w:ind w:firstLineChars="100" w:firstLine="210"/>
      </w:pPr>
      <w:r>
        <w:rPr>
          <w:rFonts w:ascii="Times New Roman" w:hAnsi="Times New Roman" w:eastAsia="ＭＳ 明朝"/>
          <w:b w:val="0"/>
          <w:color w:val="000000"/>
          <w:sz w:val="21"/>
        </w:rPr>
        <w:t>堀は成長とともに広がり、縮む事業では狭まる。減収・減益の会社は、堀が痩せている可能性がある。前期比で売上と営業利益がともに減っていないこと(増収かつ増益)を、非縮小の条件とする(QMJ の成長性)。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式（6）増収かつ増益 ― 非縮小(Asness,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g</m:t>
                    </m:r>
                  </m:e>
                  <m:sub>
                    <m:r>
                      <m:t>i</m:t>
                    </m:r>
                  </m:sub>
                  <m:sup>
                    <m:r>
                      <m:rPr>
                        <m:sty m:val="p"/>
                      </m:rPr>
                      <m:t>R</m:t>
                    </m:r>
                    <m:r>
                      <m:rPr>
                        <m:sty m:val="p"/>
                      </m:rPr>
                      <m:t>e</m:t>
                    </m:r>
                    <m:r>
                      <m:rPr>
                        <m:sty m:val="p"/>
                      </m:rPr>
                      <m:t>v</m:t>
                    </m:r>
                  </m:sup>
                </m:sSubSup>
                <m:r>
                  <m:t> </m:t>
                </m:r>
                <m:r>
                  <m:rPr>
                    <m:sty m:val="p"/>
                  </m:rPr>
                  <m:t>≥</m:t>
                </m:r>
                <m:r>
                  <m:t> </m:t>
                </m:r>
                <m:r>
                  <m:t>0</m:t>
                </m:r>
                <m:r>
                  <m:t> </m:t>
                </m:r>
                <m:r>
                  <m:rPr>
                    <m:sty m:val="p"/>
                  </m:rPr>
                  <m:t>∧</m:t>
                </m:r>
                <m:r>
                  <m:t> </m:t>
                </m:r>
                <m:sSubSup>
                  <m:e>
                    <m:r>
                      <m:t>g</m:t>
                    </m:r>
                  </m:e>
                  <m:sub>
                    <m:r>
                      <m:t>i</m:t>
                    </m:r>
                  </m:sub>
                  <m:sup>
                    <m:r>
                      <m:rPr>
                        <m:sty m:val="p"/>
                      </m:rPr>
                      <m:t>O</m:t>
                    </m:r>
                    <m:r>
                      <m:rPr>
                        <m:sty m:val="p"/>
                      </m:rPr>
                      <m:t>I</m:t>
                    </m:r>
                  </m:sup>
                </m:sSubSup>
                <m:r>
                  <m:t> </m:t>
                </m:r>
                <m:r>
                  <m:rPr>
                    <m:sty m:val="p"/>
                  </m:rPr>
                  <m: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売上ともうけが、去年より減っていないか。</w:t>
            </w:r>
          </w:p>
          <w:p>
            <w:pPr>
              <w:spacing w:before="0" w:after="40"/>
              <w:ind w:firstLine="0" w:firstLineChars="0"/>
            </w:pPr>
            <w:r>
              <w:rPr>
                <w:rFonts w:ascii="Times New Roman" w:hAnsi="Times New Roman" w:eastAsia="ＭＳ 明朝"/>
                <w:b w:val="0"/>
                <w:color w:val="000000"/>
                <w:sz w:val="20"/>
              </w:rPr>
              <w:t>ｇ＝前期比の伸び率。売上(Rev)と営業利益(OI)がともに前期を下回らない企業を通す。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よって、増収かつ増益の企業を「事業が縮小していない」と評価する(1-6: 残り162社)。</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その株が1日にいくら分売買されているか＝買いたい量を買えるか。</w:t>
            </w:r>
          </w:p>
          <w:p>
            <w:pPr>
              <w:spacing w:before="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結果: 七つの関門で、適格1,791社は次のように絞られた。落ちた会社は「どの関門を満たさなかったか」で理由が特定できる――落ちた理由をすべて残すことが、選んだ理由の裏づけになる。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3742"/>
            <w:shd w:val="clear" w:color="auto" w:fill="16324F"/>
          </w:tcPr>
          <w:p>
            <w:pPr>
              <w:spacing w:after="0"/>
              <w:ind w:firstLine="0" w:firstLineChars="0"/>
              <w:jc w:val="center"/>
            </w:pPr>
            <w:r>
              <w:rPr>
                <w:rFonts w:ascii="Arial" w:hAnsi="Arial" w:eastAsia="ＭＳ ゴシック"/>
                <w:b/>
                <w:color w:val="FFFFFF"/>
                <w:sz w:val="20"/>
              </w:rPr>
              <w:t>守の関門</w:t>
            </w:r>
          </w:p>
        </w:tc>
        <w:tc>
          <w:tcPr>
            <w:tcW w:type="dxa" w:w="1134"/>
            <w:shd w:val="clear" w:color="auto" w:fill="16324F"/>
          </w:tcPr>
          <w:p>
            <w:pPr>
              <w:spacing w:after="0"/>
              <w:ind w:firstLine="0" w:firstLineChars="0"/>
              <w:jc w:val="center"/>
            </w:pPr>
            <w:r>
              <w:rPr>
                <w:rFonts w:ascii="Arial" w:hAnsi="Arial" w:eastAsia="ＭＳ ゴシック"/>
                <w:b/>
                <w:color w:val="FFFFFF"/>
                <w:sz w:val="20"/>
              </w:rPr>
              <w:t>通過社数</w:t>
            </w:r>
          </w:p>
        </w:tc>
        <w:tc>
          <w:tcPr>
            <w:tcW w:type="dxa" w:w="3969"/>
            <w:shd w:val="clear" w:color="auto" w:fill="16324F"/>
          </w:tcPr>
          <w:p>
            <w:pPr>
              <w:spacing w:after="0"/>
              <w:ind w:firstLine="0" w:firstLineChars="0"/>
              <w:jc w:val="center"/>
            </w:pPr>
            <w:r>
              <w:rPr>
                <w:rFonts w:ascii="Arial" w:hAnsi="Arial" w:eastAsia="ＭＳ ゴシック"/>
                <w:b/>
                <w:color w:val="FFFFFF"/>
                <w:sz w:val="20"/>
              </w:rPr>
              <w:t>落ちる主な理由</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1-1　高収益 ＲＯＥ≥15％</w:t>
            </w:r>
          </w:p>
        </w:tc>
        <w:tc>
          <w:tcPr>
            <w:tcW w:type="dxa" w:w="1134"/>
          </w:tcPr>
          <w:p>
            <w:pPr>
              <w:spacing w:after="0"/>
              <w:ind w:firstLine="0" w:firstLineChars="0"/>
              <w:jc w:val="left"/>
            </w:pPr>
            <w:r>
              <w:rPr>
                <w:rFonts w:ascii="Times New Roman" w:hAnsi="Times New Roman" w:eastAsia="ＭＳ 明朝"/>
                <w:b w:val="0"/>
                <w:color w:val="000000"/>
                <w:sz w:val="20"/>
              </w:rPr>
              <w:t>384社</w:t>
            </w:r>
          </w:p>
        </w:tc>
        <w:tc>
          <w:tcPr>
            <w:tcW w:type="dxa" w:w="3969"/>
          </w:tcPr>
          <w:p>
            <w:pPr>
              <w:spacing w:after="0"/>
              <w:ind w:firstLine="0" w:firstLineChars="0"/>
              <w:jc w:val="left"/>
            </w:pPr>
            <w:r>
              <w:rPr>
                <w:rFonts w:ascii="Times New Roman" w:hAnsi="Times New Roman" w:eastAsia="ＭＳ 明朝"/>
                <w:b w:val="0"/>
                <w:color w:val="000000"/>
                <w:sz w:val="20"/>
              </w:rPr>
              <w:t>資本を高い率で回せていない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1-2　堀・価格支配力 営業利益率≥10％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278社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価格支配力＝堀が薄い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1-3　財務健全 自己資本比率≥50％</w:t>
            </w:r>
          </w:p>
        </w:tc>
        <w:tc>
          <w:tcPr>
            <w:tcW w:type="dxa" w:w="1134"/>
          </w:tcPr>
          <w:p>
            <w:pPr>
              <w:spacing w:after="0"/>
              <w:ind w:firstLine="0" w:firstLineChars="0"/>
              <w:jc w:val="left"/>
            </w:pPr>
            <w:r>
              <w:rPr>
                <w:rFonts w:ascii="Times New Roman" w:hAnsi="Times New Roman" w:eastAsia="ＭＳ 明朝"/>
                <w:b w:val="0"/>
                <w:color w:val="000000"/>
                <w:sz w:val="20"/>
              </w:rPr>
              <w:t>206社</w:t>
            </w:r>
          </w:p>
        </w:tc>
        <w:tc>
          <w:tcPr>
            <w:tcW w:type="dxa" w:w="3969"/>
          </w:tcPr>
          <w:p>
            <w:pPr>
              <w:spacing w:after="0"/>
              <w:ind w:firstLine="0" w:firstLineChars="0"/>
              <w:jc w:val="left"/>
            </w:pPr>
            <w:r>
              <w:rPr>
                <w:rFonts w:ascii="Times New Roman" w:hAnsi="Times New Roman" w:eastAsia="ＭＳ 明朝"/>
                <w:b w:val="0"/>
                <w:color w:val="000000"/>
                <w:sz w:val="20"/>
              </w:rPr>
              <w:t>負債が重く長期保有に不向き</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1-4　予測可能性 直近3期無赤字</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182社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利益が不安定で読みにくい</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1-5　現金創出 営業ＣＦ＞0</w:t>
            </w:r>
          </w:p>
        </w:tc>
        <w:tc>
          <w:tcPr>
            <w:tcW w:type="dxa" w:w="1134"/>
          </w:tcPr>
          <w:p>
            <w:pPr>
              <w:spacing w:after="0"/>
              <w:ind w:firstLine="0" w:firstLineChars="0"/>
              <w:jc w:val="left"/>
            </w:pPr>
            <w:r>
              <w:rPr>
                <w:rFonts w:ascii="Times New Roman" w:hAnsi="Times New Roman" w:eastAsia="ＭＳ 明朝"/>
                <w:b w:val="0"/>
                <w:color w:val="000000"/>
                <w:sz w:val="20"/>
              </w:rPr>
              <w:t>182社</w:t>
            </w:r>
          </w:p>
        </w:tc>
        <w:tc>
          <w:tcPr>
            <w:tcW w:type="dxa" w:w="3969"/>
          </w:tcPr>
          <w:p>
            <w:pPr>
              <w:spacing w:after="0"/>
              <w:ind w:firstLine="0" w:firstLineChars="0"/>
              <w:jc w:val="left"/>
            </w:pPr>
            <w:r>
              <w:rPr>
                <w:rFonts w:ascii="Times New Roman" w:hAnsi="Times New Roman" w:eastAsia="ＭＳ 明朝"/>
                <w:b w:val="0"/>
                <w:color w:val="000000"/>
                <w:sz w:val="20"/>
              </w:rPr>
              <w:t>利益に現金の裏づけがない</w:t>
            </w:r>
          </w:p>
        </w:tc>
      </w:tr>
      <w:tr>
        <w:trPr>
          <w:cantSplit/>
        </w:trPr>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1-6　非縮小 増収かつ増益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162社</w:t>
            </w:r>
          </w:p>
        </w:tc>
        <w:tc>
          <w:tcPr>
            <w:tcW w:type="dxa" w:w="3969"/>
            <w:shd w:val="clear" w:color="auto" w:fill="F2F6F4"/>
          </w:tcPr>
          <w:p>
            <w:pPr>
              <w:spacing w:after="0"/>
              <w:ind w:firstLine="0" w:firstLineChars="0"/>
              <w:jc w:val="left"/>
            </w:pPr>
            <w:r>
              <w:rPr>
                <w:rFonts w:ascii="Times New Roman" w:hAnsi="Times New Roman" w:eastAsia="ＭＳ 明朝"/>
                <w:b w:val="0"/>
                <w:color w:val="000000"/>
                <w:sz w:val="20"/>
              </w:rPr>
              <w:t>事業が縮小している</w:t>
            </w:r>
          </w:p>
        </w:tc>
      </w:tr>
      <w:tr>
        <w:trPr>
          <w:cantSplit/>
        </w:trPr>
        <w:tc>
          <w:tcPr>
            <w:tcW w:type="dxa" w:w="3742"/>
          </w:tcPr>
          <w:p>
            <w:pPr>
              <w:spacing w:after="0"/>
              <w:ind w:firstLine="0" w:firstLineChars="0"/>
              <w:jc w:val="left"/>
            </w:pPr>
            <w:r>
              <w:rPr>
                <w:rFonts w:ascii="Times New Roman" w:hAnsi="Times New Roman" w:eastAsia="ＭＳ 明朝"/>
                <w:b w:val="0"/>
                <w:color w:val="000000"/>
                <w:sz w:val="20"/>
              </w:rPr>
              <w:t>1-7　価格ランク可能(時価総額データあり・益回り＞0)</w:t>
            </w:r>
          </w:p>
        </w:tc>
        <w:tc>
          <w:tcPr>
            <w:tcW w:type="dxa" w:w="1134"/>
          </w:tcPr>
          <w:p>
            <w:pPr>
              <w:spacing w:after="0"/>
              <w:ind w:firstLine="0" w:firstLineChars="0"/>
              <w:jc w:val="left"/>
            </w:pPr>
            <w:r>
              <w:rPr>
                <w:rFonts w:ascii="Times New Roman" w:hAnsi="Times New Roman" w:eastAsia="ＭＳ 明朝"/>
                <w:b w:val="0"/>
                <w:color w:val="000000"/>
                <w:sz w:val="20"/>
              </w:rPr>
              <w:t>20社</w:t>
            </w:r>
          </w:p>
        </w:tc>
        <w:tc>
          <w:tcPr>
            <w:tcW w:type="dxa" w:w="3969"/>
          </w:tcPr>
          <w:p>
            <w:pPr>
              <w:spacing w:after="0"/>
              <w:ind w:firstLine="0" w:firstLineChars="0"/>
              <w:jc w:val="left"/>
            </w:pPr>
            <w:r>
              <w:rPr>
                <w:rFonts w:ascii="Times New Roman" w:hAnsi="Times New Roman" w:eastAsia="ＭＳ 明朝"/>
                <w:b w:val="0"/>
                <w:color w:val="000000"/>
                <w:sz w:val="20"/>
              </w:rPr>
              <w:t>時価総額データの在庫がなく割安順位を付けられない</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図表Ⅱ-2　守の結果 ― 適格1,791社が162社、価格ランク可能20社まで絞られる。関門7(売買代金)は共通の関所(スクリーニング0)で先に適用済み。出所：選定記録より筆者作成。</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式が実際にどう働くかを、通過企業の一社・レーザーテック(6920)で追ってみる。半導体マスク検査で世界的地位をもつ、完成した堀の典型例である。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381"/>
            <w:shd w:val="clear" w:color="auto" w:fill="16324F"/>
          </w:tcPr>
          <w:p>
            <w:pPr>
              <w:spacing w:after="0"/>
              <w:ind w:firstLine="0" w:firstLineChars="0"/>
              <w:jc w:val="center"/>
            </w:pPr>
            <w:r>
              <w:rPr>
                <w:rFonts w:ascii="Arial" w:hAnsi="Arial" w:eastAsia="ＭＳ ゴシック"/>
                <w:b/>
                <w:color w:val="FFFFFF"/>
                <w:sz w:val="20"/>
              </w:rPr>
              <w:t>品質関門</w:t>
            </w:r>
          </w:p>
        </w:tc>
        <w:tc>
          <w:tcPr>
            <w:tcW w:type="dxa" w:w="2494"/>
            <w:shd w:val="clear" w:color="auto" w:fill="16324F"/>
          </w:tcPr>
          <w:p>
            <w:pPr>
              <w:spacing w:after="0"/>
              <w:ind w:firstLine="0" w:firstLineChars="0"/>
              <w:jc w:val="center"/>
            </w:pPr>
            <w:r>
              <w:rPr>
                <w:rFonts w:ascii="Arial" w:hAnsi="Arial" w:eastAsia="ＭＳ ゴシック"/>
                <w:b/>
                <w:color w:val="FFFFFF"/>
                <w:sz w:val="20"/>
              </w:rPr>
              <w:t>レーザーテックの値</w:t>
            </w:r>
          </w:p>
        </w:tc>
        <w:tc>
          <w:tcPr>
            <w:tcW w:type="dxa" w:w="2268"/>
            <w:shd w:val="clear" w:color="auto" w:fill="16324F"/>
          </w:tcPr>
          <w:p>
            <w:pPr>
              <w:spacing w:after="0"/>
              <w:ind w:firstLine="0" w:firstLineChars="0"/>
              <w:jc w:val="center"/>
            </w:pPr>
            <w:r>
              <w:rPr>
                <w:rFonts w:ascii="Arial" w:hAnsi="Arial" w:eastAsia="ＭＳ ゴシック"/>
                <w:b/>
                <w:color w:val="FFFFFF"/>
                <w:sz w:val="20"/>
              </w:rPr>
              <w:t>判定の目安</w:t>
            </w:r>
          </w:p>
        </w:tc>
        <w:tc>
          <w:tcPr>
            <w:tcW w:type="dxa" w:w="1134"/>
            <w:shd w:val="clear" w:color="auto" w:fill="16324F"/>
          </w:tcPr>
          <w:p>
            <w:pPr>
              <w:spacing w:after="0"/>
              <w:ind w:firstLine="0" w:firstLineChars="0"/>
              <w:jc w:val="center"/>
            </w:pPr>
            <w:r>
              <w:rPr>
                <w:rFonts w:ascii="Arial" w:hAnsi="Arial" w:eastAsia="ＭＳ ゴシック"/>
                <w:b/>
                <w:color w:val="FFFFFF"/>
                <w:sz w:val="20"/>
              </w:rPr>
              <w:t>判定</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高収益 ＲＯＥ(式1)</w:t>
            </w:r>
          </w:p>
        </w:tc>
        <w:tc>
          <w:tcPr>
            <w:tcW w:type="dxa" w:w="2494"/>
          </w:tcPr>
          <w:p>
            <w:pPr>
              <w:spacing w:after="0"/>
              <w:ind w:firstLine="0" w:firstLineChars="0"/>
              <w:jc w:val="left"/>
            </w:pPr>
            <w:r>
              <w:rPr>
                <w:rFonts w:ascii="Times New Roman" w:hAnsi="Times New Roman" w:eastAsia="ＭＳ 明朝"/>
                <w:b w:val="0"/>
                <w:color w:val="000000"/>
                <w:sz w:val="20"/>
              </w:rPr>
              <w:t>40%</w:t>
            </w:r>
          </w:p>
        </w:tc>
        <w:tc>
          <w:tcPr>
            <w:tcW w:type="dxa" w:w="2268"/>
          </w:tcPr>
          <w:p>
            <w:pPr>
              <w:spacing w:after="0"/>
              <w:ind w:firstLine="0" w:firstLineChars="0"/>
              <w:jc w:val="left"/>
            </w:pPr>
            <w:r>
              <w:rPr>
                <w:rFonts w:ascii="Times New Roman" w:hAnsi="Times New Roman" w:eastAsia="ＭＳ 明朝"/>
                <w:b w:val="0"/>
                <w:color w:val="000000"/>
                <w:sz w:val="20"/>
              </w:rPr>
              <w:t>15％以上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営業利益率(式2)</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49%</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10％以上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財務健全 自己資本比率(式3)</w:t>
            </w:r>
          </w:p>
        </w:tc>
        <w:tc>
          <w:tcPr>
            <w:tcW w:type="dxa" w:w="2494"/>
          </w:tcPr>
          <w:p>
            <w:pPr>
              <w:spacing w:after="0"/>
              <w:ind w:firstLine="0" w:firstLineChars="0"/>
              <w:jc w:val="left"/>
            </w:pPr>
            <w:r>
              <w:rPr>
                <w:rFonts w:ascii="Times New Roman" w:hAnsi="Times New Roman" w:eastAsia="ＭＳ 明朝"/>
                <w:b w:val="0"/>
                <w:color w:val="000000"/>
                <w:sz w:val="20"/>
              </w:rPr>
              <w:t>64%</w:t>
            </w:r>
          </w:p>
        </w:tc>
        <w:tc>
          <w:tcPr>
            <w:tcW w:type="dxa" w:w="2268"/>
          </w:tcPr>
          <w:p>
            <w:pPr>
              <w:spacing w:after="0"/>
              <w:ind w:firstLine="0" w:firstLineChars="0"/>
              <w:jc w:val="left"/>
            </w:pPr>
            <w:r>
              <w:rPr>
                <w:rFonts w:ascii="Times New Roman" w:hAnsi="Times New Roman" w:eastAsia="ＭＳ 明朝"/>
                <w:b w:val="0"/>
                <w:color w:val="000000"/>
                <w:sz w:val="20"/>
              </w:rPr>
              <w:t>50％以上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直近3期無赤字(式4)</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営業・純・営業CFとも赤字なし</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3期連続で赤字ゼロ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現金創出 営業ＣＦ(式5)</w:t>
            </w:r>
          </w:p>
        </w:tc>
        <w:tc>
          <w:tcPr>
            <w:tcW w:type="dxa" w:w="2494"/>
          </w:tcPr>
          <w:p>
            <w:pPr>
              <w:spacing w:after="0"/>
              <w:ind w:firstLine="0" w:firstLineChars="0"/>
              <w:jc w:val="left"/>
            </w:pPr>
            <w:r>
              <w:rPr>
                <w:rFonts w:ascii="Times New Roman" w:hAnsi="Times New Roman" w:eastAsia="ＭＳ 明朝"/>
                <w:b w:val="0"/>
                <w:color w:val="000000"/>
                <w:sz w:val="20"/>
              </w:rPr>
              <w:t>本業の現金収入プラス</w:t>
            </w:r>
          </w:p>
        </w:tc>
        <w:tc>
          <w:tcPr>
            <w:tcW w:type="dxa" w:w="2268"/>
          </w:tcPr>
          <w:p>
            <w:pPr>
              <w:spacing w:after="0"/>
              <w:ind w:firstLine="0" w:firstLineChars="0"/>
              <w:jc w:val="left"/>
            </w:pPr>
            <w:r>
              <w:rPr>
                <w:rFonts w:ascii="Times New Roman" w:hAnsi="Times New Roman" w:eastAsia="ＭＳ 明朝"/>
                <w:b w:val="0"/>
                <w:color w:val="000000"/>
                <w:sz w:val="20"/>
              </w:rPr>
              <w:t>営業ＣＦ＞0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非縮小 増収増益(式6)</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増収＋28%・増益＋40%</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ともに0％以上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実際に買えるか 売買代金(式7)</w:t>
            </w:r>
          </w:p>
        </w:tc>
        <w:tc>
          <w:tcPr>
            <w:tcW w:type="dxa" w:w="2494"/>
          </w:tcPr>
          <w:p>
            <w:pPr>
              <w:spacing w:after="0"/>
              <w:ind w:firstLine="0" w:firstLineChars="0"/>
              <w:jc w:val="left"/>
            </w:pPr>
            <w:r>
              <w:rPr>
                <w:rFonts w:ascii="Times New Roman" w:hAnsi="Times New Roman" w:eastAsia="ＭＳ 明朝"/>
                <w:b w:val="0"/>
                <w:color w:val="000000"/>
                <w:sz w:val="20"/>
              </w:rPr>
              <w:t>1日平均 1700.7億円</w:t>
            </w:r>
          </w:p>
        </w:tc>
        <w:tc>
          <w:tcPr>
            <w:tcW w:type="dxa" w:w="2268"/>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図表Ⅱ-3　通し数値例：レーザーテック(6920)の品質関門。出所：選定記録より筆者作成。</w:t>
      </w:r>
    </w:p>
    <w:p>
      <w:pPr>
        <w:spacing w:after="80" w:line="281" w:lineRule="auto"/>
        <w:jc w:val="both"/>
        <w:ind w:firstLineChars="100" w:firstLine="210"/>
      </w:pPr>
      <w:r>
        <w:rPr>
          <w:rFonts w:ascii="Times New Roman" w:hAnsi="Times New Roman" w:eastAsia="ＭＳ 明朝"/>
          <w:b w:val="0"/>
          <w:color w:val="000000"/>
          <w:sz w:val="21"/>
        </w:rPr>
        <w:t>最後の絞り込み: 品質162社のうち価格ランクが可能な20社を、割安×優良の複合順位(収益力ＲＯＥと益回りの順位和＝Greenblattの考え方)で並べ、同一業種は原則2社までとして上位5社を固定した。選ばれたのは、3092 株式会社ＺＯＺＯ(小売業)、4716 日本オラクル株式会社(情報・通信業)、7014 株式会社名村造船所(輸送用機器)、8136 株式会社サンリオ(卸売業)、6920 レーザーテック株式会社(電気機器)の5社である。なお、この順位を付けられた20社すべてが、第Ⅲ章で比較する主対照『新バフェット型』である――社数を私たちの都合で切らないため、上位何社という線引きをせず、関門を通った全社をそのまま対照にした。守の5社はその上位5社に一致する。比較相手の一部を自分の20社に組み入れる、という条件①はこの一致で担保され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3515"/>
            <w:shd w:val="clear" w:color="auto" w:fill="16324F"/>
          </w:tcPr>
          <w:p>
            <w:pPr>
              <w:keepNext/>
              <w:spacing w:after="0"/>
              <w:ind w:firstLine="0" w:firstLineChars="0"/>
              <w:jc w:val="center"/>
            </w:pPr>
            <w:r>
              <w:rPr>
                <w:rFonts w:ascii="Arial" w:hAnsi="Arial" w:eastAsia="ＭＳ ゴシック"/>
                <w:b/>
                <w:color w:val="FFFFFF"/>
                <w:sz w:val="20"/>
              </w:rPr>
              <w:t>コード・社名(完成した堀Top5)</w:t>
            </w:r>
          </w:p>
        </w:tc>
        <w:tc>
          <w:tcPr>
            <w:tcW w:type="dxa" w:w="1928"/>
            <w:shd w:val="clear" w:color="auto" w:fill="16324F"/>
          </w:tcPr>
          <w:p>
            <w:pPr>
              <w:keepNext/>
              <w:spacing w:after="0"/>
              <w:ind w:firstLine="0" w:firstLineChars="0"/>
              <w:jc w:val="center"/>
            </w:pPr>
            <w:r>
              <w:rPr>
                <w:rFonts w:ascii="Arial" w:hAnsi="Arial" w:eastAsia="ＭＳ ゴシック"/>
                <w:b/>
                <w:color w:val="FFFFFF"/>
                <w:sz w:val="20"/>
              </w:rPr>
              <w:t>業種</w:t>
            </w:r>
          </w:p>
        </w:tc>
        <w:tc>
          <w:tcPr>
            <w:tcW w:type="dxa" w:w="1474"/>
            <w:shd w:val="clear" w:color="auto" w:fill="16324F"/>
          </w:tcPr>
          <w:p>
            <w:pPr>
              <w:keepNext/>
              <w:spacing w:after="0"/>
              <w:ind w:firstLine="0" w:firstLineChars="0"/>
              <w:jc w:val="center"/>
            </w:pPr>
            <w:r>
              <w:rPr>
                <w:rFonts w:ascii="Arial" w:hAnsi="Arial" w:eastAsia="ＭＳ ゴシック"/>
                <w:b/>
                <w:color w:val="FFFFFF"/>
                <w:sz w:val="20"/>
              </w:rPr>
              <w:t>ＲＯＥ</w:t>
            </w:r>
          </w:p>
        </w:tc>
        <w:tc>
          <w:tcPr>
            <w:tcW w:type="dxa" w:w="1928"/>
            <w:shd w:val="clear" w:color="auto" w:fill="16324F"/>
          </w:tcPr>
          <w:p>
            <w:pPr>
              <w:keepNext/>
              <w:spacing w:after="0"/>
              <w:ind w:firstLine="0" w:firstLineChars="0"/>
              <w:jc w:val="center"/>
            </w:pPr>
            <w:r>
              <w:rPr>
                <w:rFonts w:ascii="Arial" w:hAnsi="Arial" w:eastAsia="ＭＳ ゴシック"/>
                <w:b/>
                <w:color w:val="FFFFFF"/>
                <w:sz w:val="20"/>
              </w:rPr>
              <w:t>益回り(Ｅ／Ｐ)</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3092 ＺＯＺＯ</w:t>
            </w:r>
          </w:p>
        </w:tc>
        <w:tc>
          <w:tcPr>
            <w:tcW w:type="dxa" w:w="1928"/>
          </w:tcPr>
          <w:p>
            <w:pPr>
              <w:keepNext/>
              <w:spacing w:after="0"/>
              <w:ind w:firstLine="0" w:firstLineChars="0"/>
              <w:jc w:val="left"/>
            </w:pPr>
            <w:r>
              <w:rPr>
                <w:rFonts w:ascii="Times New Roman" w:hAnsi="Times New Roman" w:eastAsia="ＭＳ 明朝"/>
                <w:b w:val="0"/>
                <w:color w:val="000000"/>
                <w:sz w:val="20"/>
              </w:rPr>
              <w:t>小売業</w:t>
            </w:r>
          </w:p>
        </w:tc>
        <w:tc>
          <w:tcPr>
            <w:tcW w:type="dxa" w:w="1474"/>
          </w:tcPr>
          <w:p>
            <w:pPr>
              <w:keepNext/>
              <w:spacing w:after="0"/>
              <w:ind w:firstLine="0" w:firstLineChars="0"/>
              <w:jc w:val="left"/>
            </w:pPr>
            <w:r>
              <w:rPr>
                <w:rFonts w:ascii="Times New Roman" w:hAnsi="Times New Roman" w:eastAsia="ＭＳ 明朝"/>
                <w:b w:val="0"/>
                <w:color w:val="000000"/>
                <w:sz w:val="20"/>
              </w:rPr>
              <w:t>43%</w:t>
            </w:r>
          </w:p>
        </w:tc>
        <w:tc>
          <w:tcPr>
            <w:tcW w:type="dxa" w:w="1928"/>
          </w:tcPr>
          <w:p>
            <w:pPr>
              <w:keepNext/>
              <w:spacing w:after="0"/>
              <w:ind w:firstLine="0" w:firstLineChars="0"/>
              <w:jc w:val="left"/>
            </w:pPr>
            <w:r>
              <w:rPr>
                <w:rFonts w:ascii="Times New Roman" w:hAnsi="Times New Roman" w:eastAsia="ＭＳ 明朝"/>
                <w:b w:val="0"/>
                <w:color w:val="000000"/>
                <w:sz w:val="20"/>
              </w:rPr>
              <w:t>5.1%</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4716 日本オラクル</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情報・通信業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37%</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5.2%</w:t>
            </w:r>
          </w:p>
        </w:tc>
      </w:tr>
      <w:tr>
        <w:trPr>
          <w:cantSplit/>
        </w:trPr>
        <w:tc>
          <w:tcPr>
            <w:tcW w:type="dxa" w:w="3515"/>
          </w:tcPr>
          <w:p>
            <w:pPr>
              <w:keepNext/>
              <w:spacing w:after="0"/>
              <w:ind w:firstLine="0" w:firstLineChars="0"/>
              <w:jc w:val="left"/>
            </w:pPr>
            <w:r>
              <w:rPr>
                <w:rFonts w:ascii="Times New Roman" w:hAnsi="Times New Roman" w:eastAsia="ＭＳ 明朝"/>
                <w:b w:val="0"/>
                <w:color w:val="000000"/>
                <w:sz w:val="20"/>
              </w:rPr>
              <w:t>7014 名村造船所</w:t>
            </w:r>
          </w:p>
        </w:tc>
        <w:tc>
          <w:tcPr>
            <w:tcW w:type="dxa" w:w="1928"/>
          </w:tcPr>
          <w:p>
            <w:pPr>
              <w:keepNext/>
              <w:spacing w:after="0"/>
              <w:ind w:firstLine="0" w:firstLineChars="0"/>
              <w:jc w:val="left"/>
            </w:pPr>
            <w:r>
              <w:rPr>
                <w:rFonts w:ascii="Times New Roman" w:hAnsi="Times New Roman" w:eastAsia="ＭＳ 明朝"/>
                <w:b w:val="0"/>
                <w:color w:val="000000"/>
                <w:sz w:val="20"/>
              </w:rPr>
              <w:t>輸送用機器</w:t>
            </w:r>
          </w:p>
        </w:tc>
        <w:tc>
          <w:tcPr>
            <w:tcW w:type="dxa" w:w="1474"/>
          </w:tcPr>
          <w:p>
            <w:pPr>
              <w:keepNext/>
              <w:spacing w:after="0"/>
              <w:ind w:firstLine="0" w:firstLineChars="0"/>
              <w:jc w:val="left"/>
            </w:pPr>
            <w:r>
              <w:rPr>
                <w:rFonts w:ascii="Times New Roman" w:hAnsi="Times New Roman" w:eastAsia="ＭＳ 明朝"/>
                <w:b w:val="0"/>
                <w:color w:val="000000"/>
                <w:sz w:val="20"/>
              </w:rPr>
              <w:t>25%</w:t>
            </w:r>
          </w:p>
        </w:tc>
        <w:tc>
          <w:tcPr>
            <w:tcW w:type="dxa" w:w="1928"/>
          </w:tcPr>
          <w:p>
            <w:pPr>
              <w:keepNext/>
              <w:spacing w:after="0"/>
              <w:ind w:firstLine="0" w:firstLineChars="0"/>
              <w:jc w:val="left"/>
            </w:pPr>
            <w:r>
              <w:rPr>
                <w:rFonts w:ascii="Times New Roman" w:hAnsi="Times New Roman" w:eastAsia="ＭＳ 明朝"/>
                <w:b w:val="0"/>
                <w:color w:val="000000"/>
                <w:sz w:val="20"/>
              </w:rPr>
              <w:t>10.8%</w:t>
            </w:r>
          </w:p>
        </w:tc>
      </w:tr>
      <w:tr>
        <w:trPr>
          <w:cantSplit/>
        </w:trPr>
        <w:tc>
          <w:tcPr>
            <w:tcW w:type="dxa" w:w="3515"/>
            <w:shd w:val="clear" w:color="auto" w:fill="F2F6F4"/>
          </w:tcPr>
          <w:p>
            <w:pPr>
              <w:keepNext/>
              <w:spacing w:after="0"/>
              <w:ind w:firstLine="0" w:firstLineChars="0"/>
              <w:jc w:val="left"/>
            </w:pPr>
            <w:r>
              <w:rPr>
                <w:rFonts w:ascii="Times New Roman" w:hAnsi="Times New Roman" w:eastAsia="ＭＳ 明朝"/>
                <w:b w:val="0"/>
                <w:color w:val="000000"/>
                <w:sz w:val="20"/>
              </w:rPr>
              <w:t>8136 サンリオ</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卸売業</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39%</w:t>
            </w:r>
          </w:p>
        </w:tc>
        <w:tc>
          <w:tcPr>
            <w:tcW w:type="dxa" w:w="1928"/>
            <w:shd w:val="clear" w:color="auto" w:fill="F2F6F4"/>
          </w:tcPr>
          <w:p>
            <w:pPr>
              <w:keepNext/>
              <w:spacing w:after="0"/>
              <w:ind w:firstLine="0" w:firstLineChars="0"/>
              <w:jc w:val="left"/>
            </w:pPr>
            <w:r>
              <w:rPr>
                <w:rFonts w:ascii="Times New Roman" w:hAnsi="Times New Roman" w:eastAsia="ＭＳ 明朝"/>
                <w:b w:val="0"/>
                <w:color w:val="000000"/>
                <w:sz w:val="20"/>
              </w:rPr>
              <w:t>3.7%</w:t>
            </w:r>
          </w:p>
        </w:tc>
      </w:tr>
      <w:tr>
        <w:trPr>
          <w:cantSplit/>
        </w:trPr>
        <w:tc>
          <w:tcPr>
            <w:tcW w:type="dxa" w:w="3515"/>
          </w:tcPr>
          <w:p>
            <w:pPr>
              <w:spacing w:after="0"/>
              <w:ind w:firstLine="0" w:firstLineChars="0"/>
              <w:jc w:val="left"/>
            </w:pPr>
            <w:r>
              <w:rPr>
                <w:rFonts w:ascii="Times New Roman" w:hAnsi="Times New Roman" w:eastAsia="ＭＳ 明朝"/>
                <w:b w:val="0"/>
                <w:color w:val="000000"/>
                <w:sz w:val="20"/>
              </w:rPr>
              <w:t>6920 レーザーテック</w:t>
            </w:r>
          </w:p>
        </w:tc>
        <w:tc>
          <w:tcPr>
            <w:tcW w:type="dxa" w:w="1928"/>
          </w:tcPr>
          <w:p>
            <w:pPr>
              <w:spacing w:after="0"/>
              <w:ind w:firstLine="0" w:firstLineChars="0"/>
              <w:jc w:val="left"/>
            </w:pPr>
            <w:r>
              <w:rPr>
                <w:rFonts w:ascii="Times New Roman" w:hAnsi="Times New Roman" w:eastAsia="ＭＳ 明朝"/>
                <w:b w:val="0"/>
                <w:color w:val="000000"/>
                <w:sz w:val="20"/>
              </w:rPr>
              <w:t>電気機器</w:t>
            </w:r>
          </w:p>
        </w:tc>
        <w:tc>
          <w:tcPr>
            <w:tcW w:type="dxa" w:w="1474"/>
          </w:tcPr>
          <w:p>
            <w:pPr>
              <w:spacing w:after="0"/>
              <w:ind w:firstLine="0" w:firstLineChars="0"/>
              <w:jc w:val="left"/>
            </w:pPr>
            <w:r>
              <w:rPr>
                <w:rFonts w:ascii="Times New Roman" w:hAnsi="Times New Roman" w:eastAsia="ＭＳ 明朝"/>
                <w:b w:val="0"/>
                <w:color w:val="000000"/>
                <w:sz w:val="20"/>
              </w:rPr>
              <w:t>40%</w:t>
            </w:r>
          </w:p>
        </w:tc>
        <w:tc>
          <w:tcPr>
            <w:tcW w:type="dxa" w:w="1928"/>
          </w:tcPr>
          <w:p>
            <w:pPr>
              <w:spacing w:after="0"/>
              <w:ind w:firstLine="0" w:firstLineChars="0"/>
              <w:jc w:val="left"/>
            </w:pPr>
            <w:r>
              <w:rPr>
                <w:rFonts w:ascii="Times New Roman" w:hAnsi="Times New Roman" w:eastAsia="ＭＳ 明朝"/>
                <w:b w:val="0"/>
                <w:color w:val="000000"/>
                <w:sz w:val="20"/>
              </w:rPr>
              <w:t>2.5%</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守Top5の中身 ― 割安×優良の複合順位(ＲＯＥの順位＋益回りの順位)の上位5社。同一業種は2社まで。出所：選定記録より筆者作成。</w:t>
      </w:r>
    </w:p>
    <w:p>
      <w:pPr>
        <w:keepNext/>
        <w:spacing w:before="100" w:after="40" w:line="298" w:lineRule="auto"/>
        <w:ind w:firstLine="0" w:firstLineChars="0"/>
      </w:pPr>
      <w:r>
        <w:rPr>
          <w:rFonts w:ascii="Arial" w:hAnsi="Arial" w:eastAsia="ＭＳ ゴシック"/>
          <w:b/>
          <w:color w:val="16324F"/>
          <w:sz w:val="21"/>
        </w:rPr>
        <w:t>図表Ⅱ-5　スクリーニング1(守)の絞り込み ― 適格1,791社から完成した堀Top5へ</w:t>
      </w:r>
    </w:p>
    <w:p>
      <w:pPr>
        <w:jc w:val="center"/>
        <w:keepNext/>
        <w:ind w:firstLine="0" w:firstLineChars="0"/>
      </w:pPr>
      <w:r>
        <w:drawing>
          <wp:inline xmlns:a="http://schemas.openxmlformats.org/drawingml/2006/main" xmlns:pic="http://schemas.openxmlformats.org/drawingml/2006/picture">
            <wp:extent cx="5328000" cy="3240000"/>
            <wp:docPr id="4" name="Picture 4"/>
            <wp:cNvGraphicFramePr>
              <a:graphicFrameLocks noChangeAspect="1"/>
            </wp:cNvGraphicFramePr>
            <a:graphic>
              <a:graphicData uri="http://schemas.openxmlformats.org/drawingml/2006/picture">
                <pic:pic>
                  <pic:nvPicPr>
                    <pic:cNvPr id="0" name="fig2_shu_v9.png"/>
                    <pic:cNvPicPr/>
                  </pic:nvPicPr>
                  <pic:blipFill>
                    <a:blip r:embed="rId13"/>
                    <a:stretch>
                      <a:fillRect/>
                    </a:stretch>
                  </pic:blipFill>
                  <pic:spPr>
                    <a:xfrm>
                      <a:off x="0" y="0"/>
                      <a:ext cx="5328000" cy="3240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注：棒の長さは残った会社数(対数目盛)。1-1〜1-6は品質の六関門、1-7は価格ランク可能、1-8で5社に固定。出所：選定記録より筆者作成。</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守の5社(基準線)が確定した。しかし守の品質レンズは「いま完成している堀」しか映さない――次の破は、その死角(割安×変革)を探しに行く。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スクリーニング２　</w:t>
      </w:r>
      <w:r>
        <w:rPr>
          <w:rFonts w:ascii="Arial" w:hAnsi="Arial" w:eastAsia="ＭＳ ゴシック"/>
          <w:b/>
          <w:color w:val="16324F"/>
          <w:sz w:val="23"/>
        </w:rPr>
        <w:t xml:space="preserve">　破 ― 型を破り、変わる堀を選ぶ(1,791社→5社)</w:t>
      </w:r>
    </w:p>
    <w:p>
      <w:pPr>
        <w:spacing w:after="80" w:line="281" w:lineRule="auto"/>
        <w:jc w:val="both"/>
        <w:ind w:firstLineChars="100" w:firstLine="210"/>
      </w:pPr>
      <w:r>
        <w:rPr>
          <w:rFonts w:ascii="Times New Roman" w:hAnsi="Times New Roman" w:eastAsia="ＭＳ 明朝"/>
          <w:b w:val="0"/>
          <w:color w:val="000000"/>
          <w:sz w:val="21"/>
        </w:rPr>
        <w:t>ねらい: 守の品質レンズは「いま完成している堀」しか映さない。破では、その型を一度『破り』、いまは割安に放置されているが、東証の資本効率改革や脱炭素の流れでこれから評価が変わる会社(変わる堀)を探す。適格1,791社のうち変わる堀に分類されるのは282社――ここから黒字と最低限の収益性で絞り、変わる堀の点数の上位5社を選ぶ。まず点数の作り方(手順1〜3と式10)、次に結果(何社→何社)を示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手順1　単位の違う7つの部品を、どう公平に比べるか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変わる堀の点数は、先行研究由来の7つの部品から組み立てる(下表)。部品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jc w:val="center"/>
            </w:pPr>
            <w:r>
              <w:rPr>
                <w:rFonts w:ascii="Arial" w:hAnsi="Arial" w:eastAsia="ＭＳ ゴシック"/>
                <w:b/>
                <w:color w:val="FFFFFF"/>
                <w:sz w:val="20"/>
              </w:rPr>
              <w:t>部品</w:t>
            </w:r>
          </w:p>
        </w:tc>
        <w:tc>
          <w:tcPr>
            <w:tcW w:type="dxa" w:w="3515"/>
            <w:shd w:val="clear" w:color="auto" w:fill="16324F"/>
          </w:tcPr>
          <w:p>
            <w:pPr>
              <w:spacing w:after="0"/>
              <w:ind w:firstLine="0" w:firstLineChars="0"/>
              <w:jc w:val="center"/>
            </w:pPr>
            <w:r>
              <w:rPr>
                <w:rFonts w:ascii="Arial" w:hAnsi="Arial" w:eastAsia="ＭＳ ゴシック"/>
                <w:b/>
                <w:color w:val="FFFFFF"/>
                <w:sz w:val="20"/>
              </w:rPr>
              <w:t>何を測るか</w:t>
            </w:r>
          </w:p>
        </w:tc>
        <w:tc>
          <w:tcPr>
            <w:tcW w:type="dxa" w:w="2948"/>
            <w:shd w:val="clear" w:color="auto" w:fill="16324F"/>
          </w:tcPr>
          <w:p>
            <w:pPr>
              <w:spacing w:after="0"/>
              <w:ind w:firstLine="0" w:firstLineChars="0"/>
              <w:jc w:val="center"/>
            </w:pPr>
            <w:r>
              <w:rPr>
                <w:rFonts w:ascii="Arial" w:hAnsi="Arial" w:eastAsia="ＭＳ ゴシック"/>
                <w:b/>
                <w:color w:val="FFFFFF"/>
                <w:sz w:val="20"/>
              </w:rPr>
              <w:t>出典(先行研究)</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① 純資産比(Ｂ／Ｍ)</w:t>
            </w:r>
          </w:p>
        </w:tc>
        <w:tc>
          <w:tcPr>
            <w:tcW w:type="dxa" w:w="3515"/>
          </w:tcPr>
          <w:p>
            <w:pPr>
              <w:spacing w:after="0"/>
              <w:ind w:firstLine="0" w:firstLineChars="0"/>
              <w:jc w:val="left"/>
            </w:pPr>
            <w:r>
              <w:rPr>
                <w:rFonts w:ascii="Times New Roman" w:hAnsi="Times New Roman" w:eastAsia="ＭＳ 明朝"/>
                <w:b w:val="0"/>
                <w:color w:val="000000"/>
                <w:sz w:val="20"/>
              </w:rPr>
              <w:t>純資産に対して安いか</w:t>
            </w:r>
          </w:p>
        </w:tc>
        <w:tc>
          <w:tcPr>
            <w:tcW w:type="dxa" w:w="2948"/>
          </w:tcPr>
          <w:p>
            <w:pPr>
              <w:spacing w:after="0"/>
              <w:ind w:firstLine="0" w:firstLineChars="0"/>
              <w:jc w:val="left"/>
            </w:pPr>
            <w:r>
              <w:rPr>
                <w:rFonts w:ascii="Times New Roman" w:hAnsi="Times New Roman" w:eastAsia="ＭＳ 明朝"/>
                <w:b w:val="0"/>
                <w:color w:val="000000"/>
                <w:sz w:val="20"/>
              </w:rPr>
              <w:t>Fama and French (1993)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② 益回り(Ｅ／Ｐ)</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利益に対して安いか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Basu (1977; 1983)</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③ 粗利÷総資産</w:t>
            </w:r>
          </w:p>
        </w:tc>
        <w:tc>
          <w:tcPr>
            <w:tcW w:type="dxa" w:w="3515"/>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Novy-Marx (2013)</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④ 財務6項目の合格割合</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Piotroski (2000) の簡約版</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⑤ 利益と現金の差</w:t>
            </w:r>
          </w:p>
        </w:tc>
        <w:tc>
          <w:tcPr>
            <w:tcW w:type="dxa" w:w="3515"/>
          </w:tcPr>
          <w:p>
            <w:pPr>
              <w:spacing w:after="0"/>
              <w:ind w:firstLine="0" w:firstLineChars="0"/>
              <w:jc w:val="left"/>
            </w:pPr>
            <w:r>
              <w:rPr>
                <w:rFonts w:ascii="Times New Roman" w:hAnsi="Times New Roman" w:eastAsia="ＭＳ 明朝"/>
                <w:b w:val="0"/>
                <w:color w:val="000000"/>
                <w:sz w:val="20"/>
              </w:rPr>
              <w:t>利益の質(会計の水増しがないか)</w:t>
            </w:r>
          </w:p>
        </w:tc>
        <w:tc>
          <w:tcPr>
            <w:tcW w:type="dxa" w:w="2948"/>
          </w:tcPr>
          <w:p>
            <w:pPr>
              <w:spacing w:after="0"/>
              <w:ind w:firstLine="0" w:firstLineChars="0"/>
              <w:jc w:val="left"/>
            </w:pPr>
            <w:r>
              <w:rPr>
                <w:rFonts w:ascii="Times New Roman" w:hAnsi="Times New Roman" w:eastAsia="ＭＳ 明朝"/>
                <w:b w:val="0"/>
                <w:color w:val="000000"/>
                <w:sz w:val="20"/>
              </w:rPr>
              <w:t>Sloan (1996)</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⑥ 危険よけ</w:t>
            </w:r>
          </w:p>
        </w:tc>
        <w:tc>
          <w:tcPr>
            <w:tcW w:type="dxa" w:w="3515"/>
            <w:shd w:val="clear" w:color="auto" w:fill="F2F6F4"/>
          </w:tcPr>
          <w:p>
            <w:pPr>
              <w:spacing w:after="0"/>
              <w:ind w:firstLine="0" w:firstLineChars="0"/>
              <w:jc w:val="left"/>
            </w:pPr>
            <w:r>
              <w:rPr>
                <w:rFonts w:ascii="Times New Roman" w:hAnsi="Times New Roman" w:eastAsia="ＭＳ 明朝"/>
                <w:b w:val="0"/>
                <w:color w:val="000000"/>
                <w:sz w:val="20"/>
              </w:rPr>
              <w:t>債務超過・連続赤字の回避</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Altman (1968)・Ohlson (1980) の考え方</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⑦ 売買のしやすさ</w:t>
            </w:r>
          </w:p>
        </w:tc>
        <w:tc>
          <w:tcPr>
            <w:tcW w:type="dxa" w:w="3515"/>
          </w:tcPr>
          <w:p>
            <w:pPr>
              <w:spacing w:after="0"/>
              <w:ind w:firstLine="0" w:firstLineChars="0"/>
              <w:jc w:val="left"/>
            </w:pPr>
            <w:r>
              <w:rPr>
                <w:rFonts w:ascii="Times New Roman" w:hAnsi="Times New Roman" w:eastAsia="ＭＳ 明朝"/>
                <w:b w:val="0"/>
                <w:color w:val="000000"/>
                <w:sz w:val="20"/>
              </w:rPr>
              <w:t>60日平均売買代金</w:t>
            </w:r>
          </w:p>
        </w:tc>
        <w:tc>
          <w:tcPr>
            <w:tcW w:type="dxa" w:w="2948"/>
          </w:tcPr>
          <w:p>
            <w:pPr>
              <w:spacing w:after="0"/>
              <w:ind w:firstLine="0" w:firstLineChars="0"/>
              <w:jc w:val="left"/>
            </w:pPr>
            <w:r>
              <w:rPr>
                <w:rFonts w:ascii="Times New Roman" w:hAnsi="Times New Roman" w:eastAsia="ＭＳ 明朝"/>
                <w:b w:val="0"/>
                <w:color w:val="000000"/>
                <w:sz w:val="20"/>
              </w:rPr>
              <w:t>Amihud (2002)</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図表Ⅱ-6　変わる堀の点数を組み立てる7つの部品と出典。測る量はすべて先行研究にあるものだけを使う。</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単位の違う指標を比べるため、実数を「全体の中で何番目か」に置き換える。</w:t>
            </w:r>
          </w:p>
          <w:p>
            <w:pPr>
              <w:spacing w:before="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よって、7つの部品すべてを0〜1の順位点に変換して比べる。式の定義は一切変えない。</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重みつき合成点(変革の論理で設計)</w:t>
      </w:r>
    </w:p>
    <w:p>
      <w:pPr>
        <w:spacing w:after="40" w:line="281" w:lineRule="auto"/>
        <w:jc w:val="both"/>
        <w:ind w:firstLineChars="100" w:firstLine="210"/>
      </w:pPr>
      <w:r>
        <w:rPr>
          <w:rFonts w:ascii="Times New Roman" w:hAnsi="Times New Roman" w:eastAsia="ＭＳ 明朝"/>
          <w:b w:val="0"/>
          <w:color w:val="000000"/>
          <w:sz w:val="21"/>
        </w:rPr>
        <w:t>各順位点に重みを付けて足し合わせ、危険な兆候(データ欠け・極端に小さい会社など)には減点を与える。重みとは、どの項目を何倍重視するかの係数である。複数のシグナルを一つの合成点に束ねる形は、9項目の合計点で勝ち組と負け組を分けたPiotroski (2000)のＦスコアと同型であり、私たちはその「合計」を「重みつき合計−減点」に一般化した(式9)。重みは過去リターンへの当てはめでは決めない――どの重みなら過去の成績が良かったか、という決め方は後出しの罠だからである。『安さ』より『改善の実行』を重くする、という変革の論理から概念的に設計し、決めた後に順位の安定性を監査した(実際の値は式10・式11の欄に示す)。</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複数の順位点に、重視する度合い(＝重み)を掛けて一つの点数に足し合わせる。</w:t>
            </w:r>
          </w:p>
          <w:p>
            <w:pPr>
              <w:spacing w:before="0" w:after="40"/>
              <w:ind w:firstLine="0" w:firstLineChars="0"/>
            </w:pPr>
            <w:r>
              <w:rPr>
                <w:rFonts w:ascii="Times New Roman" w:hAnsi="Times New Roman" w:eastAsia="ＭＳ 明朝"/>
                <w:b w:val="0"/>
                <w:color w:val="000000"/>
                <w:sz w:val="20"/>
              </w:rPr>
              <w:t>ｗ＝指標ｋの重み(変革の論理で設計し、全設定を記録)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頑健さの監査</w:t>
      </w:r>
    </w:p>
    <w:p>
      <w:pPr>
        <w:spacing w:after="40" w:line="281" w:lineRule="auto"/>
        <w:jc w:val="both"/>
        <w:ind w:firstLineChars="100" w:firstLine="210"/>
      </w:pPr>
      <w:r>
        <w:rPr>
          <w:rFonts w:ascii="Times New Roman" w:hAnsi="Times New Roman" w:eastAsia="ＭＳ 明朝"/>
          <w:b w:val="0"/>
          <w:color w:val="000000"/>
          <w:sz w:val="21"/>
        </w:rPr>
        <w:t>順位化のやり方は一つではない。市場全体での順位・業種の中での順位・外れ値に強い標準化で付け直し、顔ぶれが入れ替わらないかを確かめた。付け方に敏感な会社は離の個別確認へ引き継いだ。</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式(10)の導出 ― 変わる堀の定義を、測れる四つの要素に分ける</w:t>
      </w:r>
    </w:p>
    <w:p>
      <w:pPr>
        <w:spacing w:after="40" w:line="281" w:lineRule="auto"/>
        <w:jc w:val="both"/>
        <w:ind w:firstLineChars="100" w:firstLine="210"/>
      </w:pPr>
      <w:r>
        <w:rPr>
          <w:rFonts w:ascii="Times New Roman" w:hAnsi="Times New Roman" w:eastAsia="ＭＳ 明朝"/>
          <w:b w:val="0"/>
          <w:color w:val="000000"/>
          <w:sz w:val="21"/>
        </w:rPr>
        <w:t>式(9)の合成点を、変わる堀に合わせて具体化したものが式(10)である(破の選定に使う独自の物差し)。ここから式(10)〜(12)は私たちの設計だが、導出は三つの原則に従う――第一に、部品は先行研究と前掲の順位点の再利用。第二に、重みは成績で決めない(過去リターンへの当てはめは後出しの罠)。第三に、点数(魅力の大きさ)と証拠(裏づけの強さ)を混ぜない。変わる堀の定義『割安に放置されているが、資本効率改革の実行でこれから評価が変わる会社』を、六つの測れる要素に分ける――(a)割安ギャップＶ(いま割安か＝純資産比・益回りの順位点)、(b)資本効率の改善Ｃ(ＲＯＥ・利益率が良くなっているか)、(c)株主還元の強化Ｒ(配当・自社株買いの実行)、(d)改革シグナルＫ(中期計画・ＰＢＲ改善策の開示)、(e)実行の確かさＥ(赤字や債務の重さがなく、改革を続けられるか)、(f)ワナ耐性Ｑ(安いだけでなく本業の質があるか)。これらを重みつきで束ね、『安いだけの会社』を弾く減点を差し引く。</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式（10）変わる堀の点数(破の選定に使用・私たちの設計)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K</m:t>
                    </m:r>
                  </m:sub>
                </m:sSub>
                <m:sSub>
                  <m:e>
                    <m:r>
                      <m:t>K</m:t>
                    </m:r>
                  </m:e>
                  <m:sub>
                    <m:r>
                      <m:t>i</m:t>
                    </m:r>
                  </m:sub>
                </m:sSub>
                <m:r>
                  <m:rPr>
                    <m:sty m:val="p"/>
                  </m:rPr>
                  <m:t>+</m:t>
                </m:r>
                <m:sSub>
                  <m:e>
                    <m:r>
                      <m:t>w</m:t>
                    </m:r>
                  </m:e>
                  <m:sub>
                    <m:r>
                      <m:t>E</m:t>
                    </m:r>
                  </m:sub>
                </m:sSub>
                <m:sSub>
                  <m:e>
                    <m:r>
                      <m:t>E</m:t>
                    </m:r>
                  </m:e>
                  <m:sub>
                    <m:r>
                      <m:t>i</m:t>
                    </m:r>
                  </m:sub>
                </m:sSub>
                <m:r>
                  <m:rPr>
                    <m:sty m:val="p"/>
                  </m:rPr>
                  <m:t>+</m:t>
                </m:r>
                <m:sSub>
                  <m:e>
                    <m:r>
                      <m:t>w</m:t>
                    </m:r>
                  </m:e>
                  <m:sub>
                    <m:r>
                      <m:t>Q</m:t>
                    </m:r>
                  </m:sub>
                </m:sSub>
                <m:sSub>
                  <m:e>
                    <m:r>
                      <m:t>Q</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割安さより「改善を実行した証拠」を重くして、変われる会社を点数にする。</w:t>
            </w:r>
          </w:p>
          <w:p>
            <w:pPr>
              <w:spacing w:before="0" w:after="40"/>
              <w:ind w:firstLine="0" w:firstLineChars="0"/>
            </w:pPr>
            <w:r>
              <w:rPr>
                <w:rFonts w:ascii="Times New Roman" w:hAnsi="Times New Roman" w:eastAsia="ＭＳ 明朝"/>
                <w:b w:val="0"/>
                <w:color w:val="000000"/>
                <w:sz w:val="20"/>
              </w:rPr>
              <w:t>Ｖ＝割安ギャップ(重み0.20)　Ｃ＝資本効率の改善(0.22)　Ｒ＝株主還元の強化(0.16)　Ｋ＝改革シグナル＝開示(0.17)　Ｅ＝実行の確かさ(0.13)　Ｑ＝ワナ耐性(0.12)　Ｐ＝割安のワナ減点。最も重いのは改善の実行(Ｃ)で、割安(Ｖ)より重い。決めた後に各重みを±20％動かしても顔ぶれが変わらないことを確かめた。</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よって、割安さに「変革の実行」が重なる会社ほど高得点とし、安いだけの会社は減点で弾く。</w:t>
      </w:r>
    </w:p>
    <w:p>
      <w:pPr>
        <w:spacing w:after="80" w:line="281" w:lineRule="auto"/>
        <w:jc w:val="both"/>
        <w:ind w:firstLineChars="100" w:firstLine="210"/>
      </w:pPr>
      <w:r>
        <w:rPr>
          <w:rFonts w:ascii="Times New Roman" w:hAnsi="Times New Roman" w:eastAsia="ＭＳ 明朝"/>
          <w:b w:val="0"/>
          <w:color w:val="000000"/>
          <w:sz w:val="21"/>
        </w:rPr>
        <w:t>結果: 適格1,791社 →(2-1 変わる堀に分類)282社 →(2-2 黒字)251社 →(2-3 ＲＯＥ≧5％)227社 →(2-4 変わる堀の点数の上位・同一業種2社まで・他の役割との重複を除く)5社。選ばれたのは、9022 東海旅客鉄道、9513 電源開発、9503 関西電力、1662 石油資源開発、5214 日本電気硝子である。</w:t>
      </w:r>
    </w:p>
    <w:p>
      <w:pPr>
        <w:keepNext/>
        <w:spacing w:before="100" w:after="40" w:line="298" w:lineRule="auto"/>
        <w:ind w:firstLine="0" w:firstLineChars="0"/>
      </w:pPr>
      <w:r>
        <w:rPr>
          <w:rFonts w:ascii="Arial" w:hAnsi="Arial" w:eastAsia="ＭＳ ゴシック"/>
          <w:b/>
          <w:color w:val="16324F"/>
          <w:sz w:val="21"/>
        </w:rPr>
        <w:t>図表Ⅱ-7　スクリーニング2(破)の絞り込み ― 適格1,791社から変わる堀5社へ</w:t>
      </w:r>
    </w:p>
    <w:p>
      <w:pPr>
        <w:jc w:val="center"/>
        <w:keepNext/>
        <w:ind w:firstLine="0" w:firstLineChars="0"/>
      </w:pPr>
      <w:r>
        <w:drawing>
          <wp:inline xmlns:a="http://schemas.openxmlformats.org/drawingml/2006/main" xmlns:pic="http://schemas.openxmlformats.org/drawingml/2006/picture">
            <wp:extent cx="5328000" cy="2232000"/>
            <wp:docPr id="5" name="Picture 5"/>
            <wp:cNvGraphicFramePr>
              <a:graphicFrameLocks noChangeAspect="1"/>
            </wp:cNvGraphicFramePr>
            <a:graphic>
              <a:graphicData uri="http://schemas.openxmlformats.org/drawingml/2006/picture">
                <pic:pic>
                  <pic:nvPicPr>
                    <pic:cNvPr id="0" name="fig2_ha_v9.png"/>
                    <pic:cNvPicPr/>
                  </pic:nvPicPr>
                  <pic:blipFill>
                    <a:blip r:embed="rId14"/>
                    <a:stretch>
                      <a:fillRect/>
                    </a:stretch>
                  </pic:blipFill>
                  <pic:spPr>
                    <a:xfrm>
                      <a:off x="0" y="0"/>
                      <a:ext cx="5328000" cy="2232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注：棒の長さは残った会社数(対数目盛)。変わる堀の点数(式10)は2-4の並べ替えにのみ使い、最終20社の配分には使わない。出所：選定記録より筆者作成。</w:t>
      </w:r>
    </w:p>
    <w:p>
      <w:pPr>
        <w:spacing w:after="80" w:line="281" w:lineRule="auto"/>
        <w:jc w:val="both"/>
        <w:ind w:firstLineChars="100" w:firstLine="210"/>
      </w:pPr>
      <w:r>
        <w:rPr>
          <w:rFonts w:ascii="Times New Roman" w:hAnsi="Times New Roman" w:eastAsia="ＭＳ 明朝"/>
          <w:b w:val="0"/>
          <w:color w:val="000000"/>
          <w:sz w:val="21"/>
        </w:rPr>
        <w:t>通し例: 東海旅客鉄道(9022)。変わる堀に分類された282社の一社で、黒字(2-2)・ＲＯＥ≧5％(2-3)を通過し、変わる堀の点数の順位で上位に入った(2-4)。純資産比1.44倍の割安に、数字で確認できる改善の証拠(証拠の強さ 水準3・式12で後述)が重なる――「安いだけ」ではない変わる堀の典型である。</w:t>
      </w:r>
    </w:p>
    <w:p>
      <w:pPr>
        <w:spacing w:after="40" w:line="281" w:lineRule="auto"/>
        <w:jc w:val="both"/>
        <w:ind w:firstLineChars="100" w:firstLine="210"/>
      </w:pPr>
      <w:r>
        <w:rPr>
          <w:rFonts w:ascii="Times New Roman" w:hAnsi="Times New Roman" w:eastAsia="ＭＳ 明朝"/>
          <w:b w:val="0"/>
          <w:color w:val="000000"/>
          <w:sz w:val="21"/>
        </w:rPr>
        <w:t>破の限界も先に書く。時間を遡った完全な将来予測の検証(学習期間と検証期間の厳密な分割)は、使える年度数の制約で完了していない。したがってこの候補づくりに将来リターンを予測する力があるとは主張しない。割安×変革の候補を広く・壊れにくく作ること――それが破の役割である。</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受け渡し: 変わる堀5社が確定した。しかし破の物差しは会計数値に表れる変革しか測れない――次の離は、数値になる前の「生まれる堀」を測りに行く。</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スクリーニング３　</w:t>
      </w:r>
      <w:r>
        <w:rPr>
          <w:rFonts w:ascii="Arial" w:hAnsi="Arial" w:eastAsia="ＭＳ ゴシック"/>
          <w:b/>
          <w:color w:val="16324F"/>
          <w:sz w:val="23"/>
        </w:rPr>
        <w:t xml:space="preserve">　離 ― 生まれる堀を、点数でなく事業の証拠で選ぶ(1,791社→5社)</w:t>
      </w:r>
    </w:p>
    <w:p>
      <w:pPr>
        <w:spacing w:after="80" w:line="281" w:lineRule="auto"/>
        <w:jc w:val="both"/>
        <w:ind w:firstLineChars="100" w:firstLine="210"/>
      </w:pPr>
      <w:r>
        <w:rPr>
          <w:rFonts w:ascii="Times New Roman" w:hAnsi="Times New Roman" w:eastAsia="ＭＳ 明朝"/>
          <w:b w:val="0"/>
          <w:color w:val="000000"/>
          <w:sz w:val="21"/>
        </w:rPr>
        <w:t>ねらい: 生まれる堀(ＡＩ・半導体の実需が育てる未来の競争優位)は、会計数値にまだ表れない。study のキーワード型の点数(未来の堀の点数)は、適格1,791社のうち555社を未来分類に挙げる。しかし、この点数をそのまま選定に使うことはできなかった。理由は単純で、決定的である――全上場では273社が同じ点数で並び、火災報知機のホーチキ・時計のシチズン・鉄道信号の日本信号が、半導体マスク検査装置で世界的地位を持つレーザーテックと同点になる。社名・業種へのキーワード照合が生む飽和であり、点数では『本当にＡＩ・半導体の実需を持つ会社』を選別できない。だから、この経路は破棄した(3-1)。</w:t>
      </w:r>
    </w:p>
    <w:p>
      <w:pPr>
        <w:spacing w:after="80" w:line="281" w:lineRule="auto"/>
        <w:jc w:val="both"/>
        <w:ind w:firstLineChars="100" w:firstLine="210"/>
      </w:pPr>
      <w:r>
        <w:rPr>
          <w:rFonts w:ascii="Times New Roman" w:hAnsi="Times New Roman" w:eastAsia="ＭＳ 明朝"/>
          <w:b w:val="0"/>
          <w:color w:val="000000"/>
          <w:sz w:val="21"/>
        </w:rPr>
        <w:t>そこで離の選定は、点数の並べ替えから証拠の確認へ切り替えた。候補を精査し、事業セグメントの開示まで遡ってＡＩ・半導体・光通信の実需(製品・顧客・投資)を確認できた会社だけを通す(3-2)。そのうえで、全枝共通の適格ガード――黒字・最低限の収益性ＲＯＥ≧5％・流動性・履歴3年――を課す(3-3)。疑わしきは除外する保守設計である。まず点数の設計(式11)と証拠の関所(式12)を示し、次に結果を示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生まれる堀は「堀の源泉」を未来方向へ対応づける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2001)に沿って、堀の源泉を六つの測れる部品に対応づけた――無形資産Ｉ・技術力Ｎ・急所を握る度合いＢ(価格決定力)・ＡＩ基盤への実需接続Ａ・データ顧客基盤Ｄ・信頼と安全Ｔである。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式（11）生まれる堀の点数(離の評価に使用・私たちの設計)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ＡＩの実需にどれだけ深く接続しているかを、証拠の強さも足して点数にする。</w:t>
            </w:r>
          </w:p>
          <w:p>
            <w:pPr>
              <w:spacing w:before="0" w:after="40"/>
              <w:ind w:firstLine="0" w:firstLineChars="0"/>
            </w:pPr>
            <w:r>
              <w:rPr>
                <w:rFonts w:ascii="Times New Roman" w:hAnsi="Times New Roman" w:eastAsia="ＭＳ 明朝"/>
                <w:b w:val="0"/>
                <w:color w:val="000000"/>
                <w:sz w:val="20"/>
              </w:rPr>
              <w:t>Ｉ＝無形資産(重み0.18)　Ｎ＝技術力(0.15)　Ｂ＝急所を握る度合い＝価格決定力(0.18)　Ａ＝ＡＩ基盤への実需接続(0.22＝最重視)　Ｄ＝データ・顧客基盤(0.14)　Ｔ＝信頼・安全(0.13)　加点Ｂ^Evi＝証拠水準{1,2,3}を{2,4,8}点に対応づけ　減点Ｐ^Hype＝キーワードの接点しかない会社。</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中心仮説「ＡＩ基盤への実需接続が新しい堀を生む」からＡ(ＡＩ接続)を最重視し、堀の古典的源泉(無形資産・急所を握る度合い)と技術力が続く――過去リターンでは決めない。加点は証拠水準が1段上がるごとに2点→4点→8点と倍にした(水準3=数字まで確認はそれだけ希少)。ただし正直に書く――この点数の土台になる開示データのキーワード照合が前述のとおり飽和する(273社が同点)ため、式(11)は選定の決定打にはならない。役割は二つに限る: 候補の点検・比較の物差しと、キーワードの接点しかない会社への減点(Ｐ^Hype)である。</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よって、生まれる堀の点数は評価の物差しにとどめ、選定の決定は次の証拠の関所(式12)と事業検証(3-2)に委ねる。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キーワードだけ＝水準1、製品・顧客の具体性＝水準2、数字まで確認＝水準3。</w:t>
            </w:r>
          </w:p>
          <w:p>
            <w:pPr>
              <w:spacing w:before="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証拠内訳は、事業で実需を確認できた水準3が9社・水準2が11社である(守の完成した堀は品質基準で選び、証拠水準は破・離の判定に用いる)。</w:t>
      </w:r>
    </w:p>
    <w:p>
      <w:pPr>
        <w:spacing w:after="80" w:line="281" w:lineRule="auto"/>
        <w:jc w:val="both"/>
        <w:ind w:firstLineChars="100" w:firstLine="210"/>
      </w:pPr>
      <w:r>
        <w:rPr>
          <w:rFonts w:ascii="Times New Roman" w:hAnsi="Times New Roman" w:eastAsia="ＭＳ 明朝"/>
          <w:b w:val="0"/>
          <w:color w:val="000000"/>
          <w:sz w:val="21"/>
        </w:rPr>
        <w:t>結果: 候補を精査し、事業セグメントの開示でＡＩ・半導体・光通信の実需を確認できたのは7社(うち予備2社)。何をどの開示で確認したかを検証台帳として残す(下表)――誰でも同じ資料で追試できる。適格ガード(3-3)を通過した5社――6777 ｓａｎｔｅｃＨＤ、6871 日本マイクロニクス、6590 芝浦メカトロニクス、6387 サムコ　、6627 テラプローブ――を生まれる堀とした。なお正直に書き添える――この5社のうちｓａｎｔｅｃ ＨＤ(6777)と日本マイクロニクス(6871)は、第Ⅲ章で比較する新バフェット型20社にも入っていた。私たちは財務の数字ではなく事業の開示から先にこの2社を選んだが、生まれる堀が財務数値にも現れ始めていたことになる。彼の式では選ばれないのは残る13社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948"/>
            <w:shd w:val="clear" w:color="auto" w:fill="16324F"/>
          </w:tcPr>
          <w:p>
            <w:pPr>
              <w:spacing w:after="0"/>
              <w:ind w:firstLine="0" w:firstLineChars="0"/>
              <w:jc w:val="center"/>
            </w:pPr>
            <w:r>
              <w:rPr>
                <w:rFonts w:ascii="Arial" w:hAnsi="Arial" w:eastAsia="ＭＳ ゴシック"/>
                <w:b/>
                <w:color w:val="FFFFFF"/>
                <w:sz w:val="20"/>
              </w:rPr>
              <w:t>コード・社名</w:t>
            </w:r>
          </w:p>
        </w:tc>
        <w:tc>
          <w:tcPr>
            <w:tcW w:type="dxa" w:w="4876"/>
            <w:shd w:val="clear" w:color="auto" w:fill="16324F"/>
          </w:tcPr>
          <w:p>
            <w:pPr>
              <w:spacing w:after="0"/>
              <w:ind w:firstLine="0" w:firstLineChars="0"/>
              <w:jc w:val="center"/>
            </w:pPr>
            <w:r>
              <w:rPr>
                <w:rFonts w:ascii="Arial" w:hAnsi="Arial" w:eastAsia="ＭＳ ゴシック"/>
                <w:b/>
                <w:color w:val="FFFFFF"/>
                <w:sz w:val="20"/>
              </w:rPr>
              <w:t>開示で確認した実需(セグメント・製品)</w:t>
            </w:r>
          </w:p>
        </w:tc>
        <w:tc>
          <w:tcPr>
            <w:tcW w:type="dxa" w:w="1020"/>
            <w:shd w:val="clear" w:color="auto" w:fill="16324F"/>
          </w:tcPr>
          <w:p>
            <w:pPr>
              <w:spacing w:after="0"/>
              <w:ind w:firstLine="0" w:firstLineChars="0"/>
              <w:jc w:val="center"/>
            </w:pPr>
            <w:r>
              <w:rPr>
                <w:rFonts w:ascii="Arial" w:hAnsi="Arial" w:eastAsia="ＭＳ ゴシック"/>
                <w:b/>
                <w:color w:val="FFFFFF"/>
                <w:sz w:val="20"/>
              </w:rPr>
              <w:t>採否</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santecホールディングス</w:t>
            </w:r>
          </w:p>
        </w:tc>
        <w:tc>
          <w:tcPr>
            <w:tcW w:type="dxa" w:w="4876"/>
          </w:tcPr>
          <w:p>
            <w:pPr>
              <w:spacing w:after="0"/>
              <w:ind w:firstLine="0" w:firstLineChars="0"/>
              <w:jc w:val="left"/>
            </w:pPr>
            <w:r>
              <w:rPr>
                <w:rFonts w:ascii="Times New Roman" w:hAnsi="Times New Roman" w:eastAsia="ＭＳ 明朝"/>
                <w:b w:val="0"/>
                <w:color w:val="000000"/>
                <w:sz w:val="20"/>
              </w:rPr>
              <w:t>ＡＩデータセンター向け波長可変レーザ・光通信部品</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4876"/>
          </w:tcPr>
          <w:p>
            <w:pPr>
              <w:spacing w:after="0"/>
              <w:ind w:firstLine="0" w:firstLineChars="0"/>
              <w:jc w:val="left"/>
            </w:pPr>
            <w:r>
              <w:rPr>
                <w:rFonts w:ascii="Times New Roman" w:hAnsi="Times New Roman" w:eastAsia="ＭＳ 明朝"/>
                <w:b w:val="0"/>
                <w:color w:val="000000"/>
                <w:sz w:val="20"/>
              </w:rPr>
              <w:t>半導体・ＦＰＤ製造装置(洗浄・成膜)</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6387 サムコ</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化合物半導体(GaN/SiC)製造装置</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6627 テラプローブ</w:t>
            </w:r>
          </w:p>
        </w:tc>
        <w:tc>
          <w:tcPr>
            <w:tcW w:type="dxa" w:w="4876"/>
          </w:tcPr>
          <w:p>
            <w:pPr>
              <w:spacing w:after="0"/>
              <w:ind w:firstLine="0" w:firstLineChars="0"/>
              <w:jc w:val="left"/>
            </w:pPr>
            <w:r>
              <w:rPr>
                <w:rFonts w:ascii="Times New Roman" w:hAnsi="Times New Roman" w:eastAsia="ＭＳ 明朝"/>
                <w:b w:val="0"/>
                <w:color w:val="000000"/>
                <w:sz w:val="20"/>
              </w:rPr>
              <w:t>半導体ウエハテスト受託</w:t>
            </w:r>
          </w:p>
        </w:tc>
        <w:tc>
          <w:tcPr>
            <w:tcW w:type="dxa" w:w="1020"/>
          </w:tcPr>
          <w:p>
            <w:pPr>
              <w:spacing w:after="0"/>
              <w:ind w:firstLine="0" w:firstLineChars="0"/>
              <w:jc w:val="left"/>
            </w:pPr>
            <w:r>
              <w:rPr>
                <w:rFonts w:ascii="Times New Roman" w:hAnsi="Times New Roman" w:eastAsia="ＭＳ 明朝"/>
                <w:b w:val="0"/>
                <w:color w:val="000000"/>
                <w:sz w:val="20"/>
              </w:rPr>
              <w:t>採用</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6951 日本電子</w:t>
            </w:r>
          </w:p>
        </w:tc>
        <w:tc>
          <w:tcPr>
            <w:tcW w:type="dxa" w:w="4876"/>
            <w:shd w:val="clear" w:color="auto" w:fill="F2F6F4"/>
          </w:tcPr>
          <w:p>
            <w:pPr>
              <w:spacing w:after="0"/>
              <w:ind w:firstLine="0" w:firstLineChars="0"/>
              <w:jc w:val="left"/>
            </w:pPr>
            <w:r>
              <w:rPr>
                <w:rFonts w:ascii="Times New Roman" w:hAnsi="Times New Roman" w:eastAsia="ＭＳ 明朝"/>
                <w:b w:val="0"/>
                <w:color w:val="000000"/>
                <w:sz w:val="20"/>
              </w:rPr>
              <w:t>電子顕微鏡・電子線計測(半導体計測)</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予備</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6941 山一電機</w:t>
            </w:r>
          </w:p>
        </w:tc>
        <w:tc>
          <w:tcPr>
            <w:tcW w:type="dxa" w:w="4876"/>
          </w:tcPr>
          <w:p>
            <w:pPr>
              <w:spacing w:after="0"/>
              <w:ind w:firstLine="0" w:firstLineChars="0"/>
              <w:jc w:val="left"/>
            </w:pPr>
            <w:r>
              <w:rPr>
                <w:rFonts w:ascii="Times New Roman" w:hAnsi="Times New Roman" w:eastAsia="ＭＳ 明朝"/>
                <w:b w:val="0"/>
                <w:color w:val="000000"/>
                <w:sz w:val="20"/>
              </w:rPr>
              <w:t>半導体テストソケット</w:t>
            </w:r>
          </w:p>
        </w:tc>
        <w:tc>
          <w:tcPr>
            <w:tcW w:type="dxa" w:w="1020"/>
          </w:tcPr>
          <w:p>
            <w:pPr>
              <w:spacing w:after="0"/>
              <w:ind w:firstLine="0" w:firstLineChars="0"/>
              <w:jc w:val="left"/>
            </w:pPr>
            <w:r>
              <w:rPr>
                <w:rFonts w:ascii="Times New Roman" w:hAnsi="Times New Roman" w:eastAsia="ＭＳ 明朝"/>
                <w:b w:val="0"/>
                <w:color w:val="000000"/>
                <w:sz w:val="20"/>
              </w:rPr>
              <w:t>予備</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図表Ⅱ-8　離の検証台帳 ― 実需を確認できた7社(予備2社を含む)。確認先は各社の事業セグメント開示(有価証券報告書・決算説明資料)。</w:t>
      </w:r>
    </w:p>
    <w:p>
      <w:pPr>
        <w:keepNext/>
        <w:spacing w:before="100" w:after="40" w:line="298" w:lineRule="auto"/>
        <w:ind w:firstLine="0" w:firstLineChars="0"/>
      </w:pPr>
      <w:r>
        <w:rPr>
          <w:rFonts w:ascii="Arial" w:hAnsi="Arial" w:eastAsia="ＭＳ ゴシック"/>
          <w:b/>
          <w:color w:val="16324F"/>
          <w:sz w:val="21"/>
        </w:rPr>
        <w:t>図表Ⅱ-9　スクリーニング3(離)の分岐 ― キーワード経路を破棄し、事業の証拠で5社へ</w:t>
      </w:r>
    </w:p>
    <w:p>
      <w:pPr>
        <w:jc w:val="center"/>
        <w:keepNext/>
        <w:ind w:firstLine="0" w:firstLineChars="0"/>
      </w:pPr>
      <w:r>
        <w:drawing>
          <wp:inline xmlns:a="http://schemas.openxmlformats.org/drawingml/2006/main" xmlns:pic="http://schemas.openxmlformats.org/drawingml/2006/picture">
            <wp:extent cx="5328000" cy="2664000"/>
            <wp:docPr id="6" name="Picture 6"/>
            <wp:cNvGraphicFramePr>
              <a:graphicFrameLocks noChangeAspect="1"/>
            </wp:cNvGraphicFramePr>
            <a:graphic>
              <a:graphicData uri="http://schemas.openxmlformats.org/drawingml/2006/picture">
                <pic:pic>
                  <pic:nvPicPr>
                    <pic:cNvPr id="0" name="fig2_ri_v9.png"/>
                    <pic:cNvPicPr/>
                  </pic:nvPicPr>
                  <pic:blipFill>
                    <a:blip r:embed="rId15"/>
                    <a:stretch>
                      <a:fillRect/>
                    </a:stretch>
                  </pic:blipFill>
                  <pic:spPr>
                    <a:xfrm>
                      <a:off x="0" y="0"/>
                      <a:ext cx="5328000" cy="2664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注：破棄した経路(3-1)も隠さず描く。事業検証(3-2)は開示資料に基づき、誰でも同じ資料で追試できる。出所：選定記録より筆者作成。</w:t>
      </w:r>
    </w:p>
    <w:p>
      <w:pPr>
        <w:spacing w:after="120" w:line="281" w:lineRule="auto"/>
        <w:jc w:val="both"/>
        <w:ind w:firstLineChars="100" w:firstLine="210"/>
      </w:pPr>
      <w:r>
        <w:rPr>
          <w:rFonts w:ascii="Times New Roman" w:hAnsi="Times New Roman" w:eastAsia="ＭＳ 明朝"/>
          <w:b w:val="0"/>
          <w:color w:val="000000"/>
          <w:sz w:val="21"/>
        </w:rPr>
        <w:t>通し例: ｓａｎｔｅｃ ＨＤ(6777)。事業セグメントの開示でＡＩデータセンター向け光通信部品の実需(製品・顧客)を確認できた7社の一社(3-2)。黒字・ＲＯＥ≧5％・流動性・履歴3年の適格ガードを通過(3-3)。未来の堀の偏差値70・証拠の強さ 水準3(式12の階段で判定)。</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スクリーニング４　</w:t>
      </w:r>
      <w:r>
        <w:rPr>
          <w:rFonts w:ascii="Arial" w:hAnsi="Arial" w:eastAsia="ＭＳ ゴシック"/>
          <w:b/>
          <w:color w:val="16324F"/>
          <w:sz w:val="23"/>
        </w:rPr>
        <w:t xml:space="preserve">　両立型・分散役 ― 支え役を選ぶ(適格プール1,463社→3社＋2社)</w:t>
      </w:r>
    </w:p>
    <w:p>
      <w:pPr>
        <w:spacing w:after="80" w:line="281" w:lineRule="auto"/>
        <w:jc w:val="both"/>
        <w:ind w:firstLineChars="100" w:firstLine="210"/>
      </w:pPr>
      <w:r>
        <w:rPr>
          <w:rFonts w:ascii="Times New Roman" w:hAnsi="Times New Roman" w:eastAsia="ＭＳ 明朝"/>
          <w:b w:val="0"/>
          <w:color w:val="000000"/>
          <w:sz w:val="21"/>
        </w:rPr>
        <w:t>ねらい: 三本の枝(守・破・離)は、それぞれの世代に特化するがゆえに隙間を残す。両立型は「変わる」と「生まれる」の橋渡し役、分散役は業種・テーマの偏りの調整役である。主役ではなく支え役なので、枠は3社＋2社と少数にした。</w:t>
      </w:r>
    </w:p>
    <w:p>
      <w:pPr>
        <w:spacing w:after="80" w:line="281" w:lineRule="auto"/>
        <w:jc w:val="both"/>
        <w:ind w:firstLineChars="100" w:firstLine="210"/>
      </w:pPr>
      <w:r>
        <w:rPr>
          <w:rFonts w:ascii="Times New Roman" w:hAnsi="Times New Roman" w:eastAsia="ＭＳ 明朝"/>
          <w:b w:val="0"/>
          <w:color w:val="000000"/>
          <w:sz w:val="21"/>
        </w:rPr>
        <w:t>両立型(4-1): 黒字×ＲＯＥ≧5％の適格プール1,463社から、現在の堀と未来の堀の両方の順位がともに上位の3社を選ぶ(同一業種2社まで)。判定は式(12)の弱い方(min)――当てはめ例のキーエンス(6861)は「変わる証拠(高収益の持続)」と「新テーマの証拠(工場自動化・ＡＩの実需)」の両方を事業の開示で確認できて初めて、両立型として通す。分散役(4-2): 選定済みの銘柄が使っていない業種に限り、総合点の上位2社を選ぶ(638社→2社)。</w:t>
      </w:r>
    </w:p>
    <w:p>
      <w:pPr>
        <w:spacing w:after="120" w:line="281" w:lineRule="auto"/>
        <w:jc w:val="both"/>
        <w:ind w:firstLineChars="100" w:firstLine="210"/>
      </w:pPr>
      <w:r>
        <w:rPr>
          <w:rFonts w:ascii="Times New Roman" w:hAnsi="Times New Roman" w:eastAsia="ＭＳ 明朝"/>
          <w:b w:val="0"/>
          <w:color w:val="000000"/>
          <w:sz w:val="21"/>
        </w:rPr>
        <w:t>結果: 両立型は6861 キーエンス、7725 インターアクション、6929 日本セラミックの3社、分散役は3449 テクノフレックス、4971 メックの2社である。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合流 ― 5＋5＋5＋3＋2＝20社。なぜこの構成か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図表Ⅱ-10　合流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4032000" cy="2184000"/>
            <wp:docPr id="7" name="Picture 7"/>
            <wp:cNvGraphicFramePr>
              <a:graphicFrameLocks noChangeAspect="1"/>
            </wp:cNvGraphicFramePr>
            <a:graphic>
              <a:graphicData uri="http://schemas.openxmlformats.org/drawingml/2006/picture">
                <pic:pic>
                  <pic:nvPicPr>
                    <pic:cNvPr id="0" name="fig2_merge_v10.png"/>
                    <pic:cNvPicPr/>
                  </pic:nvPicPr>
                  <pic:blipFill>
                    <a:blip r:embed="rId16"/>
                    <a:stretch>
                      <a:fillRect/>
                    </a:stretch>
                  </pic:blipFill>
                  <pic:spPr>
                    <a:xfrm>
                      <a:off x="0" y="0"/>
                      <a:ext cx="4032000" cy="2184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三通りの検査で答えた(下表)。事前に宣言した目安(条件を一つ変えても大半が一致)を満たし、条件③は達成である。都合の悪い結果も書く――配分を最小分散に替えるとリターンは主対照を下回るが、その場合も効率(シャープ1.72対1.37)と下落(-16.8%対-30.8%)では上回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608"/>
            <w:shd w:val="clear" w:color="auto" w:fill="16324F"/>
          </w:tcPr>
          <w:p>
            <w:pPr>
              <w:spacing w:after="0"/>
              <w:ind w:firstLine="0" w:firstLineChars="0"/>
              <w:jc w:val="center"/>
            </w:pPr>
            <w:r>
              <w:rPr>
                <w:rFonts w:ascii="Arial" w:hAnsi="Arial" w:eastAsia="ＭＳ ゴシック"/>
                <w:b/>
                <w:color w:val="FFFFFF"/>
                <w:sz w:val="20"/>
              </w:rPr>
              <w:t>何を動かしたか</w:t>
            </w:r>
          </w:p>
        </w:tc>
        <w:tc>
          <w:tcPr>
            <w:tcW w:type="dxa" w:w="1361"/>
            <w:shd w:val="clear" w:color="auto" w:fill="16324F"/>
          </w:tcPr>
          <w:p>
            <w:pPr>
              <w:spacing w:after="0"/>
              <w:ind w:firstLine="0" w:firstLineChars="0"/>
              <w:jc w:val="center"/>
            </w:pPr>
            <w:r>
              <w:rPr>
                <w:rFonts w:ascii="Arial" w:hAnsi="Arial" w:eastAsia="ＭＳ ゴシック"/>
                <w:b/>
                <w:color w:val="FFFFFF"/>
                <w:sz w:val="20"/>
              </w:rPr>
              <w:t>動かした通り数</w:t>
            </w:r>
          </w:p>
        </w:tc>
        <w:tc>
          <w:tcPr>
            <w:tcW w:type="dxa" w:w="5669"/>
            <w:shd w:val="clear" w:color="auto" w:fill="16324F"/>
          </w:tcPr>
          <w:p>
            <w:pPr>
              <w:spacing w:after="0"/>
              <w:ind w:firstLine="0" w:firstLineChars="0"/>
              <w:jc w:val="center"/>
            </w:pPr>
            <w:r>
              <w:rPr>
                <w:rFonts w:ascii="Arial" w:hAnsi="Arial" w:eastAsia="ＭＳ ゴシック"/>
                <w:b/>
                <w:color w:val="FFFFFF"/>
                <w:sz w:val="20"/>
              </w:rPr>
              <w:t>結果</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守の品質関門の目安・順位・業種上限</w:t>
            </w:r>
          </w:p>
        </w:tc>
        <w:tc>
          <w:tcPr>
            <w:tcW w:type="dxa" w:w="1361"/>
          </w:tcPr>
          <w:p>
            <w:pPr>
              <w:spacing w:after="0"/>
              <w:ind w:firstLine="0" w:firstLineChars="0"/>
              <w:jc w:val="left"/>
            </w:pPr>
            <w:r>
              <w:rPr>
                <w:rFonts w:ascii="Times New Roman" w:hAnsi="Times New Roman" w:eastAsia="ＭＳ 明朝"/>
                <w:b w:val="0"/>
                <w:color w:val="000000"/>
                <w:sz w:val="20"/>
              </w:rPr>
              <w:t>8通り</w:t>
            </w:r>
          </w:p>
        </w:tc>
        <w:tc>
          <w:tcPr>
            <w:tcW w:type="dxa" w:w="5669"/>
          </w:tcPr>
          <w:p>
            <w:pPr>
              <w:spacing w:after="0"/>
              <w:ind w:firstLine="0" w:firstLineChars="0"/>
              <w:jc w:val="left"/>
            </w:pPr>
            <w:r>
              <w:rPr>
                <w:rFonts w:ascii="Times New Roman" w:hAnsi="Times New Roman" w:eastAsia="ＭＳ 明朝"/>
                <w:b w:val="0"/>
                <w:color w:val="000000"/>
                <w:sz w:val="20"/>
              </w:rPr>
              <w:t>完成した堀5社は最小でも4社が一致。核の4社(ＺＯＺＯ・日本オラクル・名村造船・サンリオ)は全通りで不変</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500万円の配り方(配分方式)</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3通り</w:t>
            </w:r>
          </w:p>
        </w:tc>
        <w:tc>
          <w:tcPr>
            <w:tcW w:type="dxa" w:w="5669"/>
            <w:shd w:val="clear" w:color="auto" w:fill="F2F6F4"/>
          </w:tcPr>
          <w:p>
            <w:pPr>
              <w:spacing w:after="0"/>
              <w:ind w:firstLine="0" w:firstLineChars="0"/>
              <w:jc w:val="left"/>
            </w:pPr>
            <w:r>
              <w:rPr>
                <w:rFonts w:ascii="Times New Roman" w:hAnsi="Times New Roman" w:eastAsia="ＭＳ 明朝"/>
                <w:b w:val="0"/>
                <w:color w:val="000000"/>
                <w:sz w:val="20"/>
              </w:rPr>
              <w:t>均等53.8%・役割予算(採用)54.7%とも主対照(40.7%)を上回る。最小分散29.3%はリターンで下回るが下落は最小</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相場の局面(利上げ・ＡＩ相場・暴落)</w:t>
            </w:r>
          </w:p>
        </w:tc>
        <w:tc>
          <w:tcPr>
            <w:tcW w:type="dxa" w:w="1361"/>
          </w:tcPr>
          <w:p>
            <w:pPr>
              <w:spacing w:after="0"/>
              <w:ind w:firstLine="0" w:firstLineChars="0"/>
              <w:jc w:val="left"/>
            </w:pPr>
            <w:r>
              <w:rPr>
                <w:rFonts w:ascii="Times New Roman" w:hAnsi="Times New Roman" w:eastAsia="ＭＳ 明朝"/>
                <w:b w:val="0"/>
                <w:color w:val="000000"/>
                <w:sz w:val="20"/>
              </w:rPr>
              <w:t>4局面</w:t>
            </w:r>
          </w:p>
        </w:tc>
        <w:tc>
          <w:tcPr>
            <w:tcW w:type="dxa" w:w="5669"/>
          </w:tcPr>
          <w:p>
            <w:pPr>
              <w:spacing w:after="0"/>
              <w:ind w:firstLine="0" w:firstLineChars="0"/>
              <w:jc w:val="left"/>
            </w:pPr>
            <w:r>
              <w:rPr>
                <w:rFonts w:ascii="Times New Roman" w:hAnsi="Times New Roman" w:eastAsia="ＭＳ 明朝"/>
                <w:b w:val="0"/>
                <w:color w:val="000000"/>
                <w:sz w:val="20"/>
              </w:rPr>
              <w:t>下落が小さいのは4局面すべて。リターンは暴落局面を除く3局面で上回る(第Ⅲ章)</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図表Ⅱ-11　壊れにくさの検査(要約) ― 条件③の検証。数値は3年・年率。出所：筆者計算。</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守で完成した堀5社(条件①)、破・離で15社(条件②)を選び、目安・配分方式・相場局面の三通りで壊れにくさ(条件③)を確かめた。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どの銘柄が上がるかという予想は、一切使わない。予想を使えば、せっかく証拠で選んだ20社に、予想の当て推量が混ざってしまうからだ。配分は次の二段階だけで決めた。</w:t>
      </w:r>
    </w:p>
    <w:p>
      <w:pPr>
        <w:spacing w:before="0" w:after="40" w:line="293" w:lineRule="auto"/>
        <w:ind w:firstLine="0" w:firstLineChars="0"/>
      </w:pPr>
      <w:r>
        <w:rPr>
          <w:rFonts w:ascii="Arial" w:hAnsi="Arial" w:eastAsia="ＭＳ ゴシック"/>
          <w:b/>
          <w:color w:val="16324F"/>
          <w:sz w:val="20"/>
        </w:rPr>
        <w:t xml:space="preserve">・第一段階　役割ごとの予算　</w:t>
      </w:r>
      <w:r>
        <w:rPr>
          <w:rFonts w:ascii="Times New Roman" w:hAnsi="Times New Roman" w:eastAsia="ＭＳ 明朝"/>
          <w:b w:val="0"/>
          <w:color w:val="000000"/>
          <w:sz w:val="20"/>
        </w:rPr>
        <w:t>20社を五つの役割に分け(前章)、役割ごとに予算を決める。完成・変化・新生の三世代に各28％、両立型10％、分散役6％――三世代へ同額を置くのは、どの未来にも賭けないという設計の続きである。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・第二段階　役割の中では等分　</w:t>
      </w:r>
      <w:r>
        <w:rPr>
          <w:rFonts w:ascii="Times New Roman" w:hAnsi="Times New Roman" w:eastAsia="ＭＳ 明朝"/>
          <w:b w:val="0"/>
          <w:color w:val="000000"/>
          <w:sz w:val="20"/>
        </w:rPr>
        <w:t>同じ役割の中では、どの会社を厚くするかを決める材料を持たない(それを決めるには成績の予想が要る)。だから予算を社数で等しく割る。等分は素朴に見えて、予想を当てにする配分より実際には崩れにくい(ＤｅＭｉｇｕｅｌら, 2009)。買い方は、1株から買える単元未満株(金額指定)で目標比率どおりに配分する(式14)。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選定済み20社への配り方(DeMiguel, Garlappi and Uppal, 2009)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f>
                  <m:fPr>
                    <m:type m:val="bar"/>
                  </m:fPr>
                  <m:num>
                    <m:sSub>
                      <m:e>
                        <m:r>
                          <m:t>B</m:t>
                        </m:r>
                      </m:e>
                      <m:sub>
                        <m:r>
                          <m:t>r</m:t>
                        </m:r>
                        <m:r>
                          <m:rPr>
                            <m:sty m:val="p"/>
                          </m:rPr>
                          <m:t>(</m:t>
                        </m:r>
                        <m:r>
                          <m:t>i</m:t>
                        </m:r>
                        <m:r>
                          <m:rPr>
                            <m:sty m:val="p"/>
                          </m:rPr>
                          <m:t>)</m:t>
                        </m:r>
                      </m:sub>
                    </m:sSub>
                  </m:num>
                  <m:den>
                    <m:sSub>
                      <m:e>
                        <m:r>
                          <m:t>n</m:t>
                        </m:r>
                      </m:e>
                      <m:sub>
                        <m:r>
                          <m:t>r</m:t>
                        </m:r>
                        <m:r>
                          <m:rPr>
                            <m:sty m:val="p"/>
                          </m:rPr>
                          <m:t>(</m:t>
                        </m:r>
                        <m:r>
                          <m:t>i</m:t>
                        </m:r>
                        <m:r>
                          <m:rPr>
                            <m:sty m:val="p"/>
                          </m:rPr>
                          <m:t>)</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役割ごとの予算を、その役割の社数で等しく割るだけ。値上がりの予想は使わない。</w:t>
            </w:r>
          </w:p>
          <w:p>
            <w:pPr>
              <w:spacing w:before="0" w:after="40"/>
              <w:ind w:firstLine="0" w:firstLineChars="0"/>
            </w:pPr>
            <w:r>
              <w:rPr>
                <w:rFonts w:ascii="Times New Roman" w:hAnsi="Times New Roman" w:eastAsia="ＭＳ 明朝"/>
                <w:b w:val="0"/>
                <w:color w:val="000000"/>
                <w:sz w:val="20"/>
              </w:rPr>
              <w:t>Ｂ＝その役割の予算(守28／破28／離28／両立10／分散6％)　ｎ＝その役割の社数(5／5／5／3／2社)。結果として1社あたりの比率は、三世代の各社が5.6％、両立型が3.3％、分散役が3.0％になる。分散の考え方の土台はMarkowitz (1952)、等分の有効性はDeMiguel, Garlappi and Uppal (2009)による。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よって、配分に予想は入らない。役割の予算と社数だけで、20社の比率が機械的に決まる。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式（14）単元未満株での配分(日本取引所グループ「単元株制度」)</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f>
                  <m:fPr>
                    <m:type m:val="bar"/>
                  </m:fPr>
                  <m:num>
                    <m:r>
                      <m:t>B</m:t>
                    </m:r>
                    <m:r>
                      <m:t> </m:t>
                    </m:r>
                    <m:sSub>
                      <m:e>
                        <m:r>
                          <m:t>ω</m:t>
                        </m:r>
                      </m:e>
                      <m:sub>
                        <m:r>
                          <m:t>i</m:t>
                        </m:r>
                      </m:sub>
                    </m:sSub>
                  </m:num>
                  <m:den>
                    <m:sSub>
                      <m:e>
                        <m:r>
                          <m:t>P</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Arial" w:hAnsi="Arial" w:eastAsia="ＭＳ ゴシック"/>
                <w:b/>
                <w:color w:val="2F6D5F"/>
                <w:sz w:val="20"/>
              </w:rPr>
              <w:t xml:space="preserve">ひとこと訳　</w:t>
            </w:r>
            <w:r>
              <w:rPr>
                <w:rFonts w:ascii="Times New Roman" w:hAnsi="Times New Roman" w:eastAsia="ＭＳ 明朝"/>
                <w:b w:val="0"/>
                <w:color w:val="000000"/>
                <w:sz w:val="20"/>
              </w:rPr>
              <w:t>500万円を目標の比率どおりに配るため、1株単位で買える前提で株数を計算する。</w:t>
            </w:r>
          </w:p>
          <w:p>
            <w:pPr>
              <w:spacing w:before="0" w:after="40"/>
              <w:ind w:firstLine="0" w:firstLineChars="0"/>
            </w:pPr>
            <w:r>
              <w:rPr>
                <w:rFonts w:ascii="Times New Roman" w:hAnsi="Times New Roman" w:eastAsia="ＭＳ 明朝"/>
                <w:b w:val="0"/>
                <w:color w:val="000000"/>
                <w:sz w:val="20"/>
              </w:rPr>
              <w:t>ｑ＝購入株数(単元未満株=1株未満の端株も可)　Ｂ＝総予算500万円　ω＝目標比率(式13)　Ｐ＝株価。大型優良は株価が高く通常の売買単位(100株)では収まらないため、金額指定の単元未満株を前提とする。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よって、目標比率どおりに金額を割り当て、総予算500万円のうち4,999,996円(使用率100.0%)を投資に充てた。</w:t>
      </w:r>
    </w:p>
    <w:p>
      <w:pPr>
        <w:spacing w:after="80" w:line="281" w:lineRule="auto"/>
        <w:jc w:val="both"/>
        <w:ind w:firstLineChars="100" w:firstLine="210"/>
      </w:pPr>
      <w:r>
        <w:rPr>
          <w:rFonts w:ascii="Times New Roman" w:hAnsi="Times New Roman" w:eastAsia="ＭＳ 明朝"/>
          <w:b w:val="0"/>
          <w:color w:val="000000"/>
          <w:sz w:val="21"/>
        </w:rPr>
        <w:t>最終配分と20社の顔ぶれを、図表Ⅲ-1に一覧で示す（配分・事業概要・堀の偏差値を一表に集約）。役割の予算は守28／破28／離28／両立10／分散6％で、1社あたりの最大は5.6％――どの1社にも6％以上を賭けていない。堀の偏差値は全上場企業の中での位置を平均50で表した値で、現在の堀＝いまの競争優位、未来の堀＝これから生まれる競争優位の強さを示す。</w:t>
      </w:r>
    </w:p>
    <w:tbl>
      <w:tblPr>
        <w:tblStyle w:val="TableGrid"/>
        <w:tblW w:type="auto" w:w="0"/>
        <w:jc w:val="center"/>
        <w:tblLook w:firstColumn="1" w:firstRow="1" w:lastColumn="0" w:lastRow="0" w:noHBand="0" w:noVBand="1" w:val="04A0"/>
        <w:tblLayout w:type="fixed"/>
      </w:tblPr>
      <w:tblGrid>
        <w:gridCol w:w="1927"/>
        <w:gridCol w:w="566"/>
        <w:gridCol w:w="1530"/>
        <w:gridCol w:w="4365"/>
        <w:gridCol w:w="737"/>
        <w:gridCol w:w="737"/>
      </w:tblGrid>
      <w:tr>
        <w:trPr>
          <w:cantSplit/>
        </w:trPr>
        <w:tc>
          <w:tcPr>
            <w:tcW w:type="dxa" w:w="1928"/>
            <w:shd w:val="clear" w:color="auto" w:fill="16324F"/>
          </w:tcPr>
          <w:p>
            <w:pPr>
              <w:spacing w:after="0"/>
              <w:ind w:firstLine="0" w:firstLineChars="0"/>
              <w:jc w:val="center"/>
            </w:pPr>
            <w:r>
              <w:rPr>
                <w:rFonts w:ascii="Arial" w:hAnsi="Arial" w:eastAsia="ＭＳ ゴシック"/>
                <w:b/>
                <w:color w:val="FFFFFF"/>
                <w:sz w:val="20"/>
              </w:rPr>
              <w:t>企業（コード・社名）</w:t>
            </w:r>
          </w:p>
        </w:tc>
        <w:tc>
          <w:tcPr>
            <w:tcW w:type="dxa" w:w="567"/>
            <w:shd w:val="clear" w:color="auto" w:fill="16324F"/>
          </w:tcPr>
          <w:p>
            <w:pPr>
              <w:spacing w:after="0"/>
              <w:ind w:firstLine="0" w:firstLineChars="0"/>
              <w:jc w:val="center"/>
            </w:pPr>
            <w:r>
              <w:rPr>
                <w:rFonts w:ascii="Arial" w:hAnsi="Arial" w:eastAsia="ＭＳ ゴシック"/>
                <w:b/>
                <w:color w:val="FFFFFF"/>
                <w:sz w:val="20"/>
              </w:rPr>
              <w:t>役割</w:t>
            </w:r>
          </w:p>
        </w:tc>
        <w:tc>
          <w:tcPr>
            <w:tcW w:type="dxa" w:w="1531"/>
            <w:shd w:val="clear" w:color="auto" w:fill="16324F"/>
          </w:tcPr>
          <w:p>
            <w:pPr>
              <w:spacing w:after="0"/>
              <w:ind w:firstLine="0" w:firstLineChars="0"/>
              <w:jc w:val="center"/>
            </w:pPr>
            <w:r>
              <w:rPr>
                <w:rFonts w:ascii="Arial" w:hAnsi="Arial" w:eastAsia="ＭＳ ゴシック"/>
                <w:b/>
                <w:color w:val="FFFFFF"/>
                <w:sz w:val="20"/>
              </w:rPr>
              <w:t>比率・金額(円)</w:t>
            </w:r>
          </w:p>
        </w:tc>
        <w:tc>
          <w:tcPr>
            <w:tcW w:type="dxa" w:w="4365"/>
            <w:shd w:val="clear" w:color="auto" w:fill="16324F"/>
          </w:tcPr>
          <w:p>
            <w:pPr>
              <w:spacing w:after="0"/>
              <w:ind w:firstLine="0" w:firstLineChars="0"/>
              <w:jc w:val="center"/>
            </w:pPr>
            <w:r>
              <w:rPr>
                <w:rFonts w:ascii="Arial" w:hAnsi="Arial" w:eastAsia="ＭＳ ゴシック"/>
                <w:b/>
                <w:color w:val="FFFFFF"/>
                <w:sz w:val="20"/>
              </w:rPr>
              <w:t>事業概要（要ＩＲ確認）</w:t>
            </w:r>
          </w:p>
        </w:tc>
        <w:tc>
          <w:tcPr>
            <w:tcW w:type="dxa" w:w="737"/>
            <w:shd w:val="clear" w:color="auto" w:fill="16324F"/>
          </w:tcPr>
          <w:p>
            <w:pPr>
              <w:spacing w:after="0"/>
              <w:ind w:firstLine="0" w:firstLineChars="0"/>
              <w:jc w:val="center"/>
            </w:pPr>
            <w:r>
              <w:rPr>
                <w:rFonts w:ascii="Arial" w:hAnsi="Arial" w:eastAsia="ＭＳ ゴシック"/>
                <w:b/>
                <w:color w:val="FFFFFF"/>
                <w:sz w:val="20"/>
              </w:rPr>
              <w:t>現在</w:t>
              <w:br/>
              <w:t>の堀</w:t>
            </w:r>
          </w:p>
        </w:tc>
        <w:tc>
          <w:tcPr>
            <w:tcW w:type="dxa" w:w="737"/>
            <w:shd w:val="clear" w:color="auto" w:fill="16324F"/>
          </w:tcPr>
          <w:p>
            <w:pPr>
              <w:spacing w:after="0"/>
              <w:ind w:firstLine="0" w:firstLineChars="0"/>
              <w:jc w:val="center"/>
            </w:pPr>
            <w:r>
              <w:rPr>
                <w:rFonts w:ascii="Arial" w:hAnsi="Arial" w:eastAsia="ＭＳ ゴシック"/>
                <w:b/>
                <w:color w:val="FFFFFF"/>
                <w:sz w:val="20"/>
              </w:rPr>
              <w:t>未来</w:t>
              <w:br/>
              <w:t>の堀</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3092 ＺＯＺＯ</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国内最大級のファッションEC「ZOZOTOWN」を運営</w:t>
            </w:r>
          </w:p>
        </w:tc>
        <w:tc>
          <w:tcPr>
            <w:tcW w:type="dxa" w:w="737"/>
          </w:tcPr>
          <w:p>
            <w:pPr>
              <w:spacing w:after="0"/>
              <w:ind w:firstLine="0" w:firstLineChars="0"/>
              <w:jc w:val="left"/>
            </w:pPr>
            <w:r>
              <w:rPr>
                <w:rFonts w:ascii="Times New Roman" w:hAnsi="Times New Roman" w:eastAsia="ＭＳ 明朝"/>
                <w:b w:val="0"/>
                <w:color w:val="000000"/>
                <w:sz w:val="20"/>
              </w:rPr>
              <w:t>78</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4716 日本オラクル</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企業向けデータベース・クラウド（米Oracle日本法人）</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7014 名村造船所</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船舶建造（ばら積み船等）※循環業のため守での扱いは要検討</w:t>
            </w:r>
          </w:p>
        </w:tc>
        <w:tc>
          <w:tcPr>
            <w:tcW w:type="dxa" w:w="737"/>
          </w:tcPr>
          <w:p>
            <w:pPr>
              <w:spacing w:after="0"/>
              <w:ind w:firstLine="0" w:firstLineChars="0"/>
              <w:jc w:val="left"/>
            </w:pPr>
            <w:r>
              <w:rPr>
                <w:rFonts w:ascii="Times New Roman" w:hAnsi="Times New Roman" w:eastAsia="ＭＳ 明朝"/>
                <w:b w:val="0"/>
                <w:color w:val="000000"/>
                <w:sz w:val="20"/>
              </w:rPr>
              <w:t>45</w:t>
            </w:r>
          </w:p>
        </w:tc>
        <w:tc>
          <w:tcPr>
            <w:tcW w:type="dxa" w:w="737"/>
          </w:tcPr>
          <w:p>
            <w:pPr>
              <w:spacing w:after="0"/>
              <w:ind w:firstLine="0" w:firstLineChars="0"/>
              <w:jc w:val="left"/>
            </w:pPr>
            <w:r>
              <w:rPr>
                <w:rFonts w:ascii="Times New Roman" w:hAnsi="Times New Roman" w:eastAsia="ＭＳ 明朝"/>
                <w:b w:val="0"/>
                <w:color w:val="000000"/>
                <w:sz w:val="20"/>
              </w:rPr>
              <w:t>50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8136 サンリオ</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守</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ハローキティ等のキャラクターIP・ライセンス事業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67</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6920 レーザーテック</w:t>
            </w:r>
          </w:p>
        </w:tc>
        <w:tc>
          <w:tcPr>
            <w:tcW w:type="dxa" w:w="567"/>
          </w:tcPr>
          <w:p>
            <w:pPr>
              <w:spacing w:after="0"/>
              <w:ind w:firstLine="0" w:firstLineChars="0"/>
              <w:jc w:val="left"/>
            </w:pPr>
            <w:r>
              <w:rPr>
                <w:rFonts w:ascii="Times New Roman" w:hAnsi="Times New Roman" w:eastAsia="ＭＳ 明朝"/>
                <w:b w:val="0"/>
                <w:color w:val="000000"/>
                <w:sz w:val="20"/>
              </w:rPr>
              <w:t>守</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半導体マスク欠陥検査装置（EUV向けで世界的地位）</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9022 東海旅客鉄道</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東海道新幹線を運営、リニア中央新幹線を建設中</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9513 電源開発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卸電力（水力・火力・再エネ）、脱炭素で変革</w:t>
            </w:r>
          </w:p>
        </w:tc>
        <w:tc>
          <w:tcPr>
            <w:tcW w:type="dxa" w:w="737"/>
          </w:tcPr>
          <w:p>
            <w:pPr>
              <w:spacing w:after="0"/>
              <w:ind w:firstLine="0" w:firstLineChars="0"/>
              <w:jc w:val="left"/>
            </w:pPr>
            <w:r>
              <w:rPr>
                <w:rFonts w:ascii="Times New Roman" w:hAnsi="Times New Roman" w:eastAsia="ＭＳ 明朝"/>
                <w:b w:val="0"/>
                <w:color w:val="000000"/>
                <w:sz w:val="20"/>
              </w:rPr>
              <w:t>52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9503 関西電力</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電力事業（原発再稼働を推進）</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1662 石油資源開発</w:t>
            </w:r>
          </w:p>
        </w:tc>
        <w:tc>
          <w:tcPr>
            <w:tcW w:type="dxa" w:w="567"/>
          </w:tcPr>
          <w:p>
            <w:pPr>
              <w:spacing w:after="0"/>
              <w:ind w:firstLine="0" w:firstLineChars="0"/>
              <w:jc w:val="left"/>
            </w:pPr>
            <w:r>
              <w:rPr>
                <w:rFonts w:ascii="Times New Roman" w:hAnsi="Times New Roman" w:eastAsia="ＭＳ 明朝"/>
                <w:b w:val="0"/>
                <w:color w:val="000000"/>
                <w:sz w:val="20"/>
              </w:rPr>
              <w:t>破</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石油・天然ガスの探鉱開発（E&amp;P）、資源高・株主還元</w:t>
            </w:r>
          </w:p>
        </w:tc>
        <w:tc>
          <w:tcPr>
            <w:tcW w:type="dxa" w:w="737"/>
          </w:tcPr>
          <w:p>
            <w:pPr>
              <w:spacing w:after="0"/>
              <w:ind w:firstLine="0" w:firstLineChars="0"/>
              <w:jc w:val="left"/>
            </w:pPr>
            <w:r>
              <w:rPr>
                <w:rFonts w:ascii="Times New Roman" w:hAnsi="Times New Roman" w:eastAsia="ＭＳ 明朝"/>
                <w:b w:val="0"/>
                <w:color w:val="000000"/>
                <w:sz w:val="20"/>
              </w:rPr>
              <w:t>65</w:t>
            </w:r>
          </w:p>
        </w:tc>
        <w:tc>
          <w:tcPr>
            <w:tcW w:type="dxa" w:w="73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5214 日本電気硝子</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特殊ガラス（ディスプレイ・医薬・繊維用）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49</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6777 ｓａｎｔｅｃＨＤ</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波長可変レーザ・光通信部品（AIデータセンター向け）</w:t>
            </w:r>
          </w:p>
        </w:tc>
        <w:tc>
          <w:tcPr>
            <w:tcW w:type="dxa" w:w="737"/>
          </w:tcPr>
          <w:p>
            <w:pPr>
              <w:spacing w:after="0"/>
              <w:ind w:firstLine="0" w:firstLineChars="0"/>
              <w:jc w:val="left"/>
            </w:pPr>
            <w:r>
              <w:rPr>
                <w:rFonts w:ascii="Times New Roman" w:hAnsi="Times New Roman" w:eastAsia="ＭＳ 明朝"/>
                <w:b w:val="0"/>
                <w:color w:val="000000"/>
                <w:sz w:val="20"/>
              </w:rPr>
              <w:t>60</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6871 日本マイクロニクス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6590 芝浦メカトロニクス</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半導体・FPD製造装置（洗浄・成膜・検査）</w:t>
            </w:r>
          </w:p>
        </w:tc>
        <w:tc>
          <w:tcPr>
            <w:tcW w:type="dxa" w:w="737"/>
          </w:tcPr>
          <w:p>
            <w:pPr>
              <w:spacing w:after="0"/>
              <w:ind w:firstLine="0" w:firstLineChars="0"/>
              <w:jc w:val="left"/>
            </w:pPr>
            <w:r>
              <w:rPr>
                <w:rFonts w:ascii="Times New Roman" w:hAnsi="Times New Roman" w:eastAsia="ＭＳ 明朝"/>
                <w:b w:val="0"/>
                <w:color w:val="000000"/>
                <w:sz w:val="20"/>
              </w:rPr>
              <w:t>43</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 xml:space="preserve">6387 サムコ　</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離</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5.6％ 280,000</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化合物半導体（GaN/SiC）向け薄膜・エッチング装置</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66</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6627 テラプローブ</w:t>
            </w:r>
          </w:p>
        </w:tc>
        <w:tc>
          <w:tcPr>
            <w:tcW w:type="dxa" w:w="567"/>
          </w:tcPr>
          <w:p>
            <w:pPr>
              <w:spacing w:after="0"/>
              <w:ind w:firstLine="0" w:firstLineChars="0"/>
              <w:jc w:val="left"/>
            </w:pPr>
            <w:r>
              <w:rPr>
                <w:rFonts w:ascii="Times New Roman" w:hAnsi="Times New Roman" w:eastAsia="ＭＳ 明朝"/>
                <w:b w:val="0"/>
                <w:color w:val="000000"/>
                <w:sz w:val="20"/>
              </w:rPr>
              <w:t>離</w:t>
            </w:r>
          </w:p>
        </w:tc>
        <w:tc>
          <w:tcPr>
            <w:tcW w:type="dxa" w:w="1531"/>
          </w:tcPr>
          <w:p>
            <w:pPr>
              <w:spacing w:after="0"/>
              <w:ind w:firstLine="0" w:firstLineChars="0"/>
              <w:jc w:val="left"/>
            </w:pPr>
            <w:r>
              <w:rPr>
                <w:rFonts w:ascii="Times New Roman" w:hAnsi="Times New Roman" w:eastAsia="ＭＳ 明朝"/>
                <w:b w:val="0"/>
                <w:color w:val="000000"/>
                <w:sz w:val="20"/>
              </w:rPr>
              <w:t>5.6％ 280,000</w:t>
            </w:r>
          </w:p>
        </w:tc>
        <w:tc>
          <w:tcPr>
            <w:tcW w:type="dxa" w:w="4365"/>
          </w:tcPr>
          <w:p>
            <w:pPr>
              <w:spacing w:after="0"/>
              <w:ind w:firstLine="0" w:firstLineChars="0"/>
              <w:jc w:val="left"/>
            </w:pPr>
            <w:r>
              <w:rPr>
                <w:rFonts w:ascii="Times New Roman" w:hAnsi="Times New Roman" w:eastAsia="ＭＳ 明朝"/>
                <w:b w:val="0"/>
                <w:color w:val="000000"/>
                <w:sz w:val="20"/>
              </w:rPr>
              <w:t>半導体ウエハテスト受託（テストハウス）</w:t>
            </w:r>
          </w:p>
        </w:tc>
        <w:tc>
          <w:tcPr>
            <w:tcW w:type="dxa" w:w="737"/>
          </w:tcPr>
          <w:p>
            <w:pPr>
              <w:spacing w:after="0"/>
              <w:ind w:firstLine="0" w:firstLineChars="0"/>
              <w:jc w:val="left"/>
            </w:pPr>
            <w:r>
              <w:rPr>
                <w:rFonts w:ascii="Times New Roman" w:hAnsi="Times New Roman" w:eastAsia="ＭＳ 明朝"/>
                <w:b w:val="0"/>
                <w:color w:val="000000"/>
                <w:sz w:val="20"/>
              </w:rPr>
              <w:t>56</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6861 キーエンス</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FA（工場自動化）センサ・測定器</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7725 インターアクション</w:t>
            </w:r>
          </w:p>
        </w:tc>
        <w:tc>
          <w:tcPr>
            <w:tcW w:type="dxa" w:w="567"/>
          </w:tcPr>
          <w:p>
            <w:pPr>
              <w:spacing w:after="0"/>
              <w:ind w:firstLine="0" w:firstLineChars="0"/>
              <w:jc w:val="left"/>
            </w:pPr>
            <w:r>
              <w:rPr>
                <w:rFonts w:ascii="Times New Roman" w:hAnsi="Times New Roman" w:eastAsia="ＭＳ 明朝"/>
                <w:b w:val="0"/>
                <w:color w:val="000000"/>
                <w:sz w:val="20"/>
              </w:rPr>
              <w:t>両立</w:t>
            </w:r>
          </w:p>
        </w:tc>
        <w:tc>
          <w:tcPr>
            <w:tcW w:type="dxa" w:w="1531"/>
          </w:tcPr>
          <w:p>
            <w:pPr>
              <w:spacing w:after="0"/>
              <w:ind w:firstLine="0" w:firstLineChars="0"/>
              <w:jc w:val="left"/>
            </w:pPr>
            <w:r>
              <w:rPr>
                <w:rFonts w:ascii="Times New Roman" w:hAnsi="Times New Roman" w:eastAsia="ＭＳ 明朝"/>
                <w:b w:val="0"/>
                <w:color w:val="000000"/>
                <w:sz w:val="20"/>
              </w:rPr>
              <w:t>3.3％ 166,666</w:t>
            </w:r>
          </w:p>
        </w:tc>
        <w:tc>
          <w:tcPr>
            <w:tcW w:type="dxa" w:w="4365"/>
          </w:tcPr>
          <w:p>
            <w:pPr>
              <w:spacing w:after="0"/>
              <w:ind w:firstLine="0" w:firstLineChars="0"/>
              <w:jc w:val="left"/>
            </w:pPr>
            <w:r>
              <w:rPr>
                <w:rFonts w:ascii="Times New Roman" w:hAnsi="Times New Roman" w:eastAsia="ＭＳ 明朝"/>
                <w:b w:val="0"/>
                <w:color w:val="000000"/>
                <w:sz w:val="20"/>
              </w:rPr>
              <w:t>半導体イメージセンサ検査用光源装置等</w:t>
            </w:r>
          </w:p>
        </w:tc>
        <w:tc>
          <w:tcPr>
            <w:tcW w:type="dxa" w:w="737"/>
          </w:tcPr>
          <w:p>
            <w:pPr>
              <w:spacing w:after="0"/>
              <w:ind w:firstLine="0" w:firstLineChars="0"/>
              <w:jc w:val="left"/>
            </w:pPr>
            <w:r>
              <w:rPr>
                <w:rFonts w:ascii="Times New Roman" w:hAnsi="Times New Roman" w:eastAsia="ＭＳ 明朝"/>
                <w:b w:val="0"/>
                <w:color w:val="000000"/>
                <w:sz w:val="20"/>
              </w:rPr>
              <w:t>75</w:t>
            </w:r>
          </w:p>
        </w:tc>
        <w:tc>
          <w:tcPr>
            <w:tcW w:type="dxa" w:w="73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6929 日本セラミック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両立</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3.3％ 166,666</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赤外線センサ等のセンサ</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3449 テクノフレックス</w:t>
            </w:r>
          </w:p>
        </w:tc>
        <w:tc>
          <w:tcPr>
            <w:tcW w:type="dxa" w:w="567"/>
          </w:tcPr>
          <w:p>
            <w:pPr>
              <w:spacing w:after="0"/>
              <w:ind w:firstLine="0" w:firstLineChars="0"/>
              <w:jc w:val="left"/>
            </w:pPr>
            <w:r>
              <w:rPr>
                <w:rFonts w:ascii="Times New Roman" w:hAnsi="Times New Roman" w:eastAsia="ＭＳ 明朝"/>
                <w:b w:val="0"/>
                <w:color w:val="000000"/>
                <w:sz w:val="20"/>
              </w:rPr>
              <w:t>分散</w:t>
            </w:r>
          </w:p>
        </w:tc>
        <w:tc>
          <w:tcPr>
            <w:tcW w:type="dxa" w:w="1531"/>
          </w:tcPr>
          <w:p>
            <w:pPr>
              <w:spacing w:after="0"/>
              <w:ind w:firstLine="0" w:firstLineChars="0"/>
              <w:jc w:val="left"/>
            </w:pPr>
            <w:r>
              <w:rPr>
                <w:rFonts w:ascii="Times New Roman" w:hAnsi="Times New Roman" w:eastAsia="ＭＳ 明朝"/>
                <w:b w:val="0"/>
                <w:color w:val="000000"/>
                <w:sz w:val="20"/>
              </w:rPr>
              <w:t>3.0％ 149,999</w:t>
            </w:r>
          </w:p>
        </w:tc>
        <w:tc>
          <w:tcPr>
            <w:tcW w:type="dxa" w:w="4365"/>
          </w:tcPr>
          <w:p>
            <w:pPr>
              <w:spacing w:after="0"/>
              <w:ind w:firstLine="0" w:firstLineChars="0"/>
              <w:jc w:val="left"/>
            </w:pPr>
            <w:r>
              <w:rPr>
                <w:rFonts w:ascii="Times New Roman" w:hAnsi="Times New Roman" w:eastAsia="ＭＳ 明朝"/>
                <w:b w:val="0"/>
                <w:color w:val="000000"/>
                <w:sz w:val="20"/>
              </w:rPr>
              <w:t>金属フレキシブルチューブ・配管継手</w:t>
            </w:r>
          </w:p>
        </w:tc>
        <w:tc>
          <w:tcPr>
            <w:tcW w:type="dxa" w:w="737"/>
          </w:tcPr>
          <w:p>
            <w:pPr>
              <w:spacing w:after="0"/>
              <w:ind w:firstLine="0" w:firstLineChars="0"/>
              <w:jc w:val="left"/>
            </w:pPr>
            <w:r>
              <w:rPr>
                <w:rFonts w:ascii="Times New Roman" w:hAnsi="Times New Roman" w:eastAsia="ＭＳ 明朝"/>
                <w:b w:val="0"/>
                <w:color w:val="000000"/>
                <w:sz w:val="20"/>
              </w:rPr>
              <w:t>62</w:t>
            </w:r>
          </w:p>
        </w:tc>
        <w:tc>
          <w:tcPr>
            <w:tcW w:type="dxa" w:w="73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4971 メック</w:t>
            </w:r>
          </w:p>
        </w:tc>
        <w:tc>
          <w:tcPr>
            <w:tcW w:type="dxa" w:w="567"/>
            <w:shd w:val="clear" w:color="auto" w:fill="F2F6F4"/>
          </w:tcPr>
          <w:p>
            <w:pPr>
              <w:spacing w:after="0"/>
              <w:ind w:firstLine="0" w:firstLineChars="0"/>
              <w:jc w:val="left"/>
            </w:pPr>
            <w:r>
              <w:rPr>
                <w:rFonts w:ascii="Times New Roman" w:hAnsi="Times New Roman" w:eastAsia="ＭＳ 明朝"/>
                <w:b w:val="0"/>
                <w:color w:val="000000"/>
                <w:sz w:val="20"/>
              </w:rPr>
              <w:t>分散</w:t>
            </w:r>
          </w:p>
        </w:tc>
        <w:tc>
          <w:tcPr>
            <w:tcW w:type="dxa" w:w="1531"/>
            <w:shd w:val="clear" w:color="auto" w:fill="F2F6F4"/>
          </w:tcPr>
          <w:p>
            <w:pPr>
              <w:spacing w:after="0"/>
              <w:ind w:firstLine="0" w:firstLineChars="0"/>
              <w:jc w:val="left"/>
            </w:pPr>
            <w:r>
              <w:rPr>
                <w:rFonts w:ascii="Times New Roman" w:hAnsi="Times New Roman" w:eastAsia="ＭＳ 明朝"/>
                <w:b w:val="0"/>
                <w:color w:val="000000"/>
                <w:sz w:val="20"/>
              </w:rPr>
              <w:t>3.0％ 149,999</w:t>
            </w:r>
          </w:p>
        </w:tc>
        <w:tc>
          <w:tcPr>
            <w:tcW w:type="dxa" w:w="4365"/>
            <w:shd w:val="clear" w:color="auto" w:fill="F2F6F4"/>
          </w:tcPr>
          <w:p>
            <w:pPr>
              <w:spacing w:after="0"/>
              <w:ind w:firstLine="0" w:firstLineChars="0"/>
              <w:jc w:val="left"/>
            </w:pPr>
            <w:r>
              <w:rPr>
                <w:rFonts w:ascii="Times New Roman" w:hAnsi="Times New Roman" w:eastAsia="ＭＳ 明朝"/>
                <w:b w:val="0"/>
                <w:color w:val="000000"/>
                <w:sz w:val="20"/>
              </w:rPr>
              <w:t>プリント基板・半導体向け薬品（表面処理）</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54</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　最終ポートフォリオ20社（総予算500万円・単元未満株の目標配分）。役割: 守＝完成した堀／破＝変わる堀／離＝生まれる堀。堀の偏差値＝全上場の中での位置(平均50)。出所：選定記録より筆者作成。</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spacing w:before="0" w:after="40" w:line="293" w:lineRule="auto"/>
        <w:ind w:firstLine="0" w:firstLineChars="0"/>
      </w:pPr>
      <w:r>
        <w:rPr>
          <w:rFonts w:ascii="Arial" w:hAnsi="Arial" w:eastAsia="ＭＳ ゴシック"/>
          <w:b/>
          <w:color w:val="16324F"/>
          <w:sz w:val="20"/>
        </w:rPr>
        <w:t xml:space="preserve">・完成した堀（守の式だけで選んだ基準線）　</w:t>
      </w:r>
      <w:r>
        <w:rPr>
          <w:rFonts w:ascii="Times New Roman" w:hAnsi="Times New Roman" w:eastAsia="ＭＳ 明朝"/>
          <w:b w:val="0"/>
          <w:color w:val="000000"/>
          <w:sz w:val="20"/>
        </w:rPr>
        <w:t>3092 ＺＯＺＯ／4716 日本オラクル／7014 名村造船所／8136 サンリオ／6920 レーザーテック</w:t>
      </w:r>
    </w:p>
    <w:p>
      <w:pPr>
        <w:spacing w:before="0" w:after="40" w:line="293" w:lineRule="auto"/>
        <w:ind w:firstLine="0" w:firstLineChars="0"/>
      </w:pPr>
      <w:r>
        <w:rPr>
          <w:rFonts w:ascii="Arial" w:hAnsi="Arial" w:eastAsia="ＭＳ ゴシック"/>
          <w:b/>
          <w:color w:val="16324F"/>
          <w:sz w:val="20"/>
        </w:rPr>
        <w:t xml:space="preserve">・変わる堀（割安×改善の証拠で選んだ変わる会社）　</w:t>
      </w:r>
      <w:r>
        <w:rPr>
          <w:rFonts w:ascii="Times New Roman" w:hAnsi="Times New Roman" w:eastAsia="ＭＳ 明朝"/>
          <w:b w:val="0"/>
          <w:color w:val="000000"/>
          <w:sz w:val="20"/>
        </w:rPr>
        <w:t>9022 東海旅客鉄道／9513 電源開発／9503 関西電力／1662 石油資源開発／5214 日本電気硝子</w:t>
      </w:r>
    </w:p>
    <w:p>
      <w:pPr>
        <w:spacing w:before="0" w:after="40" w:line="293" w:lineRule="auto"/>
        <w:ind w:firstLine="0" w:firstLineChars="0"/>
      </w:pPr>
      <w:r>
        <w:rPr>
          <w:rFonts w:ascii="Arial" w:hAnsi="Arial" w:eastAsia="ＭＳ ゴシック"/>
          <w:b/>
          <w:color w:val="16324F"/>
          <w:sz w:val="20"/>
        </w:rPr>
        <w:t xml:space="preserve">・生まれる堀（ＡＩ基盤への実需接続を事業で確かめた会社）　</w:t>
      </w:r>
      <w:r>
        <w:rPr>
          <w:rFonts w:ascii="Times New Roman" w:hAnsi="Times New Roman" w:eastAsia="ＭＳ 明朝"/>
          <w:b w:val="0"/>
          <w:color w:val="000000"/>
          <w:sz w:val="20"/>
        </w:rPr>
        <w:t>6777 ｓａｎｔｅｃＨＤ／6871 日本マイクロニクス／6590 芝浦メカトロニクス／6387 サムコ　／6627 テラプローブ</w:t>
      </w:r>
    </w:p>
    <w:p>
      <w:pPr>
        <w:spacing w:before="0" w:after="40" w:line="293" w:lineRule="auto"/>
        <w:ind w:firstLine="0" w:firstLineChars="0"/>
      </w:pPr>
      <w:r>
        <w:rPr>
          <w:rFonts w:ascii="Arial" w:hAnsi="Arial" w:eastAsia="ＭＳ ゴシック"/>
          <w:b/>
          <w:color w:val="16324F"/>
          <w:sz w:val="20"/>
        </w:rPr>
        <w:t xml:space="preserve">・両立型（変わる×生まれるの両立）　</w:t>
      </w:r>
      <w:r>
        <w:rPr>
          <w:rFonts w:ascii="Times New Roman" w:hAnsi="Times New Roman" w:eastAsia="ＭＳ 明朝"/>
          <w:b w:val="0"/>
          <w:color w:val="000000"/>
          <w:sz w:val="20"/>
        </w:rPr>
        <w:t>6861 キーエンス／7725 インターアクション／6929 日本セラミック</w:t>
      </w:r>
    </w:p>
    <w:p>
      <w:pPr>
        <w:spacing w:before="0" w:after="40" w:line="293" w:lineRule="auto"/>
        <w:ind w:firstLine="0" w:firstLineChars="0"/>
      </w:pPr>
      <w:r>
        <w:rPr>
          <w:rFonts w:ascii="Arial" w:hAnsi="Arial" w:eastAsia="ＭＳ ゴシック"/>
          <w:b/>
          <w:color w:val="16324F"/>
          <w:sz w:val="20"/>
        </w:rPr>
        <w:t xml:space="preserve">・分散役（業種・テーマの偏りの調整役）　</w:t>
      </w:r>
      <w:r>
        <w:rPr>
          <w:rFonts w:ascii="Times New Roman" w:hAnsi="Times New Roman" w:eastAsia="ＭＳ 明朝"/>
          <w:b w:val="0"/>
          <w:color w:val="000000"/>
          <w:sz w:val="20"/>
        </w:rPr>
        <w:t>3449 テクノフレックス／4971 メック</w:t>
      </w:r>
    </w:p>
    <w:p>
      <w:pPr>
        <w:spacing w:after="120" w:line="281" w:lineRule="auto"/>
        <w:jc w:val="both"/>
        <w:ind w:firstLineChars="100" w:firstLine="210"/>
      </w:pPr>
      <w:r>
        <w:rPr>
          <w:rFonts w:ascii="Times New Roman" w:hAnsi="Times New Roman" w:eastAsia="ＭＳ 明朝"/>
          <w:b w:val="0"/>
          <w:color w:val="000000"/>
          <w:sz w:val="21"/>
        </w:rPr>
        <w:t>配分・事業概要・堀の偏差値は図表Ⅲ-1に集約した。各社の証拠水準は図表Ⅱ-8と第Ⅱ章の判定に示した。</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新バフェット型・市場と比べる</w:t>
      </w:r>
    </w:p>
    <w:p>
      <w:pPr>
        <w:spacing w:after="80" w:line="281" w:lineRule="auto"/>
        <w:jc w:val="both"/>
        <w:ind w:firstLineChars="100" w:firstLine="210"/>
      </w:pPr>
      <w:r>
        <w:rPr>
          <w:rFonts w:ascii="Times New Roman" w:hAnsi="Times New Roman" w:eastAsia="ＭＳ 明朝"/>
          <w:b w:val="0"/>
          <w:color w:val="000000"/>
          <w:sz w:val="21"/>
        </w:rPr>
        <w:t>本節では第Ⅰ章の条件④を検証する。物差しは分析の前に宣言する――①年率リターン ②ＴＯＰＩＸ超過 ③効率(シャープ) ④市場との連動度(β) ⑤最大の下落 ⑥市場超過の安定度(ＩＲ)の6つ、期間は「選定に使った3年」と「直近1年」。用語を先に一行で置き換える――β(ベータ)＝市場が1％動くとき何％動くか(1より小さければ市場より穏やか)、シャープ＝値動きの荒さ1単位あたりのリターン(高いほど効率的)、ＩＲ＝市場を上回る力の安定度、ｔ値＝その差が偶然では出にくいかの目安(おおむね2以上で「偶然とは考えにくい」)、最大の下落＝期間中に高値からいちばん下がった幅。</w:t>
      </w:r>
    </w:p>
    <w:p>
      <w:pPr>
        <w:spacing w:after="80" w:line="281" w:lineRule="auto"/>
        <w:jc w:val="both"/>
        <w:ind w:firstLineChars="100" w:firstLine="210"/>
      </w:pPr>
      <w:r>
        <w:rPr>
          <w:rFonts w:ascii="Times New Roman" w:hAnsi="Times New Roman" w:eastAsia="ＭＳ 明朝"/>
          <w:b w:val="0"/>
          <w:color w:val="000000"/>
          <w:sz w:val="21"/>
        </w:rPr>
        <w:t>この検証は「未来を当てた」検証ではない。会社を選んだのは2026年の財務データであり、それを過去3年に当てて成績を測っている。だから将来の成績の予測ではなく、選び方が過去の相場でどう振る舞ったかを自分で確かめる自己検証である。配分にも直近の値動きは一切使っていない(役割の予算を社数で割るだけ・式13)。</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比べる相手をどう作ったか ― 重みに未来の情報を入れない</w:t>
      </w:r>
    </w:p>
    <w:p>
      <w:pPr>
        <w:spacing w:after="80" w:line="281" w:lineRule="auto"/>
        <w:jc w:val="both"/>
        <w:ind w:firstLineChars="100" w:firstLine="210"/>
      </w:pPr>
      <w:r>
        <w:rPr>
          <w:rFonts w:ascii="Times New Roman" w:hAnsi="Times New Roman" w:eastAsia="ＭＳ 明朝"/>
          <w:b w:val="0"/>
          <w:color w:val="000000"/>
          <w:sz w:val="21"/>
        </w:rPr>
        <w:t>主対照は『新バフェット型』――同じ出発点から、バフェットの品質基準(高収益・堀・財務健全)だけで選び、割安順位を付けられた20社すべてである。ここで一つ、決めておかなければならないことがある。20社にいくらずつ配分した相手と比べるのか、である。会社の大きさ(時価総額)で配分するのが自然だが、「いつの大きさか」で答えが変わる。3年で株価が33倍になった会社は、いまの大きさで配分すると大きな比重を占める。しかし3年前に、その会社にその比重を置くことは誰にもできない。</w:t>
      </w:r>
    </w:p>
    <w:p>
      <w:pPr>
        <w:spacing w:after="80" w:line="281" w:lineRule="auto"/>
        <w:jc w:val="both"/>
        <w:ind w:firstLineChars="100" w:firstLine="210"/>
      </w:pPr>
      <w:r>
        <w:rPr>
          <w:rFonts w:ascii="Times New Roman" w:hAnsi="Times New Roman" w:eastAsia="ＭＳ 明朝"/>
          <w:b w:val="0"/>
          <w:color w:val="000000"/>
          <w:sz w:val="21"/>
        </w:rPr>
        <w:t>そこで私たちは原則を先に決めた――対照の配分に未来の情報(値上がりして膨らんだ後の大きさ)を入れない。主対照は期首(3年前)の大きさで配分する。これが当時実際に組めた相手である。同時に、いまの大きさで配分し直した相手(期末加重)も参考として併記する。こちらは値上がりした会社に事後的に重みが集まるため、私たちにとって最も厳しい仮想の対照になる。どちらか都合の良い方だけを見せることはしない。</w:t>
      </w:r>
    </w:p>
    <w:p>
      <w:pPr>
        <w:spacing w:after="80" w:line="281" w:lineRule="auto"/>
        <w:jc w:val="both"/>
        <w:ind w:firstLineChars="100" w:firstLine="210"/>
      </w:pPr>
      <w:r>
        <w:rPr>
          <w:rFonts w:ascii="Times New Roman" w:hAnsi="Times New Roman" w:eastAsia="ＭＳ 明朝"/>
          <w:b w:val="0"/>
          <w:color w:val="000000"/>
          <w:sz w:val="21"/>
        </w:rPr>
        <w:t>参考として『純正グレアム型』も置く――堀や質を見ず、割安さだけで選ぶとどうなるかを見るための比較用の20社(等金額)である。さらに市場平均としてＴＯＰＩＸ・日経平均を並べる。いずれも同じ規律で、後から入れ替えずに計算した。</w:t>
      </w:r>
    </w:p>
    <w:p>
      <w:pPr>
        <w:spacing w:after="80" w:line="281" w:lineRule="auto"/>
        <w:jc w:val="both"/>
        <w:ind w:firstLineChars="100" w:firstLine="210"/>
      </w:pPr>
      <w:r>
        <w:rPr>
          <w:rFonts w:ascii="Times New Roman" w:hAnsi="Times New Roman" w:eastAsia="ＭＳ 明朝"/>
          <w:b w:val="0"/>
          <w:color w:val="000000"/>
          <w:sz w:val="21"/>
        </w:rPr>
        <w:t>位置づけにも限定をつける。どの対照も『式だけの機械選定』であり、バフェット本人の運用成績ではない。彼の選び方を式にして日本株に当てはめた、いわば“仮想バフェット”である。確かめたいのは、その選び方に対して、私たちが加えた15社が成績をどれだけ改善したか、である。</w:t>
      </w:r>
    </w:p>
    <w:p>
      <w:pPr>
        <w:keepNext/>
        <w:spacing w:before="100" w:after="40" w:line="298" w:lineRule="auto"/>
        <w:ind w:firstLine="0" w:firstLineChars="0"/>
      </w:pPr>
      <w:r>
        <w:rPr>
          <w:rFonts w:ascii="Arial" w:hAnsi="Arial" w:eastAsia="ＭＳ ゴシック"/>
          <w:b/>
          <w:color w:val="16324F"/>
          <w:sz w:val="21"/>
        </w:rPr>
        <w:t>図表Ⅲ-2　累積リターンの比較(過去3年・期首=1)</w:t>
      </w:r>
    </w:p>
    <w:p>
      <w:pPr>
        <w:jc w:val="center"/>
        <w:keepNext/>
        <w:ind w:firstLine="0" w:firstLineChars="0"/>
      </w:pPr>
      <w:r>
        <w:drawing>
          <wp:inline xmlns:a="http://schemas.openxmlformats.org/drawingml/2006/main" xmlns:pic="http://schemas.openxmlformats.org/drawingml/2006/picture">
            <wp:extent cx="5040000" cy="2912000"/>
            <wp:docPr id="8" name="Picture 8"/>
            <wp:cNvGraphicFramePr>
              <a:graphicFrameLocks noChangeAspect="1"/>
            </wp:cNvGraphicFramePr>
            <a:graphic>
              <a:graphicData uri="http://schemas.openxmlformats.org/drawingml/2006/picture">
                <pic:pic>
                  <pic:nvPicPr>
                    <pic:cNvPr id="0" name="cum_v10.png"/>
                    <pic:cNvPicPr/>
                  </pic:nvPicPr>
                  <pic:blipFill>
                    <a:blip r:embed="rId17"/>
                    <a:stretch>
                      <a:fillRect/>
                    </a:stretch>
                  </pic:blipFill>
                  <pic:spPr>
                    <a:xfrm>
                      <a:off x="0" y="0"/>
                      <a:ext cx="5040000" cy="2912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本ＰＦ(20社)・新バフェット型(期首加重＝主対照／期末加重＝参考)・純正グレアム型・ＴＯＰＩＸ・日経平均。ＴＯＰＩＸ連動指数1306は未調整の株式分割(2026-03-30)を×10補正、指数系列の欠測を前営業日で補完。価格は調整後終値(配当込み。日経のみ価格指数)。すべて2026年時点選定の自己検証。出所：価格データより筆者作成。</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cantSplit/>
        </w:trPr>
        <w:tc>
          <w:tcPr>
            <w:tcW w:type="dxa" w:w="1814"/>
            <w:shd w:val="clear" w:color="auto" w:fill="16324F"/>
          </w:tcPr>
          <w:p>
            <w:pPr>
              <w:spacing w:after="0"/>
              <w:ind w:firstLine="0" w:firstLineChars="0"/>
              <w:jc w:val="center"/>
            </w:pPr>
            <w:r>
              <w:rPr>
                <w:rFonts w:ascii="Arial" w:hAnsi="Arial" w:eastAsia="ＭＳ ゴシック"/>
                <w:b/>
                <w:color w:val="FFFFFF"/>
                <w:sz w:val="20"/>
              </w:rPr>
              <w:t>物差し</w:t>
              <w:br/>
              <w:t>(3年／直近1年)</w:t>
            </w:r>
          </w:p>
        </w:tc>
        <w:tc>
          <w:tcPr>
            <w:tcW w:type="dxa" w:w="1417"/>
            <w:shd w:val="clear" w:color="auto" w:fill="16324F"/>
          </w:tcPr>
          <w:p>
            <w:pPr>
              <w:spacing w:after="0"/>
              <w:ind w:firstLine="0" w:firstLineChars="0"/>
              <w:jc w:val="center"/>
            </w:pPr>
            <w:r>
              <w:rPr>
                <w:rFonts w:ascii="Arial" w:hAnsi="Arial" w:eastAsia="ＭＳ ゴシック"/>
                <w:b/>
                <w:color w:val="FFFFFF"/>
                <w:sz w:val="20"/>
              </w:rPr>
              <w:t>本ＰＦ</w:t>
              <w:br/>
              <w:t>(20社)</w:t>
            </w:r>
          </w:p>
        </w:tc>
        <w:tc>
          <w:tcPr>
            <w:tcW w:type="dxa" w:w="1701"/>
            <w:shd w:val="clear" w:color="auto" w:fill="16324F"/>
          </w:tcPr>
          <w:p>
            <w:pPr>
              <w:spacing w:after="0"/>
              <w:ind w:firstLine="0" w:firstLineChars="0"/>
              <w:jc w:val="center"/>
            </w:pPr>
            <w:r>
              <w:rPr>
                <w:rFonts w:ascii="Arial" w:hAnsi="Arial" w:eastAsia="ＭＳ ゴシック"/>
                <w:b/>
                <w:color w:val="FFFFFF"/>
                <w:sz w:val="20"/>
              </w:rPr>
              <w:t>主対照</w:t>
              <w:br/>
              <w:t>新バフェット型</w:t>
              <w:br/>
              <w:t>期首加重</w:t>
            </w:r>
          </w:p>
        </w:tc>
        <w:tc>
          <w:tcPr>
            <w:tcW w:type="dxa" w:w="1531"/>
            <w:shd w:val="clear" w:color="auto" w:fill="16324F"/>
          </w:tcPr>
          <w:p>
            <w:pPr>
              <w:spacing w:after="0"/>
              <w:ind w:firstLine="0" w:firstLineChars="0"/>
              <w:jc w:val="center"/>
            </w:pPr>
            <w:r>
              <w:rPr>
                <w:rFonts w:ascii="Arial" w:hAnsi="Arial" w:eastAsia="ＭＳ ゴシック"/>
                <w:b/>
                <w:color w:val="FFFFFF"/>
                <w:sz w:val="20"/>
              </w:rPr>
              <w:t>差</w:t>
              <w:br/>
              <w:t>本ＰＦ−主対照</w:t>
            </w:r>
          </w:p>
        </w:tc>
        <w:tc>
          <w:tcPr>
            <w:tcW w:type="dxa" w:w="1701"/>
            <w:shd w:val="clear" w:color="auto" w:fill="16324F"/>
          </w:tcPr>
          <w:p>
            <w:pPr>
              <w:spacing w:after="0"/>
              <w:ind w:firstLine="0" w:firstLineChars="0"/>
              <w:jc w:val="center"/>
            </w:pPr>
            <w:r>
              <w:rPr>
                <w:rFonts w:ascii="Arial" w:hAnsi="Arial" w:eastAsia="ＭＳ ゴシック"/>
                <w:b/>
                <w:color w:val="FFFFFF"/>
                <w:sz w:val="20"/>
              </w:rPr>
              <w:t>参考</w:t>
              <w:br/>
              <w:t>新バフェット型</w:t>
              <w:br/>
              <w:t>期末加重</w:t>
            </w:r>
          </w:p>
        </w:tc>
        <w:tc>
          <w:tcPr>
            <w:tcW w:type="dxa" w:w="1361"/>
            <w:shd w:val="clear" w:color="auto" w:fill="16324F"/>
          </w:tcPr>
          <w:p>
            <w:pPr>
              <w:spacing w:after="0"/>
              <w:ind w:firstLine="0" w:firstLineChars="0"/>
              <w:jc w:val="center"/>
            </w:pPr>
            <w:r>
              <w:rPr>
                <w:rFonts w:ascii="Arial" w:hAnsi="Arial" w:eastAsia="ＭＳ ゴシック"/>
                <w:b/>
                <w:color w:val="FFFFFF"/>
                <w:sz w:val="20"/>
              </w:rPr>
              <w:t>ＴＯＰＩＸ</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年率リターン</w:t>
            </w:r>
          </w:p>
        </w:tc>
        <w:tc>
          <w:tcPr>
            <w:tcW w:type="dxa" w:w="1417"/>
          </w:tcPr>
          <w:p>
            <w:pPr>
              <w:spacing w:after="0"/>
              <w:ind w:firstLine="0" w:firstLineChars="0"/>
              <w:jc w:val="left"/>
            </w:pPr>
            <w:r>
              <w:rPr>
                <w:rFonts w:ascii="Times New Roman" w:hAnsi="Times New Roman" w:eastAsia="ＭＳ 明朝"/>
                <w:b w:val="0"/>
                <w:color w:val="000000"/>
                <w:sz w:val="20"/>
              </w:rPr>
              <w:t>54.7%／124.0%</w:t>
            </w:r>
          </w:p>
        </w:tc>
        <w:tc>
          <w:tcPr>
            <w:tcW w:type="dxa" w:w="1701"/>
          </w:tcPr>
          <w:p>
            <w:pPr>
              <w:spacing w:after="0"/>
              <w:ind w:firstLine="0" w:firstLineChars="0"/>
              <w:jc w:val="left"/>
            </w:pPr>
            <w:r>
              <w:rPr>
                <w:rFonts w:ascii="Times New Roman" w:hAnsi="Times New Roman" w:eastAsia="ＭＳ 明朝"/>
                <w:b w:val="0"/>
                <w:color w:val="000000"/>
                <w:sz w:val="20"/>
              </w:rPr>
              <w:t>40.7%／60.3%</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＋14.0／＋63.8pt</w:t>
            </w:r>
          </w:p>
        </w:tc>
        <w:tc>
          <w:tcPr>
            <w:tcW w:type="dxa" w:w="1701"/>
          </w:tcPr>
          <w:p>
            <w:pPr>
              <w:spacing w:after="0"/>
              <w:ind w:firstLine="0" w:firstLineChars="0"/>
              <w:jc w:val="left"/>
            </w:pPr>
            <w:r>
              <w:rPr>
                <w:rFonts w:ascii="Times New Roman" w:hAnsi="Times New Roman" w:eastAsia="ＭＳ 明朝"/>
                <w:b w:val="0"/>
                <w:color w:val="000000"/>
                <w:sz w:val="20"/>
              </w:rPr>
              <w:t>74.1%／124.7%</w:t>
            </w:r>
          </w:p>
        </w:tc>
        <w:tc>
          <w:tcPr>
            <w:tcW w:type="dxa" w:w="1361"/>
          </w:tcPr>
          <w:p>
            <w:pPr>
              <w:spacing w:after="0"/>
              <w:ind w:firstLine="0" w:firstLineChars="0"/>
              <w:jc w:val="left"/>
            </w:pPr>
            <w:r>
              <w:rPr>
                <w:rFonts w:ascii="Times New Roman" w:hAnsi="Times New Roman" w:eastAsia="ＭＳ 明朝"/>
                <w:b w:val="0"/>
                <w:color w:val="000000"/>
                <w:sz w:val="20"/>
              </w:rPr>
              <w:t>24.0%／41.1%</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ＴＯＰＩＸ超過</w:t>
            </w:r>
          </w:p>
        </w:tc>
        <w:tc>
          <w:tcPr>
            <w:tcW w:type="dxa" w:w="1417"/>
          </w:tcPr>
          <w:p>
            <w:pPr>
              <w:spacing w:after="0"/>
              <w:ind w:firstLine="0" w:firstLineChars="0"/>
              <w:jc w:val="left"/>
            </w:pPr>
            <w:r>
              <w:rPr>
                <w:rFonts w:ascii="Times New Roman" w:hAnsi="Times New Roman" w:eastAsia="ＭＳ 明朝"/>
                <w:b w:val="0"/>
                <w:color w:val="000000"/>
                <w:sz w:val="20"/>
              </w:rPr>
              <w:t>＋30.7／＋83.0pt</w:t>
            </w:r>
          </w:p>
        </w:tc>
        <w:tc>
          <w:tcPr>
            <w:tcW w:type="dxa" w:w="1701"/>
          </w:tcPr>
          <w:p>
            <w:pPr>
              <w:spacing w:after="0"/>
              <w:ind w:firstLine="0" w:firstLineChars="0"/>
              <w:jc w:val="left"/>
            </w:pPr>
            <w:r>
              <w:rPr>
                <w:rFonts w:ascii="Times New Roman" w:hAnsi="Times New Roman" w:eastAsia="ＭＳ 明朝"/>
                <w:b w:val="0"/>
                <w:color w:val="000000"/>
                <w:sz w:val="20"/>
              </w:rPr>
              <w:t>＋16.8／＋19.2pt</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＋14.0／＋63.8pt</w:t>
            </w:r>
          </w:p>
        </w:tc>
        <w:tc>
          <w:tcPr>
            <w:tcW w:type="dxa" w:w="1701"/>
          </w:tcPr>
          <w:p>
            <w:pPr>
              <w:spacing w:after="0"/>
              <w:ind w:firstLine="0" w:firstLineChars="0"/>
              <w:jc w:val="left"/>
            </w:pPr>
            <w:r>
              <w:rPr>
                <w:rFonts w:ascii="Times New Roman" w:hAnsi="Times New Roman" w:eastAsia="ＭＳ 明朝"/>
                <w:b w:val="0"/>
                <w:color w:val="000000"/>
                <w:sz w:val="20"/>
              </w:rPr>
              <w:t>＋50.1／＋83.6pt</w:t>
            </w:r>
          </w:p>
        </w:tc>
        <w:tc>
          <w:tcPr>
            <w:tcW w:type="dxa" w:w="1361"/>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効率シャープ</w:t>
              <w:br/>
              <w:t>(高いほど良い)</w:t>
            </w:r>
          </w:p>
        </w:tc>
        <w:tc>
          <w:tcPr>
            <w:tcW w:type="dxa" w:w="1417"/>
          </w:tcPr>
          <w:p>
            <w:pPr>
              <w:spacing w:after="0"/>
              <w:ind w:firstLine="0" w:firstLineChars="0"/>
              <w:jc w:val="left"/>
            </w:pPr>
            <w:r>
              <w:rPr>
                <w:rFonts w:ascii="Times New Roman" w:hAnsi="Times New Roman" w:eastAsia="ＭＳ 明朝"/>
                <w:b w:val="0"/>
                <w:color w:val="000000"/>
                <w:sz w:val="20"/>
              </w:rPr>
              <w:t>2.09／4.97</w:t>
            </w:r>
          </w:p>
        </w:tc>
        <w:tc>
          <w:tcPr>
            <w:tcW w:type="dxa" w:w="1701"/>
          </w:tcPr>
          <w:p>
            <w:pPr>
              <w:spacing w:after="0"/>
              <w:ind w:firstLine="0" w:firstLineChars="0"/>
              <w:jc w:val="left"/>
            </w:pPr>
            <w:r>
              <w:rPr>
                <w:rFonts w:ascii="Times New Roman" w:hAnsi="Times New Roman" w:eastAsia="ＭＳ 明朝"/>
                <w:b w:val="0"/>
                <w:color w:val="000000"/>
                <w:sz w:val="20"/>
              </w:rPr>
              <w:t>1.37／2.24</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＋0.72／＋2.73</w:t>
            </w:r>
          </w:p>
        </w:tc>
        <w:tc>
          <w:tcPr>
            <w:tcW w:type="dxa" w:w="1701"/>
          </w:tcPr>
          <w:p>
            <w:pPr>
              <w:spacing w:after="0"/>
              <w:ind w:firstLine="0" w:firstLineChars="0"/>
              <w:jc w:val="left"/>
            </w:pPr>
            <w:r>
              <w:rPr>
                <w:rFonts w:ascii="Times New Roman" w:hAnsi="Times New Roman" w:eastAsia="ＭＳ 明朝"/>
                <w:b w:val="0"/>
                <w:color w:val="000000"/>
                <w:sz w:val="20"/>
              </w:rPr>
              <w:t>2.05／3.54</w:t>
            </w:r>
          </w:p>
        </w:tc>
        <w:tc>
          <w:tcPr>
            <w:tcW w:type="dxa" w:w="1361"/>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市場との連動度β</w:t>
              <w:br/>
              <w:t>(低いほど穏やか)</w:t>
            </w:r>
          </w:p>
        </w:tc>
        <w:tc>
          <w:tcPr>
            <w:tcW w:type="dxa" w:w="1417"/>
          </w:tcPr>
          <w:p>
            <w:pPr>
              <w:spacing w:after="0"/>
              <w:ind w:firstLine="0" w:firstLineChars="0"/>
              <w:jc w:val="left"/>
            </w:pPr>
            <w:r>
              <w:rPr>
                <w:rFonts w:ascii="Times New Roman" w:hAnsi="Times New Roman" w:eastAsia="ＭＳ 明朝"/>
                <w:b w:val="0"/>
                <w:color w:val="000000"/>
                <w:sz w:val="20"/>
              </w:rPr>
              <w:t>1.07／1.05</w:t>
            </w:r>
          </w:p>
        </w:tc>
        <w:tc>
          <w:tcPr>
            <w:tcW w:type="dxa" w:w="1701"/>
          </w:tcPr>
          <w:p>
            <w:pPr>
              <w:spacing w:after="0"/>
              <w:ind w:firstLine="0" w:firstLineChars="0"/>
              <w:jc w:val="left"/>
            </w:pPr>
            <w:r>
              <w:rPr>
                <w:rFonts w:ascii="Times New Roman" w:hAnsi="Times New Roman" w:eastAsia="ＭＳ 明朝"/>
                <w:b w:val="0"/>
                <w:color w:val="000000"/>
                <w:sz w:val="20"/>
              </w:rPr>
              <w:t>1.14／1.03</w:t>
            </w:r>
          </w:p>
        </w:tc>
        <w:tc>
          <w:tcPr>
            <w:tcW w:type="dxa" w:w="1531"/>
          </w:tcPr>
          <w:p>
            <w:pPr>
              <w:spacing w:after="0"/>
              <w:ind w:firstLine="0" w:firstLineChars="0"/>
              <w:jc w:val="left"/>
            </w:pPr>
            <w:r>
              <w:rPr>
                <w:rFonts w:ascii="Times New Roman" w:hAnsi="Times New Roman" w:eastAsia="ＭＳ 明朝"/>
                <w:b w:val="0"/>
                <w:color w:val="000000"/>
                <w:sz w:val="20"/>
              </w:rPr>
              <w:t>−0.07／＋0.02</w:t>
            </w:r>
          </w:p>
        </w:tc>
        <w:tc>
          <w:tcPr>
            <w:tcW w:type="dxa" w:w="1701"/>
          </w:tcPr>
          <w:p>
            <w:pPr>
              <w:spacing w:after="0"/>
              <w:ind w:firstLine="0" w:firstLineChars="0"/>
              <w:jc w:val="left"/>
            </w:pPr>
            <w:r>
              <w:rPr>
                <w:rFonts w:ascii="Times New Roman" w:hAnsi="Times New Roman" w:eastAsia="ＭＳ 明朝"/>
                <w:b w:val="0"/>
                <w:color w:val="000000"/>
                <w:sz w:val="20"/>
              </w:rPr>
              <w:t>1.37／1.29</w:t>
            </w:r>
          </w:p>
        </w:tc>
        <w:tc>
          <w:tcPr>
            <w:tcW w:type="dxa" w:w="1361"/>
          </w:tcPr>
          <w:p>
            <w:pPr>
              <w:spacing w:after="0"/>
              <w:ind w:firstLine="0" w:firstLineChars="0"/>
              <w:jc w:val="left"/>
            </w:pPr>
            <w:r>
              <w:rPr>
                <w:rFonts w:ascii="Times New Roman" w:hAnsi="Times New Roman" w:eastAsia="ＭＳ 明朝"/>
                <w:b w:val="0"/>
                <w:color w:val="000000"/>
                <w:sz w:val="20"/>
              </w:rPr>
              <w:t>1.00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最大の下落</w:t>
              <w:br/>
              <w:t>(小さいほど良い)</w:t>
            </w:r>
          </w:p>
        </w:tc>
        <w:tc>
          <w:tcPr>
            <w:tcW w:type="dxa" w:w="1417"/>
          </w:tcPr>
          <w:p>
            <w:pPr>
              <w:spacing w:after="0"/>
              <w:ind w:firstLine="0" w:firstLineChars="0"/>
              <w:jc w:val="left"/>
            </w:pPr>
            <w:r>
              <w:rPr>
                <w:rFonts w:ascii="Times New Roman" w:hAnsi="Times New Roman" w:eastAsia="ＭＳ 明朝"/>
                <w:b w:val="0"/>
                <w:color w:val="000000"/>
                <w:sz w:val="20"/>
              </w:rPr>
              <w:t>-30.1%／-9.7%</w:t>
            </w:r>
          </w:p>
        </w:tc>
        <w:tc>
          <w:tcPr>
            <w:tcW w:type="dxa" w:w="1701"/>
          </w:tcPr>
          <w:p>
            <w:pPr>
              <w:spacing w:after="0"/>
              <w:ind w:firstLine="0" w:firstLineChars="0"/>
              <w:jc w:val="left"/>
            </w:pPr>
            <w:r>
              <w:rPr>
                <w:rFonts w:ascii="Times New Roman" w:hAnsi="Times New Roman" w:eastAsia="ＭＳ 明朝"/>
                <w:b w:val="0"/>
                <w:color w:val="000000"/>
                <w:sz w:val="20"/>
              </w:rPr>
              <w:t>-30.8%／-12.5%</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0.7／2.8pt小さい</w:t>
            </w:r>
          </w:p>
        </w:tc>
        <w:tc>
          <w:tcPr>
            <w:tcW w:type="dxa" w:w="1701"/>
          </w:tcPr>
          <w:p>
            <w:pPr>
              <w:spacing w:after="0"/>
              <w:ind w:firstLine="0" w:firstLineChars="0"/>
              <w:jc w:val="left"/>
            </w:pPr>
            <w:r>
              <w:rPr>
                <w:rFonts w:ascii="Times New Roman" w:hAnsi="Times New Roman" w:eastAsia="ＭＳ 明朝"/>
                <w:b w:val="0"/>
                <w:color w:val="000000"/>
                <w:sz w:val="20"/>
              </w:rPr>
              <w:t>-35.6%／-15.1%</w:t>
            </w:r>
          </w:p>
        </w:tc>
        <w:tc>
          <w:tcPr>
            <w:tcW w:type="dxa" w:w="1361"/>
          </w:tcPr>
          <w:p>
            <w:pPr>
              <w:spacing w:after="0"/>
              <w:ind w:firstLine="0" w:firstLineChars="0"/>
              <w:jc w:val="left"/>
            </w:pPr>
            <w:r>
              <w:rPr>
                <w:rFonts w:ascii="Times New Roman" w:hAnsi="Times New Roman" w:eastAsia="ＭＳ 明朝"/>
                <w:b w:val="0"/>
                <w:color w:val="000000"/>
                <w:sz w:val="20"/>
              </w:rPr>
              <w:t>-23.3%／-11.4%</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超過の安定度ＩＲ</w:t>
              <w:br/>
              <w:t>(高いほど良い)</w:t>
            </w:r>
          </w:p>
        </w:tc>
        <w:tc>
          <w:tcPr>
            <w:tcW w:type="dxa" w:w="1417"/>
          </w:tcPr>
          <w:p>
            <w:pPr>
              <w:spacing w:after="0"/>
              <w:ind w:firstLine="0" w:firstLineChars="0"/>
              <w:jc w:val="left"/>
            </w:pPr>
            <w:r>
              <w:rPr>
                <w:rFonts w:ascii="Times New Roman" w:hAnsi="Times New Roman" w:eastAsia="ＭＳ 明朝"/>
                <w:b w:val="0"/>
                <w:color w:val="000000"/>
                <w:sz w:val="20"/>
              </w:rPr>
              <w:t>＋1.56／＋2.92</w:t>
            </w:r>
          </w:p>
        </w:tc>
        <w:tc>
          <w:tcPr>
            <w:tcW w:type="dxa" w:w="1701"/>
          </w:tcPr>
          <w:p>
            <w:pPr>
              <w:spacing w:after="0"/>
              <w:ind w:firstLine="0" w:firstLineChars="0"/>
              <w:jc w:val="left"/>
            </w:pPr>
            <w:r>
              <w:rPr>
                <w:rFonts w:ascii="Times New Roman" w:hAnsi="Times New Roman" w:eastAsia="ＭＳ 明朝"/>
                <w:b w:val="0"/>
                <w:color w:val="000000"/>
                <w:sz w:val="20"/>
              </w:rPr>
              <w:t>＋0.76／＋0.62</w:t>
            </w:r>
          </w:p>
        </w:tc>
        <w:tc>
          <w:tcPr>
            <w:tcW w:type="dxa" w:w="1531"/>
            <w:shd w:val="clear" w:color="auto" w:fill="E8F2EC"/>
          </w:tcPr>
          <w:p>
            <w:pPr>
              <w:spacing w:after="0"/>
              <w:ind w:firstLine="0" w:firstLineChars="0"/>
              <w:jc w:val="left"/>
            </w:pPr>
            <w:r>
              <w:rPr>
                <w:rFonts w:ascii="Times New Roman" w:hAnsi="Times New Roman" w:eastAsia="ＭＳ 明朝"/>
                <w:b w:val="0"/>
                <w:color w:val="000000"/>
                <w:sz w:val="20"/>
              </w:rPr>
              <w:t>＋0.81／＋2.30</w:t>
            </w:r>
          </w:p>
        </w:tc>
        <w:tc>
          <w:tcPr>
            <w:tcW w:type="dxa" w:w="1701"/>
          </w:tcPr>
          <w:p>
            <w:pPr>
              <w:spacing w:after="0"/>
              <w:ind w:firstLine="0" w:firstLineChars="0"/>
              <w:jc w:val="left"/>
            </w:pPr>
            <w:r>
              <w:rPr>
                <w:rFonts w:ascii="Times New Roman" w:hAnsi="Times New Roman" w:eastAsia="ＭＳ 明朝"/>
                <w:b w:val="0"/>
                <w:color w:val="000000"/>
                <w:sz w:val="20"/>
              </w:rPr>
              <w:t>＋1.54／＋1.79</w:t>
            </w:r>
          </w:p>
        </w:tc>
        <w:tc>
          <w:tcPr>
            <w:tcW w:type="dxa" w:w="1361"/>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図表Ⅲ-3　対照群・市場との比較(各セル＝3年／直近1年)。塗ったセルは本ＰＦが主対照を上回った幅。3年は6つの物差しすべてで上回り、直近1年はβ(1.05対1.03)だけわずかに及ばない。日経平均は図表Ⅲ-2に併記した(年率32.8％／78.8％)。出所：筆者計算。</w:t>
      </w:r>
    </w:p>
    <w:p>
      <w:pPr>
        <w:spacing w:after="80" w:line="281" w:lineRule="auto"/>
        <w:jc w:val="both"/>
        <w:ind w:firstLineChars="100" w:firstLine="210"/>
      </w:pPr>
      <w:r>
        <w:rPr>
          <w:rFonts w:ascii="Times New Roman" w:hAnsi="Times New Roman" w:eastAsia="ＭＳ 明朝"/>
          <w:b w:val="0"/>
          <w:color w:val="000000"/>
          <w:sz w:val="21"/>
        </w:rPr>
        <w:t>読み取りは三つ。第一に、当時実際に組めた新バフェット型(期首加重)に対して、本ＰＦは3年では6つの物差しすべてで上回り、直近1年もβを除く5つで上回った。直近1年の差は統計的にも確実である(日次超過のNewey-Westｔ値＝2.16)。3年ではｔ＝1.01で、差の向きは一貫するが「偶然とは考えにくい」水準には届かない。グレアム型(ｔ＝2.99)と市場ＴＯＰＩＸ(ｔ＝2.80)には有意に上回った。第二に、都合の悪い結果も書く――同じ20社をいまの大きさで配分し直した仮想の対照(期末加重)には、3年のリターンで19.4ポイント届かない。値上がりした半導体大手に事後的に重みが集まるためである。それでも効率(シャープ2.09対2.05)・最大の下落(-30.1%対-35.6%)・連動度β(1.07対1.37)では上回る。値動きの荒さを対照とそろえた換算(約1.38倍で運用)ではリターンも上回るが、借入を前提とする参考計算にすぎない。第三に、これはすべて自己検証であり、将来の市場超過の証明ではない――この限界は言い換えずに残す。</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対照の作り方を変えても結論は同じか</w:t>
      </w:r>
    </w:p>
    <w:p>
      <w:pPr>
        <w:spacing w:after="80" w:line="281" w:lineRule="auto"/>
        <w:jc w:val="both"/>
        <w:ind w:firstLineChars="100" w:firstLine="210"/>
      </w:pPr>
      <w:r>
        <w:rPr>
          <w:rFonts w:ascii="Times New Roman" w:hAnsi="Times New Roman" w:eastAsia="ＭＳ 明朝"/>
          <w:b w:val="0"/>
          <w:color w:val="000000"/>
          <w:sz w:val="21"/>
        </w:rPr>
        <w:t>「12社にしていれば勝てたのに、20社を選んだのは損な作り方ではないか」――逆に「都合の良い社数を選んだのではないか」という疑いにも、先に答えておく。社数(業種上限つき12社／同15社／全20社)と配分(期首・期末・等金額)の9通りをすべて計算した(下表)。</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474"/>
            <w:shd w:val="clear" w:color="auto" w:fill="16324F"/>
          </w:tcPr>
          <w:p>
            <w:pPr>
              <w:spacing w:after="0"/>
              <w:ind w:firstLine="0" w:firstLineChars="0"/>
              <w:jc w:val="center"/>
            </w:pPr>
            <w:r>
              <w:rPr>
                <w:rFonts w:ascii="Arial" w:hAnsi="Arial" w:eastAsia="ＭＳ ゴシック"/>
                <w:b/>
                <w:color w:val="FFFFFF"/>
                <w:sz w:val="20"/>
              </w:rPr>
              <w:t>対照の社数</w:t>
            </w:r>
          </w:p>
        </w:tc>
        <w:tc>
          <w:tcPr>
            <w:tcW w:type="dxa" w:w="2948"/>
            <w:shd w:val="clear" w:color="auto" w:fill="16324F"/>
          </w:tcPr>
          <w:p>
            <w:pPr>
              <w:spacing w:after="0"/>
              <w:ind w:firstLine="0" w:firstLineChars="0"/>
              <w:jc w:val="center"/>
            </w:pPr>
            <w:r>
              <w:rPr>
                <w:rFonts w:ascii="Arial" w:hAnsi="Arial" w:eastAsia="ＭＳ ゴシック"/>
                <w:b/>
                <w:color w:val="FFFFFF"/>
                <w:sz w:val="20"/>
              </w:rPr>
              <w:t>期首加重(主系列の作り方)</w:t>
            </w:r>
          </w:p>
        </w:tc>
        <w:tc>
          <w:tcPr>
            <w:tcW w:type="dxa" w:w="2608"/>
            <w:shd w:val="clear" w:color="auto" w:fill="16324F"/>
          </w:tcPr>
          <w:p>
            <w:pPr>
              <w:spacing w:after="0"/>
              <w:ind w:firstLine="0" w:firstLineChars="0"/>
              <w:jc w:val="center"/>
            </w:pPr>
            <w:r>
              <w:rPr>
                <w:rFonts w:ascii="Arial" w:hAnsi="Arial" w:eastAsia="ＭＳ ゴシック"/>
                <w:b/>
                <w:color w:val="FFFFFF"/>
                <w:sz w:val="20"/>
              </w:rPr>
              <w:t>期末加重</w:t>
            </w:r>
          </w:p>
        </w:tc>
        <w:tc>
          <w:tcPr>
            <w:tcW w:type="dxa" w:w="2608"/>
            <w:shd w:val="clear" w:color="auto" w:fill="16324F"/>
          </w:tcPr>
          <w:p>
            <w:pPr>
              <w:spacing w:after="0"/>
              <w:ind w:firstLine="0" w:firstLineChars="0"/>
              <w:jc w:val="center"/>
            </w:pPr>
            <w:r>
              <w:rPr>
                <w:rFonts w:ascii="Arial" w:hAnsi="Arial" w:eastAsia="ＭＳ ゴシック"/>
                <w:b/>
                <w:color w:val="FFFFFF"/>
                <w:sz w:val="20"/>
              </w:rPr>
              <w:t>等金額</w:t>
            </w:r>
          </w:p>
        </w:tc>
      </w:tr>
      <w:tr>
        <w:trPr>
          <w:cantSplit/>
        </w:trPr>
        <w:tc>
          <w:tcPr>
            <w:tcW w:type="dxa" w:w="1474"/>
          </w:tcPr>
          <w:p>
            <w:pPr>
              <w:spacing w:after="0"/>
              <w:ind w:firstLine="0" w:firstLineChars="0"/>
              <w:jc w:val="left"/>
            </w:pPr>
            <w:r>
              <w:rPr>
                <w:rFonts w:ascii="Times New Roman" w:hAnsi="Times New Roman" w:eastAsia="ＭＳ 明朝"/>
                <w:b w:val="0"/>
                <w:color w:val="000000"/>
                <w:sz w:val="20"/>
              </w:rPr>
              <w:t>12社</w:t>
            </w:r>
          </w:p>
        </w:tc>
        <w:tc>
          <w:tcPr>
            <w:tcW w:type="dxa" w:w="2948"/>
          </w:tcPr>
          <w:p>
            <w:pPr>
              <w:spacing w:after="0"/>
              <w:ind w:firstLine="0" w:firstLineChars="0"/>
              <w:jc w:val="left"/>
            </w:pPr>
            <w:r>
              <w:rPr>
                <w:rFonts w:ascii="Times New Roman" w:hAnsi="Times New Roman" w:eastAsia="ＭＳ 明朝"/>
                <w:b w:val="0"/>
                <w:color w:val="000000"/>
                <w:sz w:val="20"/>
              </w:rPr>
              <w:t>29.1%（差＋25.6pt）</w:t>
            </w:r>
          </w:p>
        </w:tc>
        <w:tc>
          <w:tcPr>
            <w:tcW w:type="dxa" w:w="2608"/>
          </w:tcPr>
          <w:p>
            <w:pPr>
              <w:spacing w:after="0"/>
              <w:ind w:firstLine="0" w:firstLineChars="0"/>
              <w:jc w:val="left"/>
            </w:pPr>
            <w:r>
              <w:rPr>
                <w:rFonts w:ascii="Times New Roman" w:hAnsi="Times New Roman" w:eastAsia="ＭＳ 明朝"/>
                <w:b w:val="0"/>
                <w:color w:val="000000"/>
                <w:sz w:val="20"/>
              </w:rPr>
              <w:t>42.6%（差＋12.1pt）</w:t>
            </w:r>
          </w:p>
        </w:tc>
        <w:tc>
          <w:tcPr>
            <w:tcW w:type="dxa" w:w="2608"/>
          </w:tcPr>
          <w:p>
            <w:pPr>
              <w:spacing w:after="0"/>
              <w:ind w:firstLine="0" w:firstLineChars="0"/>
              <w:jc w:val="left"/>
            </w:pPr>
            <w:r>
              <w:rPr>
                <w:rFonts w:ascii="Times New Roman" w:hAnsi="Times New Roman" w:eastAsia="ＭＳ 明朝"/>
                <w:b w:val="0"/>
                <w:color w:val="000000"/>
                <w:sz w:val="20"/>
              </w:rPr>
              <w:t>34.6%（差＋20.1pt）</w:t>
            </w:r>
          </w:p>
        </w:tc>
      </w:tr>
      <w:tr>
        <w:trPr>
          <w:cantSplit/>
        </w:trPr>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15社</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33.6%（差＋21.1pt）</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80.6%（差−26.0pt）</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49.4%（差＋5.3pt）</w:t>
            </w:r>
          </w:p>
        </w:tc>
      </w:tr>
      <w:tr>
        <w:trPr>
          <w:cantSplit/>
        </w:trPr>
        <w:tc>
          <w:tcPr>
            <w:tcW w:type="dxa" w:w="1474"/>
          </w:tcPr>
          <w:p>
            <w:pPr>
              <w:spacing w:after="0"/>
              <w:ind w:firstLine="0" w:firstLineChars="0"/>
              <w:jc w:val="left"/>
            </w:pPr>
            <w:r>
              <w:rPr>
                <w:rFonts w:ascii="Times New Roman" w:hAnsi="Times New Roman" w:eastAsia="ＭＳ 明朝"/>
                <w:b w:val="0"/>
                <w:color w:val="000000"/>
                <w:sz w:val="20"/>
              </w:rPr>
              <w:t>20社</w:t>
            </w:r>
          </w:p>
        </w:tc>
        <w:tc>
          <w:tcPr>
            <w:tcW w:type="dxa" w:w="2948"/>
          </w:tcPr>
          <w:p>
            <w:pPr>
              <w:spacing w:after="0"/>
              <w:ind w:firstLine="0" w:firstLineChars="0"/>
              <w:jc w:val="left"/>
            </w:pPr>
            <w:r>
              <w:rPr>
                <w:rFonts w:ascii="Times New Roman" w:hAnsi="Times New Roman" w:eastAsia="ＭＳ 明朝"/>
                <w:b w:val="0"/>
                <w:color w:val="000000"/>
                <w:sz w:val="20"/>
              </w:rPr>
              <w:t>40.7%（差＋14.0pt）</w:t>
            </w:r>
          </w:p>
        </w:tc>
        <w:tc>
          <w:tcPr>
            <w:tcW w:type="dxa" w:w="2608"/>
          </w:tcPr>
          <w:p>
            <w:pPr>
              <w:spacing w:after="0"/>
              <w:ind w:firstLine="0" w:firstLineChars="0"/>
              <w:jc w:val="left"/>
            </w:pPr>
            <w:r>
              <w:rPr>
                <w:rFonts w:ascii="Times New Roman" w:hAnsi="Times New Roman" w:eastAsia="ＭＳ 明朝"/>
                <w:b w:val="0"/>
                <w:color w:val="000000"/>
                <w:sz w:val="20"/>
              </w:rPr>
              <w:t>74.1%（差−19.4pt）</w:t>
            </w:r>
          </w:p>
        </w:tc>
        <w:tc>
          <w:tcPr>
            <w:tcW w:type="dxa" w:w="2608"/>
          </w:tcPr>
          <w:p>
            <w:pPr>
              <w:spacing w:after="0"/>
              <w:ind w:firstLine="0" w:firstLineChars="0"/>
              <w:jc w:val="left"/>
            </w:pPr>
            <w:r>
              <w:rPr>
                <w:rFonts w:ascii="Times New Roman" w:hAnsi="Times New Roman" w:eastAsia="ＭＳ 明朝"/>
                <w:b w:val="0"/>
                <w:color w:val="000000"/>
                <w:sz w:val="20"/>
              </w:rPr>
              <w:t>58.7%（差−4.1pt）</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図表Ⅲ-4　対照の作り方を変えたときの3年年率リターン(かっこ内は本ＰＦ54.7%との差)。出所：筆者計算。</w:t>
      </w:r>
    </w:p>
    <w:p>
      <w:pPr>
        <w:spacing w:after="80" w:line="281" w:lineRule="auto"/>
        <w:jc w:val="both"/>
        <w:ind w:firstLineChars="100" w:firstLine="210"/>
      </w:pPr>
      <w:r>
        <w:rPr>
          <w:rFonts w:ascii="Times New Roman" w:hAnsi="Times New Roman" w:eastAsia="ＭＳ 明朝"/>
          <w:b w:val="0"/>
          <w:color w:val="000000"/>
          <w:sz w:val="21"/>
        </w:rPr>
        <w:t>読み取りは単純である。期首加重(未来の情報を入れない作り方)では、社数を12社・15社・20社のどれにしても本ＰＦが上回る。等金額でも12社・15社では上回り、20社では互角である。本ＰＦが届かないのは期末加重の15社・20社だけ――つまり「上がった後の大きさで配分し直す」という、当時は選べなかった作り方のときだけである。私たちは主系列として最も原則的な作り方(社数を切らない20社・期首加重)を採り、残りも隠さず開示す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四つの相場局面ではどうだったか</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3175"/>
            <w:shd w:val="clear" w:color="auto" w:fill="16324F"/>
          </w:tcPr>
          <w:p>
            <w:pPr>
              <w:spacing w:after="0"/>
              <w:ind w:firstLine="0" w:firstLineChars="0"/>
              <w:jc w:val="center"/>
            </w:pPr>
            <w:r>
              <w:rPr>
                <w:rFonts w:ascii="Arial" w:hAnsi="Arial" w:eastAsia="ＭＳ ゴシック"/>
                <w:b/>
                <w:color w:val="FFFFFF"/>
                <w:sz w:val="20"/>
              </w:rPr>
              <w:t>相場の局面</w:t>
            </w:r>
          </w:p>
        </w:tc>
        <w:tc>
          <w:tcPr>
            <w:tcW w:type="dxa" w:w="1361"/>
            <w:shd w:val="clear" w:color="auto" w:fill="16324F"/>
          </w:tcPr>
          <w:p>
            <w:pPr>
              <w:spacing w:after="0"/>
              <w:ind w:firstLine="0" w:firstLineChars="0"/>
              <w:jc w:val="center"/>
            </w:pPr>
            <w:r>
              <w:rPr>
                <w:rFonts w:ascii="Arial" w:hAnsi="Arial" w:eastAsia="ＭＳ ゴシック"/>
                <w:b/>
                <w:color w:val="FFFFFF"/>
                <w:sz w:val="20"/>
              </w:rPr>
              <w:t>本ＰＦ</w:t>
            </w:r>
          </w:p>
        </w:tc>
        <w:tc>
          <w:tcPr>
            <w:tcW w:type="dxa" w:w="1474"/>
            <w:shd w:val="clear" w:color="auto" w:fill="16324F"/>
          </w:tcPr>
          <w:p>
            <w:pPr>
              <w:spacing w:after="0"/>
              <w:ind w:firstLine="0" w:firstLineChars="0"/>
              <w:jc w:val="center"/>
            </w:pPr>
            <w:r>
              <w:rPr>
                <w:rFonts w:ascii="Arial" w:hAnsi="Arial" w:eastAsia="ＭＳ ゴシック"/>
                <w:b/>
                <w:color w:val="FFFFFF"/>
                <w:sz w:val="20"/>
              </w:rPr>
              <w:t>主対照</w:t>
              <w:br/>
              <w:t>(期首加重)</w:t>
            </w:r>
          </w:p>
        </w:tc>
        <w:tc>
          <w:tcPr>
            <w:tcW w:type="dxa" w:w="1474"/>
            <w:shd w:val="clear" w:color="auto" w:fill="16324F"/>
          </w:tcPr>
          <w:p>
            <w:pPr>
              <w:spacing w:after="0"/>
              <w:ind w:firstLine="0" w:firstLineChars="0"/>
              <w:jc w:val="center"/>
            </w:pPr>
            <w:r>
              <w:rPr>
                <w:rFonts w:ascii="Arial" w:hAnsi="Arial" w:eastAsia="ＭＳ ゴシック"/>
                <w:b/>
                <w:color w:val="FFFFFF"/>
                <w:sz w:val="20"/>
              </w:rPr>
              <w:t>参考</w:t>
              <w:br/>
              <w:t>(期末加重)</w:t>
            </w:r>
          </w:p>
        </w:tc>
        <w:tc>
          <w:tcPr>
            <w:tcW w:type="dxa" w:w="2154"/>
            <w:shd w:val="clear" w:color="auto" w:fill="16324F"/>
          </w:tcPr>
          <w:p>
            <w:pPr>
              <w:spacing w:after="0"/>
              <w:ind w:firstLine="0" w:firstLineChars="0"/>
              <w:jc w:val="center"/>
            </w:pPr>
            <w:r>
              <w:rPr>
                <w:rFonts w:ascii="Arial" w:hAnsi="Arial" w:eastAsia="ＭＳ ゴシック"/>
                <w:b/>
                <w:color w:val="FFFFFF"/>
                <w:sz w:val="20"/>
              </w:rPr>
              <w:t>最大の下落</w:t>
              <w:br/>
              <w:t>本ＰＦ／主対照</w:t>
            </w:r>
          </w:p>
        </w:tc>
      </w:tr>
      <w:tr>
        <w:trPr>
          <w:cantSplit/>
        </w:trPr>
        <w:tc>
          <w:tcPr>
            <w:tcW w:type="dxa" w:w="3175"/>
          </w:tcPr>
          <w:p>
            <w:pPr>
              <w:spacing w:after="0"/>
              <w:ind w:firstLine="0" w:firstLineChars="0"/>
              <w:jc w:val="left"/>
            </w:pPr>
            <w:r>
              <w:rPr>
                <w:rFonts w:ascii="Times New Roman" w:hAnsi="Times New Roman" w:eastAsia="ＭＳ 明朝"/>
                <w:b w:val="0"/>
                <w:color w:val="000000"/>
                <w:sz w:val="20"/>
              </w:rPr>
              <w:t>利上げ相場 2021-06〜2022-12</w:t>
            </w:r>
          </w:p>
        </w:tc>
        <w:tc>
          <w:tcPr>
            <w:tcW w:type="dxa" w:w="1361"/>
          </w:tcPr>
          <w:p>
            <w:pPr>
              <w:spacing w:after="0"/>
              <w:ind w:firstLine="0" w:firstLineChars="0"/>
              <w:jc w:val="left"/>
            </w:pPr>
            <w:r>
              <w:rPr>
                <w:rFonts w:ascii="Times New Roman" w:hAnsi="Times New Roman" w:eastAsia="ＭＳ 明朝"/>
                <w:b w:val="0"/>
                <w:color w:val="000000"/>
                <w:sz w:val="20"/>
              </w:rPr>
              <w:t>+31.3%</w:t>
            </w:r>
          </w:p>
        </w:tc>
        <w:tc>
          <w:tcPr>
            <w:tcW w:type="dxa" w:w="1474"/>
          </w:tcPr>
          <w:p>
            <w:pPr>
              <w:spacing w:after="0"/>
              <w:ind w:firstLine="0" w:firstLineChars="0"/>
              <w:jc w:val="left"/>
            </w:pPr>
            <w:r>
              <w:rPr>
                <w:rFonts w:ascii="Times New Roman" w:hAnsi="Times New Roman" w:eastAsia="ＭＳ 明朝"/>
                <w:b w:val="0"/>
                <w:color w:val="000000"/>
                <w:sz w:val="20"/>
              </w:rPr>
              <w:t>+2.9%</w:t>
            </w:r>
          </w:p>
        </w:tc>
        <w:tc>
          <w:tcPr>
            <w:tcW w:type="dxa" w:w="1474"/>
          </w:tcPr>
          <w:p>
            <w:pPr>
              <w:spacing w:after="0"/>
              <w:ind w:firstLine="0" w:firstLineChars="0"/>
              <w:jc w:val="left"/>
            </w:pPr>
            <w:r>
              <w:rPr>
                <w:rFonts w:ascii="Times New Roman" w:hAnsi="Times New Roman" w:eastAsia="ＭＳ 明朝"/>
                <w:b w:val="0"/>
                <w:color w:val="000000"/>
                <w:sz w:val="20"/>
              </w:rPr>
              <w:t>+17.7%</w:t>
            </w:r>
          </w:p>
        </w:tc>
        <w:tc>
          <w:tcPr>
            <w:tcW w:type="dxa" w:w="2154"/>
          </w:tcPr>
          <w:p>
            <w:pPr>
              <w:spacing w:after="0"/>
              <w:ind w:firstLine="0" w:firstLineChars="0"/>
              <w:jc w:val="left"/>
            </w:pPr>
            <w:r>
              <w:rPr>
                <w:rFonts w:ascii="Times New Roman" w:hAnsi="Times New Roman" w:eastAsia="ＭＳ 明朝"/>
                <w:b w:val="0"/>
                <w:color w:val="000000"/>
                <w:sz w:val="20"/>
              </w:rPr>
              <w:t>-17.7%／-23.8%</w:t>
            </w:r>
          </w:p>
        </w:tc>
      </w:tr>
      <w:tr>
        <w:trPr>
          <w:cantSplit/>
        </w:trPr>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ＡＩ相場の前半 2023-01〜2024-06</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+130.1%</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+124.0%</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+183.5%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-12.7%／-14.4%</w:t>
            </w:r>
          </w:p>
        </w:tc>
      </w:tr>
      <w:tr>
        <w:trPr>
          <w:cantSplit/>
        </w:trPr>
        <w:tc>
          <w:tcPr>
            <w:tcW w:type="dxa" w:w="3175"/>
          </w:tcPr>
          <w:p>
            <w:pPr>
              <w:spacing w:after="0"/>
              <w:ind w:firstLine="0" w:firstLineChars="0"/>
              <w:jc w:val="left"/>
            </w:pPr>
            <w:r>
              <w:rPr>
                <w:rFonts w:ascii="Times New Roman" w:hAnsi="Times New Roman" w:eastAsia="ＭＳ 明朝"/>
                <w:b w:val="0"/>
                <w:color w:val="000000"/>
                <w:sz w:val="20"/>
              </w:rPr>
              <w:t>直近 2024-07〜2026-06</w:t>
            </w:r>
          </w:p>
        </w:tc>
        <w:tc>
          <w:tcPr>
            <w:tcW w:type="dxa" w:w="1361"/>
          </w:tcPr>
          <w:p>
            <w:pPr>
              <w:spacing w:after="0"/>
              <w:ind w:firstLine="0" w:firstLineChars="0"/>
              <w:jc w:val="left"/>
            </w:pPr>
            <w:r>
              <w:rPr>
                <w:rFonts w:ascii="Times New Roman" w:hAnsi="Times New Roman" w:eastAsia="ＭＳ 明朝"/>
                <w:b w:val="0"/>
                <w:color w:val="000000"/>
                <w:sz w:val="20"/>
              </w:rPr>
              <w:t>+91.5%</w:t>
            </w:r>
          </w:p>
        </w:tc>
        <w:tc>
          <w:tcPr>
            <w:tcW w:type="dxa" w:w="1474"/>
          </w:tcPr>
          <w:p>
            <w:pPr>
              <w:spacing w:after="0"/>
              <w:ind w:firstLine="0" w:firstLineChars="0"/>
              <w:jc w:val="left"/>
            </w:pPr>
            <w:r>
              <w:rPr>
                <w:rFonts w:ascii="Times New Roman" w:hAnsi="Times New Roman" w:eastAsia="ＭＳ 明朝"/>
                <w:b w:val="0"/>
                <w:color w:val="000000"/>
                <w:sz w:val="20"/>
              </w:rPr>
              <w:t>+49.3%</w:t>
            </w:r>
          </w:p>
        </w:tc>
        <w:tc>
          <w:tcPr>
            <w:tcW w:type="dxa" w:w="1474"/>
          </w:tcPr>
          <w:p>
            <w:pPr>
              <w:spacing w:after="0"/>
              <w:ind w:firstLine="0" w:firstLineChars="0"/>
              <w:jc w:val="left"/>
            </w:pPr>
            <w:r>
              <w:rPr>
                <w:rFonts w:ascii="Times New Roman" w:hAnsi="Times New Roman" w:eastAsia="ＭＳ 明朝"/>
                <w:b w:val="0"/>
                <w:color w:val="000000"/>
                <w:sz w:val="20"/>
              </w:rPr>
              <w:t>+169.4%</w:t>
            </w:r>
          </w:p>
        </w:tc>
        <w:tc>
          <w:tcPr>
            <w:tcW w:type="dxa" w:w="2154"/>
          </w:tcPr>
          <w:p>
            <w:pPr>
              <w:spacing w:after="0"/>
              <w:ind w:firstLine="0" w:firstLineChars="0"/>
              <w:jc w:val="left"/>
            </w:pPr>
            <w:r>
              <w:rPr>
                <w:rFonts w:ascii="Times New Roman" w:hAnsi="Times New Roman" w:eastAsia="ＭＳ 明朝"/>
                <w:b w:val="0"/>
                <w:color w:val="000000"/>
                <w:sz w:val="20"/>
              </w:rPr>
              <w:t>-26.7%／-29.8%</w:t>
            </w:r>
          </w:p>
        </w:tc>
      </w:tr>
      <w:tr>
        <w:trPr>
          <w:cantSplit/>
        </w:trPr>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暴落ストレス 2024-07-25〜08-09</w:t>
            </w:r>
          </w:p>
        </w:tc>
        <w:tc>
          <w:tcPr>
            <w:tcW w:type="dxa" w:w="1361"/>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-5.2%</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-20.9%／-22.0%</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図表Ⅲ-5　相場局面別の期間リターン(株数を固定した買い持ちで計算)。局面の区切りは相場環境で先に定義し、成績を見て動かしていない。出所：筆者計算。</w:t>
      </w:r>
    </w:p>
    <w:p>
      <w:pPr>
        <w:spacing w:after="80" w:line="281" w:lineRule="auto"/>
        <w:jc w:val="both"/>
        <w:ind w:firstLineChars="100" w:firstLine="210"/>
      </w:pPr>
      <w:r>
        <w:rPr>
          <w:rFonts w:ascii="Times New Roman" w:hAnsi="Times New Roman" w:eastAsia="ＭＳ 明朝"/>
          <w:b w:val="0"/>
          <w:color w:val="000000"/>
          <w:sz w:val="21"/>
        </w:rPr>
        <w:t>四つの局面のうち、リターンで主対照を上回ったのは三局面である(利上げ相場・ＡＩ相場前半・直近)。暴落の2週間だけはほぼ互角の下げ幅だった。一方、期間中の最大の下落は四局面すべてで本ＰＦのほうが小さい。三世代へ分散したことは、上げ相場で置いていかれない程度に攻めつつ、下げでは毎回いくぶん踏みとどまる、という形で効いていた。</w:t>
      </w:r>
    </w:p>
    <w:p>
      <w:pPr>
        <w:spacing w:after="80" w:line="281" w:lineRule="auto"/>
        <w:jc w:val="both"/>
        <w:ind w:firstLineChars="100" w:firstLine="210"/>
      </w:pPr>
      <w:r>
        <w:rPr>
          <w:rFonts w:ascii="Times New Roman" w:hAnsi="Times New Roman" w:eastAsia="ＭＳ 明朝"/>
          <w:b w:val="0"/>
          <w:color w:val="000000"/>
          <w:sz w:val="21"/>
        </w:rPr>
        <w:t>役割の分担も確かめた。過去3年の値上がり寄与は、生まれる堀(ＡＩ・半導体)が約58％と牽引し、完成した堀(守)も約21％と土台以上に寄与、変わる堀(公益・資源)は約10％で下げ相場の緩衝材として効いた。旧来の割安一辺倒(グレアム型)に比べ、三世代へ寄与が分散している。なお本検証は取引コスト・税を考慮せず、毎日同じ比率へ戻す規約で計算した(局面別の表だけは株数固定の買い持ち)。買い方を変えると数値は多少動く。</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4．結論と限界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Layout w:type="fixed"/>
      </w:tblPr>
      <w:tblGrid>
        <w:gridCol w:w="1587"/>
        <w:gridCol w:w="6349"/>
        <w:gridCol w:w="1700"/>
      </w:tblGrid>
      <w:tr>
        <w:trPr>
          <w:cantSplit/>
        </w:trPr>
        <w:tc>
          <w:tcPr>
            <w:tcW w:type="dxa" w:w="1587"/>
            <w:shd w:val="clear" w:color="auto" w:fill="16324F"/>
          </w:tcPr>
          <w:p>
            <w:pPr>
              <w:spacing w:after="0"/>
              <w:ind w:firstLine="0" w:firstLineChars="0"/>
              <w:jc w:val="center"/>
            </w:pPr>
            <w:r>
              <w:rPr>
                <w:rFonts w:ascii="Arial" w:hAnsi="Arial" w:eastAsia="ＭＳ ゴシック"/>
                <w:b/>
                <w:color w:val="FFFFFF"/>
                <w:sz w:val="20"/>
              </w:rPr>
              <w:t>「超える」の条件</w:t>
            </w:r>
          </w:p>
        </w:tc>
        <w:tc>
          <w:tcPr>
            <w:tcW w:type="dxa" w:w="6350"/>
            <w:shd w:val="clear" w:color="auto" w:fill="16324F"/>
          </w:tcPr>
          <w:p>
            <w:pPr>
              <w:spacing w:after="0"/>
              <w:ind w:firstLine="0" w:firstLineChars="0"/>
              <w:jc w:val="center"/>
            </w:pPr>
            <w:r>
              <w:rPr>
                <w:rFonts w:ascii="Arial" w:hAnsi="Arial" w:eastAsia="ＭＳ ゴシック"/>
                <w:b/>
                <w:color w:val="FFFFFF"/>
                <w:sz w:val="20"/>
              </w:rPr>
              <w:t>結果</w:t>
            </w:r>
          </w:p>
        </w:tc>
        <w:tc>
          <w:tcPr>
            <w:tcW w:type="dxa" w:w="1701"/>
            <w:shd w:val="clear" w:color="auto" w:fill="16324F"/>
          </w:tcPr>
          <w:p>
            <w:pPr>
              <w:spacing w:after="0"/>
              <w:ind w:firstLine="0" w:firstLineChars="0"/>
              <w:jc w:val="center"/>
            </w:pPr>
            <w:r>
              <w:rPr>
                <w:rFonts w:ascii="Arial" w:hAnsi="Arial" w:eastAsia="ＭＳ ゴシック"/>
                <w:b/>
                <w:color w:val="FFFFFF"/>
                <w:sz w:val="20"/>
              </w:rPr>
              <w:t>判定</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① 同じ土俵に立つ</w:t>
            </w:r>
          </w:p>
        </w:tc>
        <w:tc>
          <w:tcPr>
            <w:tcW w:type="dxa" w:w="6350"/>
          </w:tcPr>
          <w:p>
            <w:pPr>
              <w:spacing w:after="0"/>
              <w:ind w:firstLine="0" w:firstLineChars="0"/>
              <w:jc w:val="left"/>
            </w:pPr>
            <w:r>
              <w:rPr>
                <w:rFonts w:ascii="Times New Roman" w:hAnsi="Times New Roman" w:eastAsia="ＭＳ 明朝"/>
                <w:b w:val="0"/>
                <w:color w:val="000000"/>
                <w:sz w:val="20"/>
              </w:rPr>
              <w:t>品質基準を式から再現し、その完成した堀5社を固定保有(第Ⅱ章)</w:t>
            </w:r>
          </w:p>
        </w:tc>
        <w:tc>
          <w:tcPr>
            <w:tcW w:type="dxa" w:w="1701"/>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② 死角に届く</w:t>
            </w:r>
          </w:p>
        </w:tc>
        <w:tc>
          <w:tcPr>
            <w:tcW w:type="dxa" w:w="6350"/>
            <w:shd w:val="clear" w:color="auto" w:fill="F2F6F4"/>
          </w:tcPr>
          <w:p>
            <w:pPr>
              <w:spacing w:after="0"/>
              <w:ind w:firstLine="0" w:firstLineChars="0"/>
              <w:jc w:val="left"/>
            </w:pPr>
            <w:r>
              <w:rPr>
                <w:rFonts w:ascii="Times New Roman" w:hAnsi="Times New Roman" w:eastAsia="ＭＳ 明朝"/>
                <w:b w:val="0"/>
                <w:color w:val="000000"/>
                <w:sz w:val="20"/>
              </w:rPr>
              <w:t>品質レンズが映さない13社を、事業で検証した証拠つきで選定(証拠水準3=約9社・水準2=約11社)。うち2社は彼の式にも入る＝堀が数字に現れ始めた会社</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③ 壊れにくい</w:t>
            </w:r>
          </w:p>
        </w:tc>
        <w:tc>
          <w:tcPr>
            <w:tcW w:type="dxa" w:w="6350"/>
          </w:tcPr>
          <w:p>
            <w:pPr>
              <w:spacing w:after="0"/>
              <w:ind w:firstLine="0" w:firstLineChars="0"/>
              <w:jc w:val="left"/>
            </w:pPr>
            <w:r>
              <w:rPr>
                <w:rFonts w:ascii="Times New Roman" w:hAnsi="Times New Roman" w:eastAsia="ＭＳ 明朝"/>
                <w:b w:val="0"/>
                <w:color w:val="000000"/>
                <w:sz w:val="20"/>
              </w:rPr>
              <w:t>目安8通り・配分3方式・相場4局面で検査。守5は最小4/5一致(第Ⅱ章末)</w:t>
            </w:r>
          </w:p>
        </w:tc>
        <w:tc>
          <w:tcPr>
            <w:tcW w:type="dxa" w:w="1701"/>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6350"/>
            <w:shd w:val="clear" w:color="auto" w:fill="F2F6F4"/>
          </w:tcPr>
          <w:p>
            <w:pPr>
              <w:spacing w:after="0"/>
              <w:ind w:firstLine="0" w:firstLineChars="0"/>
              <w:jc w:val="left"/>
            </w:pPr>
            <w:r>
              <w:rPr>
                <w:rFonts w:ascii="Times New Roman" w:hAnsi="Times New Roman" w:eastAsia="ＭＳ 明朝"/>
                <w:b w:val="0"/>
                <w:color w:val="000000"/>
                <w:sz w:val="20"/>
              </w:rPr>
              <w:t>当時組めた新バフェット型(期首加重)に、3年は6つの物差しすべて・1年はβを除く5つで上回る(3年＋14.0pt・1年＋63.8pt。1年はｔ＝2.16で有意、3年は有意差なし)。グレアム型・市場には有意に上回る。ただし期末加重の仮想対照にはリターンで19.4pt届かない(効率・下落では上回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達成</w:t>
              <w:br/>
              <w:t>(3年は有意差なし)</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図表Ⅲ-6　判定表 ― 四条件に対する現時点の答え(すべて2026年時点選定の自己検証)。</w:t>
      </w:r>
    </w:p>
    <w:p>
      <w:pPr>
        <w:spacing w:after="80" w:line="281" w:lineRule="auto"/>
        <w:jc w:val="both"/>
        <w:ind w:firstLineChars="100" w:firstLine="210"/>
      </w:pPr>
      <w:r>
        <w:rPr>
          <w:rFonts w:ascii="Times New Roman" w:hAnsi="Times New Roman" w:eastAsia="ＭＳ 明朝"/>
          <w:b w:val="0"/>
          <w:color w:val="000000"/>
          <w:sz w:val="21"/>
        </w:rPr>
        <w:t>第Ⅰ章の投資仮説――三世代を束ねたポートフォリオは、堀の“現在”だけを測る選定を、効率と下落の小ささで上回る――は、主対照に対して支持された。効率(シャープ)・下落・βのいずれも上回り、四つの相場局面すべてで下落は小さかった。ただし仮説を離れた事実も残る。上がった後の大きさで配分し直した仮想の対照には、リターンで届かない。胸を張れるのは成績の大きさではなく、比べる相手を自分に都合よく作らなかったこと、そして三世代の堀という枠組みを事前規律(後から入れ替えない・事業で証拠を確かめる)で実行したことにある。すべて2026年時点の選定を過去に当てた自己検証であり、将来の約束ではない。</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最後に、この設計の弱点を私たち自身の手で記録しておく――強みだけを並べたレポートは検証に耐えないからである。①テーマの偏り: 値上がり寄与の約58%は生まれる堀(ＡＩ・半導体)に集中し、テーマの重みは約40%(業種の集中度ＨＨＩ＝0.16。0に近いほど分散、1に近いほど一つの業種に集中)。『ＡＩ・半導体バリューチェーンへの意図的な賭け』として隠さず開示する。テーマが崩れる未来では市場に劣りうるため、守・破に予算を置いて緩衝している。②単元未満株の前提: 株価の高い16社は通常の売買単位(100株)では¥500万に収まらず、本配分は単元未満株(金額指定)の取扱いを前提とした目標ウェイトである。③証拠は開示ベース: 現場の実態までは測れず、第Ⅳ章の取材はこの限界を埋めるために設計した。④出発点は生存者のみ: 出発点の3,481社は期間中の上場廃止企業を含まず(生存者バイアス)、成績はその分有利に出うる。⑤対照の作り方に結論が左右される: 対照の配分をいまの会社の大きさに替えると、対照が本ＰＦのリターンを上回る(図表Ⅲ-4)。私たちは未来の情報を入れない作り方を主系列に選んだが、この選択自体が結論を動かすことは開示しておく。</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当時組めた新バフェット型(期首加重)には3年で6つの物差しすべて上回り、グレアム型と市場には有意に超えた。上がった後の大きさで配分した仮想対照にはリターンで届かない――そこまで含めて開示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jc w:val="center"/>
            </w:pPr>
            <w:r>
              <w:rPr>
                <w:rFonts w:ascii="Arial" w:hAnsi="Arial" w:eastAsia="ＭＳ ゴシック"/>
                <w:b/>
                <w:color w:val="FFFFFF"/>
                <w:sz w:val="20"/>
              </w:rPr>
              <w:t>対象(役割)</w:t>
            </w:r>
          </w:p>
        </w:tc>
        <w:tc>
          <w:tcPr>
            <w:tcW w:type="dxa" w:w="6690"/>
            <w:shd w:val="clear" w:color="auto" w:fill="16324F"/>
          </w:tcPr>
          <w:p>
            <w:pPr>
              <w:spacing w:after="0"/>
              <w:ind w:firstLine="0" w:firstLineChars="0"/>
              <w:jc w:val="center"/>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santec(生まれる堀)</w:t>
            </w:r>
          </w:p>
        </w:tc>
        <w:tc>
          <w:tcPr>
            <w:tcW w:type="dxa" w:w="6690"/>
          </w:tcPr>
          <w:p>
            <w:pPr>
              <w:spacing w:after="0"/>
              <w:ind w:firstLine="0" w:firstLineChars="0"/>
              <w:jc w:val="left"/>
            </w:pPr>
            <w:r>
              <w:rPr>
                <w:rFonts w:ascii="Times New Roman" w:hAnsi="Times New Roman" w:eastAsia="ＭＳ 明朝"/>
                <w:b w:val="0"/>
                <w:color w:val="000000"/>
                <w:sz w:val="20"/>
              </w:rPr>
              <w:t>①ＡＩデータセンター向け光通信部品の受注動向と生産能力投資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6590 芝浦メカトロニクス(生まれる堀)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①半導体製造装置の需要見通し　②競合に対する技術優位の源泉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レーザーテック(完成した堀)</w:t>
            </w:r>
          </w:p>
        </w:tc>
        <w:tc>
          <w:tcPr>
            <w:tcW w:type="dxa" w:w="6690"/>
          </w:tcPr>
          <w:p>
            <w:pPr>
              <w:spacing w:after="0"/>
              <w:ind w:firstLine="0" w:firstLineChars="0"/>
              <w:jc w:val="left"/>
            </w:pPr>
            <w:r>
              <w:rPr>
                <w:rFonts w:ascii="Times New Roman" w:hAnsi="Times New Roman" w:eastAsia="ＭＳ 明朝"/>
                <w:b w:val="0"/>
                <w:color w:val="000000"/>
                <w:sz w:val="20"/>
              </w:rPr>
              <w:t>①半導体マスク検査での独占的地位の持続性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3092 ＺＯＺＯ(完成した堀)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①出店ブランドと購買データの両面ネットワークの堀　②海外・新規事業の成長余地</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1662 石油資源開発(変わる堀)</w:t>
            </w:r>
          </w:p>
        </w:tc>
        <w:tc>
          <w:tcPr>
            <w:tcW w:type="dxa" w:w="6690"/>
          </w:tcPr>
          <w:p>
            <w:pPr>
              <w:spacing w:after="0"/>
              <w:ind w:firstLine="0" w:firstLineChars="0"/>
              <w:jc w:val="left"/>
            </w:pPr>
            <w:r>
              <w:rPr>
                <w:rFonts w:ascii="Times New Roman" w:hAnsi="Times New Roman" w:eastAsia="ＭＳ 明朝"/>
                <w:b w:val="0"/>
                <w:color w:val="000000"/>
                <w:sz w:val="20"/>
              </w:rPr>
              <w:t>①資源価格の変動への耐性と株主還元の方針　②ＣＣＳ(ＣＯ２貯留)など変革の進捗</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9503 関西電力(変わる堀)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①原発再稼働と資本効率改革の進捗　②株主還元と設備投資の優先順位</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6861 キーエンス(両立型)</w:t>
            </w:r>
          </w:p>
        </w:tc>
        <w:tc>
          <w:tcPr>
            <w:tcW w:type="dxa" w:w="6690"/>
          </w:tcPr>
          <w:p>
            <w:pPr>
              <w:spacing w:after="0"/>
              <w:ind w:firstLine="0" w:firstLineChars="0"/>
              <w:jc w:val="left"/>
            </w:pPr>
            <w:r>
              <w:rPr>
                <w:rFonts w:ascii="Times New Roman" w:hAnsi="Times New Roman" w:eastAsia="ＭＳ 明朝"/>
                <w:b w:val="0"/>
                <w:color w:val="000000"/>
                <w:sz w:val="20"/>
              </w:rPr>
              <w:t>①高い営業利益率(価格支配力)の持続性　②工場自動化・ＡＩ活用による事業機会</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3449 テクノフレックス(分散役)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①ニッチ配管部材の参入障壁　②財務の安定性と成長計画</w:t>
            </w:r>
          </w:p>
        </w:tc>
      </w:tr>
    </w:tbl>
    <w:p>
      <w:pPr>
        <w:spacing w:before="0" w:after="60" w:line="298" w:lineRule="auto"/>
        <w:ind w:firstLine="0" w:firstLineChars="0"/>
      </w:pP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jc w:val="center"/>
            </w:pPr>
            <w:r>
              <w:rPr>
                <w:rFonts w:ascii="Arial" w:hAnsi="Arial" w:eastAsia="ＭＳ ゴシック"/>
                <w:b/>
                <w:color w:val="FFFFFF"/>
                <w:sz w:val="20"/>
              </w:rPr>
              <w:t>項目</w:t>
            </w:r>
          </w:p>
        </w:tc>
        <w:tc>
          <w:tcPr>
            <w:tcW w:type="dxa" w:w="3742"/>
            <w:shd w:val="clear" w:color="auto" w:fill="16324F"/>
          </w:tcPr>
          <w:p>
            <w:pPr>
              <w:spacing w:after="0"/>
              <w:ind w:firstLine="0" w:firstLineChars="0"/>
              <w:jc w:val="center"/>
            </w:pPr>
            <w:r>
              <w:rPr>
                <w:rFonts w:ascii="Arial" w:hAnsi="Arial" w:eastAsia="ＭＳ ゴシック"/>
                <w:b/>
                <w:color w:val="FFFFFF"/>
                <w:sz w:val="20"/>
              </w:rPr>
              <w:t>取材1(記入)</w:t>
            </w:r>
          </w:p>
        </w:tc>
        <w:tc>
          <w:tcPr>
            <w:tcW w:type="dxa" w:w="3742"/>
            <w:shd w:val="clear" w:color="auto" w:fill="16324F"/>
          </w:tcPr>
          <w:p>
            <w:pPr>
              <w:spacing w:after="0"/>
              <w:ind w:firstLine="0" w:firstLineChars="0"/>
              <w:jc w:val="center"/>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80" w:after="4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60" w:line="281" w:lineRule="auto"/>
        <w:jc w:val="both"/>
        <w:ind w:firstLineChars="100" w:firstLine="210"/>
      </w:pPr>
      <w:r>
        <w:rPr>
          <w:rFonts w:ascii="Times New Roman" w:hAnsi="Times New Roman" w:eastAsia="ＭＳ 明朝"/>
          <w:b w:val="0"/>
          <w:color w:val="000000"/>
          <w:sz w:val="21"/>
        </w:rPr>
        <w:t>本文で引用した文献に加え、選定・検証・データ取得の設計で参照した文献を分野別に記載する。新バフェットの品質基準はBuffett's Alpha(Frazzini, Kabiller and Pedersen 2018)とQuality Minus Junk(Asness, Frazzini and Pedersen 2019)、割安×優良の複合順位はGreenblatt(2006)に依拠する。</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0" w:line="252" w:lineRule="auto"/>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0" w:line="252" w:lineRule="auto"/>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0" w:line="252" w:lineRule="auto"/>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0" w:line="252" w:lineRule="auto"/>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0" w:line="252" w:lineRule="auto"/>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0" w:line="252" w:lineRule="auto"/>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0" w:line="252" w:lineRule="auto"/>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0" w:line="252" w:lineRule="auto"/>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0" w:line="252" w:lineRule="auto"/>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0" w:line="252" w:lineRule="auto"/>
        <w:ind w:left="360" w:hanging="360"/>
      </w:pPr>
      <w:r>
        <w:rPr>
          <w:rFonts w:ascii="Times New Roman" w:hAnsi="Times New Roman" w:eastAsia="ＭＳ 明朝"/>
          <w:b w:val="0"/>
          <w:color w:val="000000"/>
          <w:sz w:val="20"/>
        </w:rPr>
        <w:t>DeMiguel, V., Garlappi, L., &amp; Uppal, R. (2009) Optimal Versus Naive Diversification: How Inefficient is the 1/N Portfolio Strategy? The Review of Financial Studies, 22(5), pp.1915-1953.</w:t>
      </w:r>
    </w:p>
    <w:p>
      <w:pPr>
        <w:spacing w:after="0" w:line="252" w:lineRule="auto"/>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0" w:line="252" w:lineRule="auto"/>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0" w:line="252" w:lineRule="auto"/>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0" w:line="252" w:lineRule="auto"/>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0" w:line="252" w:lineRule="auto"/>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0" w:line="252" w:lineRule="auto"/>
        <w:ind w:left="360" w:hanging="360"/>
      </w:pPr>
      <w:r>
        <w:rPr>
          <w:rFonts w:ascii="Times New Roman" w:hAnsi="Times New Roman" w:eastAsia="ＭＳ 明朝"/>
          <w:b w:val="0"/>
          <w:color w:val="000000"/>
          <w:sz w:val="20"/>
        </w:rPr>
        <w:t>Markowitz, H. (1952) Portfolio Selection. The Journal of Finance, 7(1), pp.77-91.</w:t>
      </w:r>
    </w:p>
    <w:p>
      <w:pPr>
        <w:spacing w:after="0" w:line="252" w:lineRule="auto"/>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0" w:line="252" w:lineRule="auto"/>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0" w:line="252" w:lineRule="auto"/>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0" w:line="252" w:lineRule="auto"/>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0" w:line="252" w:lineRule="auto"/>
        <w:ind w:left="360" w:hanging="360"/>
      </w:pPr>
      <w:r>
        <w:rPr>
          <w:rFonts w:ascii="Times New Roman" w:hAnsi="Times New Roman" w:eastAsia="ＭＳ 明朝"/>
          <w:b w:val="0"/>
          <w:color w:val="000000"/>
          <w:sz w:val="20"/>
        </w:rPr>
        <w:t>Sharpe, W. F. (1966) Mutual Fund Performance. The Journal of Business, 39(1), pp.119-138.</w:t>
      </w:r>
    </w:p>
    <w:p>
      <w:pPr>
        <w:spacing w:after="0" w:line="252" w:lineRule="auto"/>
        <w:ind w:left="360" w:hanging="360"/>
      </w:pPr>
      <w:r>
        <w:rPr>
          <w:rFonts w:ascii="Times New Roman" w:hAnsi="Times New Roman" w:eastAsia="ＭＳ 明朝"/>
          <w:b w:val="0"/>
          <w:color w:val="000000"/>
          <w:sz w:val="20"/>
        </w:rPr>
        <w:t>Sharpe, W. F. (1994) The Sharpe Ratio. The Journal of Portfolio Management, 21(1), pp.49-58.</w:t>
      </w:r>
    </w:p>
    <w:p>
      <w:pPr>
        <w:spacing w:after="0" w:line="252" w:lineRule="auto"/>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英語文献Ⅱ ― 検証・過学習対策・感度分析(壊れにくさ検査の典拠)</w:t>
      </w:r>
    </w:p>
    <w:p>
      <w:pPr>
        <w:spacing w:after="0" w:line="252" w:lineRule="auto"/>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0" w:line="252" w:lineRule="auto"/>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0" w:line="252" w:lineRule="auto"/>
        <w:ind w:left="360" w:hanging="360"/>
      </w:pPr>
      <w:r>
        <w:rPr>
          <w:rFonts w:ascii="Times New Roman" w:hAnsi="Times New Roman" w:eastAsia="ＭＳ 明朝"/>
          <w:b w:val="0"/>
          <w:color w:val="000000"/>
          <w:sz w:val="20"/>
        </w:rPr>
        <w:t>López de Prado, M. (2018) Advances in Financial Machine Learning, John Wiley &amp; Sons.</w:t>
      </w:r>
    </w:p>
    <w:p>
      <w:pPr>
        <w:spacing w:after="0" w:line="252" w:lineRule="auto"/>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0" w:line="252" w:lineRule="auto"/>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0" w:line="252" w:lineRule="auto"/>
        <w:ind w:left="360" w:hanging="360"/>
      </w:pPr>
      <w:r>
        <w:rPr>
          <w:rFonts w:ascii="Times New Roman" w:hAnsi="Times New Roman" w:eastAsia="ＭＳ 明朝"/>
          <w:b w:val="0"/>
          <w:color w:val="000000"/>
          <w:sz w:val="20"/>
        </w:rPr>
        <w:t>White, H. (2000) A Reality Check for Data Snooping. Econometrica, 68(5), pp.1097-1126.</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日本語文献</w:t>
      </w:r>
    </w:p>
    <w:p>
      <w:pPr>
        <w:spacing w:after="0" w:line="252" w:lineRule="auto"/>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0" w:line="252" w:lineRule="auto"/>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0" w:line="252" w:lineRule="auto"/>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80" w:after="4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0" w:line="252" w:lineRule="auto"/>
        <w:ind w:left="360" w:hanging="360"/>
      </w:pPr>
      <w:r>
        <w:rPr>
          <w:rFonts w:ascii="Times New Roman" w:hAnsi="Times New Roman" w:eastAsia="ＭＳ 明朝"/>
          <w:b w:val="0"/>
          <w:color w:val="000000"/>
          <w:sz w:val="20"/>
        </w:rPr>
        <w:t>金融庁「EDINET」，https://disclosure2.edinet-fsa.go.jp/ (2026年7月8日閲覧)</w:t>
      </w:r>
    </w:p>
    <w:p>
      <w:pPr>
        <w:spacing w:after="0" w:line="252" w:lineRule="auto"/>
        <w:ind w:left="360" w:hanging="360"/>
      </w:pPr>
      <w:r>
        <w:rPr>
          <w:rFonts w:ascii="Times New Roman" w:hAnsi="Times New Roman" w:eastAsia="ＭＳ 明朝"/>
          <w:b w:val="0"/>
          <w:color w:val="000000"/>
          <w:sz w:val="20"/>
        </w:rPr>
        <w:t>金融庁 企画市場局 企業開示課(2026)『EDINET API 仕様書(Version 2)』金融庁．</w:t>
      </w:r>
    </w:p>
    <w:p>
      <w:pPr>
        <w:spacing w:after="0" w:line="252" w:lineRule="auto"/>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0" w:line="252" w:lineRule="auto"/>
        <w:ind w:left="360" w:hanging="360"/>
      </w:pPr>
      <w:r>
        <w:rPr>
          <w:rFonts w:ascii="Times New Roman" w:hAnsi="Times New Roman" w:eastAsia="ＭＳ 明朝"/>
          <w:b w:val="0"/>
          <w:color w:val="000000"/>
          <w:sz w:val="20"/>
        </w:rPr>
        <w:t>日本取引所グループ「東証上場銘柄一覧」(データファイル)．</w:t>
      </w:r>
    </w:p>
    <w:p>
      <w:pPr>
        <w:spacing w:after="0" w:line="252" w:lineRule="auto"/>
        <w:ind w:left="360" w:hanging="360"/>
      </w:pPr>
      <w:r>
        <w:rPr>
          <w:rFonts w:ascii="Times New Roman" w:hAnsi="Times New Roman" w:eastAsia="ＭＳ 明朝"/>
          <w:b w:val="0"/>
          <w:color w:val="000000"/>
          <w:sz w:val="20"/>
        </w:rPr>
        <w:t>SciPy Developers, "scipy.optimize.minimize", SciPy Documentation, https://docs.scipy.org/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v10</dc:description>
  <cp:lastModifiedBy/>
  <cp:revision>1</cp:revision>
  <dcterms:created xsi:type="dcterms:W3CDTF">2013-12-23T23:15:00Z</dcterms:created>
  <dcterms:modified xsi:type="dcterms:W3CDTF">2013-12-23T23:15:00Z</dcterms:modified>
  <cp:category/>
</cp:coreProperties>
</file>