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86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Arial" w:hAnsi="Arial" w:eastAsia="ＭＳ ゴシック"/>
          <w:b/>
          <w:color w:val="FFFFFF"/>
          <w:sz w:val="28"/>
        </w:rPr>
        <w:t xml:space="preserve">　基礎学習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日経ＳＴＯＣＫリーグ所定の基礎学習ワークシートに取り組み、当年度の設問への解答を本節に記入する(配布年度により設問が異なるため、本テンプレートでは枠を用意した)。基礎学習はレポート審査の前提条件であり、チーム全員で取り組んだうえで、話し合った内容を自分たちの言葉でまとめる。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・基礎学習の設問と解答(当年度ワークシートを転記)：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書き方のヒント：設問ごとに「設問→チームの解答→話し合いで出た疑問」の順に書くと、学習の跡が伝わる。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投資テーマと関連が深いＳＤＧｓの目標(3つ以内・記入)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340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関連の深いＳＤＧｓの目標</w:t>
            </w:r>
          </w:p>
        </w:tc>
        <w:tc>
          <w:tcPr>
            <w:tcW w:type="dxa" w:w="6236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その主な理由(記入)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9．産業と技術革新の基盤をつくろう</w:t>
            </w:r>
          </w:p>
        </w:tc>
        <w:tc>
          <w:tcPr>
            <w:tcW w:type="dxa" w:w="6236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［記入例の観点：ＡＩ・半導体・光通信など「生まれる堀」への投資が技術革新の基盤形成を支えるため］</w:t>
            </w:r>
          </w:p>
        </w:tc>
      </w:tr>
      <w:tr>
        <w:trPr>
          <w:cantSplit/>
        </w:trPr>
        <w:tc>
          <w:tcPr>
            <w:tcW w:type="dxa" w:w="340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8．働きがいも経済成長も</w:t>
            </w:r>
          </w:p>
        </w:tc>
        <w:tc>
          <w:tcPr>
            <w:tcW w:type="dxa" w:w="6236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［記入例の観点：資本効率改革で「変わる堀」を持つ企業の再評価が日本経済の成長につながるため］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12．つくる責任・つかう責任</w:t>
            </w:r>
          </w:p>
        </w:tc>
        <w:tc>
          <w:tcPr>
            <w:tcW w:type="dxa" w:w="6236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［記入］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r>
        <w:br w:type="page"/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Arial" w:hAnsi="Arial" w:eastAsia="ＭＳ ゴシック"/>
          <w:b/>
          <w:color w:val="FFFFFF"/>
          <w:sz w:val="28"/>
        </w:rPr>
        <w:t xml:space="preserve">　要旨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本レポートでは、これからの日本株投資の姿として「三世代の堀(Three-Generation Moat)」を提示する。堀(Moat)とは、城のまわりの堀のように、他社がまねしにくい持続的な競争優位のことである。私たちは、ウォーレン・バフェットが築いた「完成した堀を割安に買う」という規律を出発点に、堀を時間軸でとらえ直した。いま完成している堀だけでなく、資本効率改革によってこれから「変わる堀」、ＡＩ・半導体・光通信などの構造変化からこれから「生まれる堀」までを、一つのポートフォリオに束ねる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選定は、剣道の修行段階になぞらえた守・破・離の三段階スクリーニングで行った。守では先行研究の式だけで完成した堀を5社に絞り、破では式を変えずに候補を1,200社へ広げ、離では変わる堀・生まれる堀を証拠の強さつきで測って最終20社を組んだ。20社は最初に決めたまま持ち続け、その後の値上がり・値下がりを見て選び直すことはしていない。あとから成績の良い銘柄だけを拾い直せば、どんな選び方でも立派に見えてしまうからだ。その代わりに、この選び方が条件を一つ変えたくらいでは崩れないことを、16通りの検査で確かめた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結論を先に言う。私たちは「超える」を四つの条件で定義した。①バフェットと同じ土俵に立つ、②彼の式では選ばれない15社を同じ厳しさの証拠で選ぶ、③選定が壊れにくい――この三つの設計条件は本文で確かめたとおり達成した。残る一つ、④成績で市場平均を上回ることは、まだ達成とは言えない。選定に使った過去3年間ではＴＯＰＩＸ(市場平均)を年6.7ポイント上回ったが、これは選定に使った期間の後出しの答え合わせにすぎず、直近1年ではＴＯＰＩＸに2.8ポイント負けている。だから判定の物差しを先に約束する――コンテスト期間の成績がＴＯＰＩＸを上回れば「超えた」、下回れば「超えていない」。私たちは、その判定に耐える選び方を本レポートで示す。</w:t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Arial" w:hAnsi="Arial" w:eastAsia="ＭＳ ゴシック"/>
          <w:b/>
          <w:color w:val="FFFFFF"/>
          <w:sz w:val="28"/>
        </w:rPr>
        <w:t xml:space="preserve">　目次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基礎学習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････････････････････････････････････････････　2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要旨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････････････････････････････････････････････････　3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Ⅰ．背景・投資テーマ決定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････････････････････････････　4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Ⅱ．スクリーニング ― 守・破・離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　8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Ⅲ．ポートフォリオの決定・銘柄紹介・パフォーマンス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　16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Ⅳ．インタビュー・アンケート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････････････････････････　23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Ⅴ．日経ＳＴＯＣＫリーグを通じて学んだこと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　23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参考文献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････････････････････････････････････････････　24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1"/>
        </w:rPr>
        <w:t>用語の手引き</w:t>
      </w:r>
      <w:r>
        <w:rPr>
          <w:rFonts w:ascii="Times New Roman" w:hAnsi="Times New Roman" w:eastAsia="ＭＳ 明朝"/>
          <w:b w:val="0"/>
          <w:color w:val="000000"/>
          <w:sz w:val="21"/>
        </w:rPr>
        <w:t xml:space="preserve">　････････････････････････････････････････　26</w:t>
      </w:r>
    </w:p>
    <w:p>
      <w:r>
        <w:br w:type="page"/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Arial" w:hAnsi="Arial" w:eastAsia="ＭＳ ゴシック"/>
          <w:b/>
          <w:color w:val="FFFFFF"/>
          <w:sz w:val="28"/>
        </w:rPr>
        <w:t xml:space="preserve">　Ⅰ．背景・投資テーマ決定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Arial" w:hAnsi="Arial" w:eastAsia="ＭＳ ゴシック"/>
          <w:b/>
          <w:color w:val="16324F"/>
          <w:sz w:val="24"/>
        </w:rPr>
        <w:t xml:space="preserve">　1．イントロダクション ― 百年企業の中に、未来の堀が眠っていた</w:t>
      </w:r>
    </w:p>
    <w:p>
      <w:pPr>
        <w:spacing w:before="100" w:after="40" w:line="336" w:lineRule="auto"/>
        <w:ind w:firstLine="0" w:firstLineChars="0"/>
        <w:ind w:left="480" w:right="480"/>
      </w:pPr>
      <w:r>
        <w:rPr>
          <w:rFonts w:ascii="Times New Roman" w:hAnsi="Times New Roman" w:eastAsia="ＭＳ 明朝"/>
          <w:b/>
          <w:i/>
          <w:color w:val="16324F"/>
          <w:sz w:val="22"/>
        </w:rPr>
        <w:t>「素晴らしい会社をまずまずの価格で買うほうが、まずまずの会社を素晴らしい価格で買うよりずっと良い。」</w:t>
      </w:r>
    </w:p>
    <w:p>
      <w:pPr>
        <w:spacing w:before="0" w:after="120" w:line="298" w:lineRule="auto"/>
        <w:jc w:val="right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――　ウォーレン・バフェット(1989年 株主への手紙)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バフェットは、企業を城に、競争優位を城を守る堀(Moat)にたとえた。深い堀を持つ会社を、高すぎない価格で買い、長く持つ。この単純な規律が、半世紀を超える成果を生んだ。私たちの研究は、この規律への挑戦ではなく、その延長である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きっかけは、一つの会社だった。フジクラ(5803)――1885年創業の電線メーカーである。長らく「成熟産業の老舗」と見られてきたこの会社は、いま、生成ＡＩのデータセンターを支える光配線の担い手として再評価されている。百年かけて磨いた細くて高密度な配線の技術が、ＡＩという新しい産業の「そこが詰まると全体が止まる急所」を握ったのだ。完成したはずの堀の内側で、新しい堀が生まれていた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同じ頃、東京証券取引所は上場企業に「資本コストや株価を意識した経営」を求め、長く割安に放置された企業が、資本効率の改善と株主還元の強化によって変わり始めた。堀は止まった絵ではない。変わる堀があり、生まれる堀がある。ならば、いまの堀だけを測るバフェットの物差しを、時間の方向へ延長できないか。これが私たちの問いである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Arial" w:hAnsi="Arial" w:eastAsia="ＭＳ ゴシック"/>
          <w:b/>
          <w:color w:val="16324F"/>
          <w:sz w:val="24"/>
        </w:rPr>
        <w:t xml:space="preserve">　2．バフェットの規律 ― 何がすごいのかを分解する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「超える」と言う前に、まず相手を正しく知る。バフェットの投資は、大きく四つの部品でできている。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・堀(持続する競争優位)　</w:t>
      </w:r>
      <w:r>
        <w:rPr>
          <w:rFonts w:ascii="Times New Roman" w:hAnsi="Times New Roman" w:eastAsia="ＭＳ 明朝"/>
          <w:b w:val="0"/>
          <w:color w:val="000000"/>
          <w:sz w:val="20"/>
        </w:rPr>
        <w:t>まねされにくい強み。ブランドの力(例:コカ・コーラ)、乗り換えの手間、利用者が増えるほど価値が増す仕組み、圧倒的なコストの安さ、特許や免許。バフェット(2007)は「永続的な堀」を持つ企業だけを買うと明言する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・安全域(高すぎない価格)　</w:t>
      </w:r>
      <w:r>
        <w:rPr>
          <w:rFonts w:ascii="Times New Roman" w:hAnsi="Times New Roman" w:eastAsia="ＭＳ 明朝"/>
          <w:b w:val="0"/>
          <w:color w:val="000000"/>
          <w:sz w:val="20"/>
        </w:rPr>
        <w:t>どんな良い会社も、高く買いすぎれば損をする。会社の価値より安い価格で買い、見立て違いに備える。冒頭の1989年の言葉は、価格より会社の質を優先するという順序も示している。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・能力の輪(分かるものだけ買う)　</w:t>
      </w:r>
      <w:r>
        <w:rPr>
          <w:rFonts w:ascii="Times New Roman" w:hAnsi="Times New Roman" w:eastAsia="ＭＳ 明朝"/>
          <w:b w:val="0"/>
          <w:color w:val="000000"/>
          <w:sz w:val="20"/>
        </w:rPr>
        <w:t>自分が理解できる事業だけを対象にする。理解できない熱狂には乗らない。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・長期保有(複利で増やす)　</w:t>
      </w:r>
      <w:r>
        <w:rPr>
          <w:rFonts w:ascii="Times New Roman" w:hAnsi="Times New Roman" w:eastAsia="ＭＳ 明朝"/>
          <w:b w:val="0"/>
          <w:color w:val="000000"/>
          <w:sz w:val="20"/>
        </w:rPr>
        <w:t>「私たちの好みの保有期間は永遠である」(バフェット、1988)。頻繁な売買をせず、堀が守る利益の再投資で雪だるま式に増やす。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この規律は、感覚ではなく式で確かめられる。Frazzini, Kabiller and Pedersen (2018)は、バフェットの半世紀の超過成績が「割安×優良×値動きの穏やかさ」という測定可能な要素でほぼ説明できることを示した。つまり、彼の物差しは先行研究の式で再現できる――これが第Ⅱ章「守」の土台である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同時に、この分解は彼の物差しの死角も教えてくれる。割安・優良・穏やかさは、どれも「いま完成している堀」を測る物差しであり、これから変わる堀・生まれる堀は原理的に映らない。私たちが加える視点は三つ――①時間軸(堀の一生を見る)、②証拠主義(言葉ではなく数字の裏づけで測る)、③分散(どれか一つの未来に賭けない)。この三つを、彼と同じ規律の厳しさで実行することが、本レポートの挑戦である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Arial" w:hAnsi="Arial" w:eastAsia="ＭＳ ゴシック"/>
          <w:b/>
          <w:color w:val="16324F"/>
          <w:sz w:val="24"/>
        </w:rPr>
        <w:t xml:space="preserve">　3．背景 ― 二つの地殻変動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第一の地殻変動は資本効率改革である。東京証券取引所(2023)の要請は、伊藤レポート(経済産業省、2014)以来の資本収益性重視の流れを決定づけ、ＰＢＲ(株価純資産倍率。株価が会社の純資産の何倍かを示す)1倍割れ企業の経営改革を促した。割安に放置された企業の中から、本当に変われる企業を見分けられれば、それは「変わる堀」への投資になる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第二の地殻変動はＡＩを起点とする産業構造の転換である。生成ＡＩは、半導体・光通信・データセンター・電力・品質保証といった基盤産業に、実際の需要という追い風を与えている。ただし「ＡＩ」と口にする企業がすべて堀を持つわけではない。私たちの調査では、開示資料でＡＩに言及しながら具体的な製品・顧客・数量の裏づけを欠く企業が577社に上った。言葉と堀を見分ける仕組みが要る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Arial" w:hAnsi="Arial" w:eastAsia="ＭＳ ゴシック"/>
          <w:b/>
          <w:color w:val="16324F"/>
          <w:sz w:val="24"/>
        </w:rPr>
        <w:t xml:space="preserve">　4．三世代の堀 ― 私たちが求める企業像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以上から、私たちは投資対象を三つの世代で定義する。第一に、すでに完成した堀(バフェットの規律で測れる企業)。第二に、資本効率改革で変わる堀(割安×改善の証拠を持つ企業)。第三に、構造変化から生まれる堀(ＡＩ基盤への実需接続を証拠で示せる企業)。この三世代を一つのポートフォリオに束ね、どれか一つの未来に賭けない。これが「三世代の堀」である。</w:t>
      </w:r>
    </w:p>
    <w:p>
      <w:pPr>
        <w:keepNext/>
        <w:spacing w:before="100" w:after="40" w:line="298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1"/>
        </w:rPr>
        <w:t>図表Ⅰ-1　三世代の堀 ― 完成・変化・新生を一つに束ねる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001768" cy="2505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2505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注：上段は三世代の名前、下段は中身。両立型・分散役を加えた合計20社で構成する。筆者作成。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Arial" w:hAnsi="Arial" w:eastAsia="ＭＳ ゴシック"/>
          <w:b/>
          <w:color w:val="16324F"/>
          <w:sz w:val="24"/>
        </w:rPr>
        <w:t xml:space="preserve">　5．何をもって「バフェットを超える」とするか ― 四つの条件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「超える」を気分で語らないために、確かめられる四つの条件で先に定義しておく。本レポートの残りは、この定義の検証である。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92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5783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92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どこで確かめるか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 同じ土俵に立つ</w:t>
            </w:r>
          </w:p>
        </w:tc>
        <w:tc>
          <w:tcPr>
            <w:tcW w:type="dxa" w:w="5783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バフェットの選び方を先行研究の式だけで再現し、その方法が選ぶ5社を実際に持つ。比較相手を自分のポートフォリオの中に持ち歩く</w:t>
            </w:r>
          </w:p>
        </w:tc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第Ⅱ章「守」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② 死角を補う</w:t>
            </w:r>
          </w:p>
        </w:tc>
        <w:tc>
          <w:tcPr>
            <w:tcW w:type="dxa" w:w="5783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バフェットの式では選ばれない15社を、同じ厳しさの証拠で選ぶ。彼の物差しが見ない未来を、彼と同じ規律で測る</w:t>
            </w:r>
          </w:p>
        </w:tc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第Ⅱ章「離」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③ 壊れにくい</w:t>
            </w:r>
          </w:p>
        </w:tc>
        <w:tc>
          <w:tcPr>
            <w:tcW w:type="dxa" w:w="5783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選定が一つの仕掛け・一つのテーマに依存しない。条件を一つずつ変えた16通りの選び直しで確かめる</w:t>
            </w:r>
          </w:p>
        </w:tc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第Ⅱ章末の検査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④ 成績で上回る</w:t>
            </w:r>
          </w:p>
        </w:tc>
        <w:tc>
          <w:tcPr>
            <w:tcW w:type="dxa" w:w="5783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提出後のコンテスト期間でＴＯＰＩＸを上回る。提出時点では判定できないため、判定の物差しと時期を先に約束する</w:t>
            </w:r>
          </w:p>
        </w:tc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第Ⅲ章の結論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図表Ⅰ-2　「超える」の定義 ― 四つの条件と検証の場所。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大切なのは順序である。守破離という手順は、この定義より先にあるのではない。①〜③を後から誰でも検証できる形にするための手段として、独自色を最後に置く守破離を選んだ。独自の物差しを最後に導入するからこそ、「どこからが私たちの主張か」をいつでも遡って示せる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Arial" w:hAnsi="Arial" w:eastAsia="ＭＳ ゴシック"/>
          <w:b/>
          <w:color w:val="16324F"/>
          <w:sz w:val="24"/>
        </w:rPr>
        <w:t xml:space="preserve">　6．検証の順番 ― 守・破・離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守では先行研究の式を一切変えずに使い(条件①の検証)、破では式を変えずに使い方だけを調整して候補を広げ、離で初めて独自の物差しを導入する(条件②の検証)。最後に、出来上がった選定を16通りの検査にかける(条件③の検証)。条件④は提出後にしか判定できないので、第Ⅲ章で判定の枠組みだけを先に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907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段階</w:t>
            </w:r>
          </w:p>
        </w:tc>
        <w:tc>
          <w:tcPr>
            <w:tcW w:type="dxa" w:w="408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やること</w:t>
            </w:r>
          </w:p>
        </w:tc>
        <w:tc>
          <w:tcPr>
            <w:tcW w:type="dxa" w:w="3175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どこまでが借り物か</w:t>
            </w:r>
          </w:p>
        </w:tc>
        <w:tc>
          <w:tcPr>
            <w:tcW w:type="dxa" w:w="147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検証する条件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</w:t>
            </w:r>
          </w:p>
        </w:tc>
        <w:tc>
          <w:tcPr>
            <w:tcW w:type="dxa" w:w="408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先行研究の式だけで完成した堀5社を選ぶ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式も使い方も、すべて先行研究のまま</w:t>
            </w:r>
          </w:p>
        </w:tc>
        <w:tc>
          <w:tcPr>
            <w:tcW w:type="dxa" w:w="147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条件①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破</w:t>
            </w:r>
          </w:p>
        </w:tc>
        <w:tc>
          <w:tcPr>
            <w:tcW w:type="dxa" w:w="408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式を変えずに使い方だけ調整し、候補を1,200社へ広げる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式は借り物。使い方は私たちの判断(過程を開示)</w:t>
            </w:r>
          </w:p>
        </w:tc>
        <w:tc>
          <w:tcPr>
            <w:tcW w:type="dxa" w:w="147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(離の準備)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離</w:t>
            </w:r>
          </w:p>
        </w:tc>
        <w:tc>
          <w:tcPr>
            <w:tcW w:type="dxa" w:w="408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変わる堀・生まれる堀を独自の物差しで測り、20社を組む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部品は借り物。組み方が私たちの独自性</w:t>
            </w:r>
          </w:p>
        </w:tc>
        <w:tc>
          <w:tcPr>
            <w:tcW w:type="dxa" w:w="147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条件②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図表Ⅰ-3　守・破・離の分担 ― 独自性を最後に置く。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なお、本文の数字はすべて、選定の過程で保存した記録(段階ごとの通過社数・除外862社の理由・16通りの検査結果)から機械的に転記している。手作業の書き写しによる食い違いをなくすため、本レポート自体を記録データから自動生成する仕組みで作成した。どの数字も、出どころのデータまでいつでも遡って確かめられる。</w:t>
      </w:r>
    </w:p>
    <w:p>
      <w:pPr>
        <w:spacing w:before="80" w:after="120" w:line="298" w:lineRule="auto"/>
        <w:ind w:firstLine="0" w:firstLineChars="0"/>
        <w:shd w:val="clear" w:color="auto" w:fill="F2F6F4"/>
      </w:pPr>
      <w:r>
        <w:rPr>
          <w:rFonts w:ascii="Arial" w:hAnsi="Arial" w:eastAsia="ＭＳ ゴシック"/>
          <w:b/>
          <w:color w:val="2F6D5F"/>
          <w:sz w:val="20"/>
        </w:rPr>
        <w:t xml:space="preserve">　この章の要点　</w:t>
      </w:r>
      <w:r>
        <w:rPr>
          <w:rFonts w:ascii="Times New Roman" w:hAnsi="Times New Roman" w:eastAsia="ＭＳ 明朝"/>
          <w:b w:val="0"/>
          <w:color w:val="000000"/>
          <w:sz w:val="20"/>
        </w:rPr>
        <w:t>「超える」を四つの条件で定義した。守破離は目的ではなく、この定義を検証可能にするための手段である。</w:t>
      </w:r>
    </w:p>
    <w:p>
      <w:r>
        <w:br w:type="page"/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Arial" w:hAnsi="Arial" w:eastAsia="ＭＳ ゴシック"/>
          <w:b/>
          <w:color w:val="FFFFFF"/>
          <w:sz w:val="28"/>
        </w:rPr>
        <w:t xml:space="preserve">　Ⅱ．スクリーニング ― 守・破・離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本章が選定の中核である。3,099社の非金融普通株から、三段階のスクリーニングで最終20社を選ぶ。各段階では、何を見たか(観点)、何で測ったか(データと式)、どこで区切ったか(合格ライン)、何社が残ったか(結果)を必ず示す。</w:t>
      </w:r>
    </w:p>
    <w:p>
      <w:pPr>
        <w:keepNext/>
        <w:spacing w:before="140" w:after="40" w:line="298" w:lineRule="auto"/>
        <w:ind w:firstLine="0" w:firstLineChars="0"/>
      </w:pPr>
      <w:r>
        <w:rPr>
          <w:rFonts w:ascii="Arial" w:hAnsi="Arial" w:eastAsia="ＭＳ ゴシック"/>
          <w:b/>
          <w:color w:val="FFFFFF"/>
          <w:sz w:val="21"/>
          <w:shd w:val="clear" w:color="auto" w:fill="16324F"/>
        </w:rPr>
        <w:t xml:space="preserve">  第1スクリーニング  </w:t>
      </w:r>
      <w:r>
        <w:rPr>
          <w:rFonts w:ascii="Arial" w:hAnsi="Arial" w:eastAsia="ＭＳ ゴシック"/>
          <w:b/>
          <w:color w:val="16324F"/>
          <w:sz w:val="23"/>
        </w:rPr>
        <w:t xml:space="preserve">　守 ― バフェットの規律を式だけで再現する(→完成した堀5社)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守では、バフェットの規律「良い会社を、高すぎない価格で買い、長期保有に耐えない企業を避ける」を、先行研究の式だけで再現する。独自の重み付けは使わず、七つの関門を一つずつ通す。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181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294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使うデータ・式</w:t>
            </w:r>
          </w:p>
        </w:tc>
        <w:tc>
          <w:tcPr>
            <w:tcW w:type="dxa" w:w="215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合格ライン</w:t>
            </w:r>
          </w:p>
        </w:tc>
        <w:tc>
          <w:tcPr>
            <w:tcW w:type="dxa" w:w="272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残った社数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割安か(純資産)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Ｂ／Ｍ＝純資産÷時価総額(式1)</w:t>
            </w:r>
          </w:p>
        </w:tc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市場の上位30％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3,099→2,740社(算出可能)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割安か(利益)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Ｅ／Ｐ＝純利益÷時価総額</w:t>
            </w:r>
          </w:p>
        </w:tc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黒字かつ上位50％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→583社(割安の関門通過)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収益力は本物か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粗利÷総資産(式2)</w:t>
            </w:r>
          </w:p>
        </w:tc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市場の中央値以上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(同じ583社に含む)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財務は健全か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8項目チェックの合格割合</w:t>
            </w:r>
          </w:p>
        </w:tc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0.65以上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→146社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利益は本物か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帳簿の利益と現金の差</w:t>
            </w:r>
          </w:p>
        </w:tc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差が大きい側を除外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→112社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危険はないか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債務超過・3期連続赤字</w:t>
            </w:r>
          </w:p>
        </w:tc>
        <w:tc>
          <w:tcPr>
            <w:tcW w:type="dxa" w:w="215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該当ゼロ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→90社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実際に買えるか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60日平均の売買代金</w:t>
            </w:r>
          </w:p>
        </w:tc>
        <w:tc>
          <w:tcPr>
            <w:tcW w:type="dxa" w:w="215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1日約1,000万円以上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→77社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図表Ⅱ-1　守の七関門(判定基準)。出所：第1段階の正典データ。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七つの関門には、それぞれ理由がある。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・割安(2関門)　</w:t>
      </w:r>
      <w:r>
        <w:rPr>
          <w:rFonts w:ascii="Times New Roman" w:hAnsi="Times New Roman" w:eastAsia="ＭＳ 明朝"/>
          <w:b w:val="0"/>
          <w:color w:val="000000"/>
          <w:sz w:val="20"/>
        </w:rPr>
        <w:t>会社の持ち物(純資産)と稼ぐ力(利益)の両面から「高すぎないか」を測る。安く買うことは、見立て違いへの保険になる(Fama and French, 1993；Basu, 1977)。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・収益力　</w:t>
      </w:r>
      <w:r>
        <w:rPr>
          <w:rFonts w:ascii="Times New Roman" w:hAnsi="Times New Roman" w:eastAsia="ＭＳ 明朝"/>
          <w:b w:val="0"/>
          <w:color w:val="000000"/>
          <w:sz w:val="20"/>
        </w:rPr>
        <w:t>売上から原価を引いた粗利を総資産で割る。粗利は会計操作の余地が小さく、「資産を利益に変える力」を素直に映す(Novy-Marx, 2013)。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・財務の健全さ　</w:t>
      </w:r>
      <w:r>
        <w:rPr>
          <w:rFonts w:ascii="Times New Roman" w:hAnsi="Times New Roman" w:eastAsia="ＭＳ 明朝"/>
          <w:b w:val="0"/>
          <w:color w:val="000000"/>
          <w:sz w:val="20"/>
        </w:rPr>
        <w:t>利益・現金収入・借金・効率など8項目の改善を1点ずつ数える方法(Piotroski, 2000)。合格割合65％以上だけを通す。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・利益の質　</w:t>
      </w:r>
      <w:r>
        <w:rPr>
          <w:rFonts w:ascii="Times New Roman" w:hAnsi="Times New Roman" w:eastAsia="ＭＳ 明朝"/>
          <w:b w:val="0"/>
          <w:color w:val="000000"/>
          <w:sz w:val="20"/>
        </w:rPr>
        <w:t>帳簿の利益と実際の現金収入の差が大きい会社は、後で利益が失速しやすい(Sloan, 1996)。差が大きい側を除外する。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・危険よけ　</w:t>
      </w:r>
      <w:r>
        <w:rPr>
          <w:rFonts w:ascii="Times New Roman" w:hAnsi="Times New Roman" w:eastAsia="ＭＳ 明朝"/>
          <w:b w:val="0"/>
          <w:color w:val="000000"/>
          <w:sz w:val="20"/>
        </w:rPr>
        <w:t>借金が資産を上回る(債務超過)、3期連続赤字――長期保有に耐えない企業を機械的に外す。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・買いやすさ　</w:t>
      </w:r>
      <w:r>
        <w:rPr>
          <w:rFonts w:ascii="Times New Roman" w:hAnsi="Times New Roman" w:eastAsia="ＭＳ 明朝"/>
          <w:b w:val="0"/>
          <w:color w:val="000000"/>
          <w:sz w:val="20"/>
        </w:rPr>
        <w:t>売買が少ない株は、買うだけで値段が動いてしまう。1日約1,000万円以上の売買がある株に限る。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1"/>
              </w:rPr>
              <w:t xml:space="preserve">　式（1）Ｂ／Ｍ ― 純資産に対して安いか(Fama and French, 1993)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B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rPr>
                            <m:sty m:val="p"/>
                          </m:rPr>
                          <m:t>M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ＢＥ＝自己資本(純資産)　ＭＥ＝時価総額(株価×株式数)。大きいほど、会社の持ち物のわりに株価が安い。</w:t>
            </w:r>
          </w:p>
        </w:tc>
      </w:tr>
    </w:tbl>
    <w:p>
      <w:pPr>
        <w:spacing w:before="0" w:after="60" w:line="298" w:lineRule="auto"/>
        <w:ind w:firstLine="0" w:firstLineChars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1"/>
              </w:rPr>
              <w:t xml:space="preserve">　式（2）収益力 ― 資産を粗利に変える力(Novy-Marx, 2013)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G</m:t>
                    </m:r>
                    <m:r>
                      <m:rPr>
                        <m:sty m:val="p"/>
                      </m:rPr>
                      <m:t>P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v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u</m:t>
                        </m:r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G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b>
                      <m:e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l</m:t>
                        </m:r>
                        <m:r>
                          <m:rPr>
                            <m:sty m:val="p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s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rPr>
                            <m:sty m:val="p"/>
                          </m:rPr>
                          <m:t>t</m:t>
                        </m:r>
                        <m:r>
                          <m:rPr>
                            <m:sty m:val="p"/>
                          </m:rP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Revenue＝売上高　COGS＝売上原価　TotalAssets＝総資産。大きいほど資産効率の高い優良企業。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式が実際にどう働くかを、通過企業の一社・学研ホールディングス(9470)で追ってみる。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26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関門</w:t>
            </w:r>
          </w:p>
        </w:tc>
        <w:tc>
          <w:tcPr>
            <w:tcW w:type="dxa" w:w="260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学研ＨＤの値</w:t>
            </w:r>
          </w:p>
        </w:tc>
        <w:tc>
          <w:tcPr>
            <w:tcW w:type="dxa" w:w="249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合格ライン</w:t>
            </w:r>
          </w:p>
        </w:tc>
        <w:tc>
          <w:tcPr>
            <w:tcW w:type="dxa" w:w="113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Ｂ／Ｍ(式1)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1.526</w:t>
            </w:r>
          </w:p>
        </w:tc>
        <w:tc>
          <w:tcPr>
            <w:tcW w:type="dxa" w:w="24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市場の上位30％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Ｅ／Ｐ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0.121(黒字)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黒字かつ上位50％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粗利÷総資産(式2)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0.395</w:t>
            </w:r>
          </w:p>
        </w:tc>
        <w:tc>
          <w:tcPr>
            <w:tcW w:type="dxa" w:w="24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中央値以上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8項目チェック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合格割合 100%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0.65以上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利益と現金の差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-0.023</w:t>
            </w:r>
          </w:p>
        </w:tc>
        <w:tc>
          <w:tcPr>
            <w:tcW w:type="dxa" w:w="24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差が大きい側でない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危険よけ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債務超過・連続赤字なし</w:t>
            </w:r>
          </w:p>
        </w:tc>
        <w:tc>
          <w:tcPr>
            <w:tcW w:type="dxa" w:w="24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該当ゼロ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売買のしやすさ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1日平均 1.22億円</w:t>
            </w:r>
          </w:p>
        </w:tc>
        <w:tc>
          <w:tcPr>
            <w:tcW w:type="dxa" w:w="24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約0.1億円以上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通過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図表Ⅱ-2　通し数値例：学研ホールディングス(9470)の七関門。出所：選定の正典データより筆者作成。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通過77社から、収益力→利益÷時価総額→純資産÷時価総額→8項目→利益の質→買いやすさ→会社の大きさの固定順で上位5社を選び、完成した堀(基準線)として固定した(同一業種は原則2社まで)。選ばれたのは、3539 ＪＭホールディングス(小売業)、4350 メディカルシステムネットワーク(小売業)、6430 ダイコク電機(機械)、7803 ブシロード(その他製品)、9470 学研ホールディングス(情報・通信業)の5社である。以降、この5社は一度も入れ替えない。</w:t>
      </w:r>
    </w:p>
    <w:p>
      <w:pPr>
        <w:keepNext/>
        <w:spacing w:before="100" w:after="40" w:line="298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1"/>
        </w:rPr>
        <w:t>図表Ⅱ-3　守の絞り込み ― 3,099社から完成した堀Top5へ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001768" cy="29992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h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1768" cy="299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注：棒の幅と色の濃さが残った会社の数を表す。出所：第1段階の正典データより筆者作成。</w:t>
      </w:r>
    </w:p>
    <w:p>
      <w:pPr>
        <w:keepNext/>
        <w:spacing w:before="140" w:after="40" w:line="298" w:lineRule="auto"/>
        <w:ind w:firstLine="0" w:firstLineChars="0"/>
      </w:pPr>
      <w:r>
        <w:rPr>
          <w:rFonts w:ascii="Arial" w:hAnsi="Arial" w:eastAsia="ＭＳ ゴシック"/>
          <w:b/>
          <w:color w:val="FFFFFF"/>
          <w:sz w:val="21"/>
          <w:shd w:val="clear" w:color="auto" w:fill="16324F"/>
        </w:rPr>
        <w:t xml:space="preserve">  第2スクリーニング  </w:t>
      </w:r>
      <w:r>
        <w:rPr>
          <w:rFonts w:ascii="Arial" w:hAnsi="Arial" w:eastAsia="ＭＳ ゴシック"/>
          <w:b/>
          <w:color w:val="16324F"/>
          <w:sz w:val="23"/>
        </w:rPr>
        <w:t xml:space="preserve">　破 ― 式を変えずに候補を1,200社へ広げる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守は規律が強い分、通過がわずか77社になる。これでは「変わる堀」「生まれる堀」の候補を評価する余地がない。破では、守の式の定義を一切変えず、合格ラインの引き方・候補の数という「使い方」だけを調整して、次の段階で詳しく調べる候補リストを1,200社へ広げ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70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4989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94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順位化</w:t>
            </w:r>
          </w:p>
        </w:tc>
        <w:tc>
          <w:tcPr>
            <w:tcW w:type="dxa" w:w="498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各指標の値を、市場の中での順位(0〜1の点数)に並べ直す。式の定義は変えない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単位の違う指標同士を公平に比べられる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頑健さの監査</w:t>
            </w:r>
          </w:p>
        </w:tc>
        <w:tc>
          <w:tcPr>
            <w:tcW w:type="dxa" w:w="498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点数の付け方を4通りに変えても、上位の顔ぶれが入れ替わらないかを確認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どの付け方でも残る中核970社・広めに見て1,135社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候補数の決定</w:t>
            </w:r>
          </w:p>
        </w:tc>
        <w:tc>
          <w:tcPr>
            <w:tcW w:type="dxa" w:w="498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広さ・質・安全・買いやすさ・人の目で確認できる規模を比較</w:t>
            </w:r>
          </w:p>
        </w:tc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Top1200を正式採用(Top2000は参照用)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守との整合</w:t>
            </w:r>
          </w:p>
        </w:tc>
        <w:tc>
          <w:tcPr>
            <w:tcW w:type="dxa" w:w="498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守の5社が候補リストに含まれるか</w:t>
            </w:r>
          </w:p>
        </w:tc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5社すべてTop1200に含まれる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図表Ⅱ-4　破のやり方 ― 式は変えず、使い方だけを調整する。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なぜ1,200社なのか。候補を広げるほど取りこぼしは減るが、一社ずつ人の目で確認できる規模には限りがある。1,200という数は、数式が出した唯一の正解ではなく、広さと確認可能な規模を両立させる運営上の判断であり、その判断の過程ごと開示した。図表Ⅱ-5の入れ子は、この判断を絵にしたものである。最適化後の点数で全社を並べ、上から100社・300社・1,200社・2,000社で区切る。正式に使うのはTop1200だけで、Top100とTop300は「もし候補を狭くしていたら選定はどう変わったか」を後で検査する(第Ⅱ章末・検査A8とA9)ための目印である。</w:t>
      </w:r>
    </w:p>
    <w:p>
      <w:pPr>
        <w:keepNext/>
        <w:spacing w:before="100" w:after="40" w:line="298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1"/>
        </w:rPr>
        <w:t>図表Ⅱ-5　破 ― 候補リストの形成(Top1200を正式採用)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065775" cy="32095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5775" cy="3209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注：破の点数は候補選びの道具であり、最終選定には使わない。筆者作成。</w:t>
      </w:r>
    </w:p>
    <w:p>
      <w:pPr>
        <w:keepNext/>
        <w:spacing w:before="140" w:after="40" w:line="298" w:lineRule="auto"/>
        <w:ind w:firstLine="0" w:firstLineChars="0"/>
      </w:pPr>
      <w:r>
        <w:rPr>
          <w:rFonts w:ascii="Arial" w:hAnsi="Arial" w:eastAsia="ＭＳ ゴシック"/>
          <w:b/>
          <w:color w:val="FFFFFF"/>
          <w:sz w:val="21"/>
          <w:shd w:val="clear" w:color="auto" w:fill="16324F"/>
        </w:rPr>
        <w:t xml:space="preserve">  第3スクリーニング  </w:t>
      </w:r>
      <w:r>
        <w:rPr>
          <w:rFonts w:ascii="Arial" w:hAnsi="Arial" w:eastAsia="ＭＳ ゴシック"/>
          <w:b/>
          <w:color w:val="16324F"/>
          <w:sz w:val="23"/>
        </w:rPr>
        <w:t xml:space="preserve">　離 ― 変わる堀・生まれる堀を測り、20社を組む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離で初めて、私たち独自の物差しを導入する。ただし新しい式を発明したのではない。守で使った先行研究の部品(割安・改善・利益の質)を、時間の方向へ組み替えた。変わる堀は式(3)、生まれる堀は式(4)で測り、点数の根拠の強さは式(5)の「証拠の強さ」として点数と分けて管理す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1"/>
              </w:rPr>
              <w:t xml:space="preserve">　式（3）変わる堀の点数(選定に使用)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0.22</m:t>
                </m:r>
                <m:r>
                  <m:t> </m:t>
                </m:r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0.24</m:t>
                </m:r>
                <m:r>
                  <m:t> 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0.10</m:t>
                </m:r>
                <m:r>
                  <m:t> </m:t>
                </m:r>
                <m:sSub>
                  <m:e>
                    <m:r>
                      <m:t>F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0.18</m:t>
                </m:r>
                <m:r>
                  <m:t> 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0.16</m:t>
                </m:r>
                <m:r>
                  <m:t> </m:t>
                </m:r>
                <m:sSub>
                  <m:e>
                    <m:r>
                      <m:t>Q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0.10</m:t>
                </m:r>
                <m:r>
                  <m:t> </m:t>
                </m:r>
                <m:sSub>
                  <m:e>
                    <m:r>
                      <m:rPr>
                        <m:sty m:val="p"/>
                      </m:rPr>
                      <m:t>Φ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Sup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T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p</m:t>
                    </m:r>
                  </m:sup>
                </m:sSubSup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Ｖ＝割安さ　Ｃ＝資本効率の改善　Ｆ＝還元の余力(本業の現金収入−設備投資)　Ｘ＝実行の信頼性　Ｑ＝利益の質　Φ＝データの信頼度　Ｐ＝割安のワナ減点。安い株を集める式ではない：割安でも改善の証拠を欠く15社を除外した。</w:t>
            </w:r>
          </w:p>
        </w:tc>
      </w:tr>
    </w:tbl>
    <w:p>
      <w:pPr>
        <w:spacing w:before="0" w:after="60" w:line="298" w:lineRule="auto"/>
        <w:ind w:firstLine="0" w:firstLineChars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1"/>
              </w:rPr>
              <w:t xml:space="preserve">　式（4）生まれる堀の点数(選定に使用)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g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100</m:t>
                </m:r>
                <m:r>
                  <m:t> 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  <m:sSub>
                  <m:e>
                    <m:r>
                      <m:t>I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N</m:t>
                    </m:r>
                  </m:sub>
                </m:sSub>
                <m:sSub>
                  <m:e>
                    <m:r>
                      <m:t>N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B</m:t>
                    </m:r>
                  </m:sub>
                </m:sSub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A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D</m:t>
                    </m:r>
                  </m:sub>
                </m:sSub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w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v</m:t>
                    </m:r>
                    <m:r>
                      <m:rPr>
                        <m:sty m:val="p"/>
                      </m:rPr>
                      <m:t>i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P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y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e</m:t>
                    </m:r>
                  </m:sup>
                </m:sSubSup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Ｉ＝無形資産　Ｎ＝技術力　Ｂ＝急所を握る度合い　Ａ＝ＡＩ基盤への接続　Ｄ＝データ・顧客基盤　Ｔ＝信頼・安全の基盤　加点＝証拠(最大8点)　減点＝言葉だけのＡＩ言及(18点)。ＡＩという言葉で選ぶ式ではない：言及だけの577社を除外した。</w:t>
            </w:r>
          </w:p>
        </w:tc>
      </w:tr>
    </w:tbl>
    <w:p>
      <w:pPr>
        <w:spacing w:before="0" w:after="60" w:line="298" w:lineRule="auto"/>
        <w:ind w:firstLine="0" w:firstLineChars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1"/>
              </w:rPr>
              <w:t xml:space="preserve">　式（5）証拠の強さ(点数と分けて管理)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f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</m:sup>
                </m:sSubSup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min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Q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E</m:t>
                              </m:r>
                              <m:r>
                                <m:t>M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両立型</m:t>
                          </m:r>
                        </m:e>
                      </m:mr>
                      <m:mr>
                        <m:e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E</m:t>
                              </m:r>
                              <m:r>
                                <m:t>M</m:t>
                              </m:r>
                            </m:sup>
                          </m:sSubSup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生まれる堀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max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Q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S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R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変わる堀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max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T</m:t>
                              </m:r>
                              <m:r>
                                <m:t>Q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,</m:t>
                          </m:r>
                          <m:sSubSup>
                            <m:e>
                              <m:r>
                                <m:t>L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E</m:t>
                              </m:r>
                              <m:r>
                                <m:t>M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その他</m:t>
                          </m:r>
                        </m:e>
                      </m:mr>
                    </m:m>
                  </m:e>
                </m:d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水準1＝言うだけ／水準2＝製品・顧客・投資計画の具体性あり／水準3＝売上・受注・投資額の数字あり。最終20社の内訳は水準3が15社、水準2が4社、水準1が1社。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候補1,200社から20社へ絞る過程で除外した862社は、理由別にすべて記録した。選ばなかった理由を残すことが、選んだ理由の裏づけになる。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除外の理由</w:t>
            </w:r>
          </w:p>
        </w:tc>
        <w:tc>
          <w:tcPr>
            <w:tcW w:type="dxa" w:w="1020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社数</w:t>
            </w:r>
          </w:p>
        </w:tc>
        <w:tc>
          <w:tcPr>
            <w:tcW w:type="dxa" w:w="6236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説明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ＡＩと言うだけ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577社</w:t>
            </w:r>
          </w:p>
        </w:tc>
        <w:tc>
          <w:tcPr>
            <w:tcW w:type="dxa" w:w="6236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開示資料でＡＩに言及するが、製品・顧客・数量の裏づけがない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より良い類似候補あり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221社</w:t>
            </w:r>
          </w:p>
        </w:tc>
        <w:tc>
          <w:tcPr>
            <w:tcW w:type="dxa" w:w="6236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同じ業種・テーマに、証拠も点数も上回る候補が存在する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財務が危険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32社</w:t>
            </w:r>
          </w:p>
        </w:tc>
        <w:tc>
          <w:tcPr>
            <w:tcW w:type="dxa" w:w="6236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債務超過・連続赤字など、長期保有に耐えない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割安のワナ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17社</w:t>
            </w:r>
          </w:p>
        </w:tc>
        <w:tc>
          <w:tcPr>
            <w:tcW w:type="dxa" w:w="6236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安いだけで、改善の実行が伴わない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安さの根拠のみ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15社</w:t>
            </w:r>
          </w:p>
        </w:tc>
        <w:tc>
          <w:tcPr>
            <w:tcW w:type="dxa" w:w="6236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ＰＢＲの低さ以外に変わる証拠がない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図表Ⅱ-6　除外862社の内訳(全社を理由つきで記録)。出所：除外記録の正典データ。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Arial" w:hAnsi="Arial" w:eastAsia="ＭＳ ゴシック"/>
          <w:b/>
          <w:color w:val="16324F"/>
          <w:sz w:val="24"/>
        </w:rPr>
        <w:t xml:space="preserve">　最終20社の構成 ― なぜ5・5・5・3・2なのか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最終20社は、完成した堀5社(守の5社を固定)・変わる堀5社・生まれる堀5社・両立型3社・分散役2社で構成した。この構成は第Ⅰ章の「超える」の定義から導いている。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・完成した堀5社を持つ理由　</w:t>
      </w:r>
      <w:r>
        <w:rPr>
          <w:rFonts w:ascii="Times New Roman" w:hAnsi="Times New Roman" w:eastAsia="ＭＳ 明朝"/>
          <w:b w:val="0"/>
          <w:color w:val="000000"/>
          <w:sz w:val="20"/>
        </w:rPr>
        <w:t>条件①(同じ土俵)の実行である。この5社を持たなければ、「何を超えたのか」を測る比較相手がいなくなる。しかも三世代のうち、完成した堀だけが仮説ではなく現在の事実である。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・5・5・5の均等　</w:t>
      </w:r>
      <w:r>
        <w:rPr>
          <w:rFonts w:ascii="Times New Roman" w:hAnsi="Times New Roman" w:eastAsia="ＭＳ 明朝"/>
          <w:b w:val="0"/>
          <w:color w:val="000000"/>
          <w:sz w:val="20"/>
        </w:rPr>
        <w:t>三つの世代のどれか一つの未来に賭けない、という設計原理をそのまま数にした。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・3・2の少数枠　</w:t>
      </w:r>
      <w:r>
        <w:rPr>
          <w:rFonts w:ascii="Times New Roman" w:hAnsi="Times New Roman" w:eastAsia="ＭＳ 明朝"/>
          <w:b w:val="0"/>
          <w:color w:val="000000"/>
          <w:sz w:val="20"/>
        </w:rPr>
        <w:t>両立型は変わる堀と生まれる堀の橋渡し、分散役は業種・テーマの偏りの調整役。主役ではなく脇役なので少数にした。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「バフェットが選ぶはずの5社は、本当に必要なのか」という問いには、検査で答える。基準線5社の固定を外して選び直す検査(後述のA11)では、最終20社のうち11社しか一致せず、完成した堀の5社は5社とも脱落する。つまりこの5社は、新しい物差しの高得点者だから残っているのではなく、比較相手として意図して固定している。隠すのではなく、それ自体を設計として明示する。なお、この構成が唯一の最適だという証明はできない。最適かどうかは未来の成績でしか分からないからだ。私たちが保証するのは、定義との整合と、次に示す壊れにくさである。</w:t>
      </w:r>
    </w:p>
    <w:p>
      <w:pPr>
        <w:keepNext/>
        <w:spacing w:before="100" w:after="40" w:line="298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1"/>
        </w:rPr>
        <w:t>図表Ⅱ-7　離 ― 三世代の堀から最終20社へ(矢印は1対1の対応)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5079491" cy="29260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9491" cy="2926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注：守の5社は証拠の関所を通らず固定。両立型は二つの点数の両立を、証拠は厳しい方で判定する。筆者作成。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Arial" w:hAnsi="Arial" w:eastAsia="ＭＳ ゴシック"/>
          <w:b/>
          <w:color w:val="16324F"/>
          <w:sz w:val="24"/>
        </w:rPr>
        <w:t xml:space="preserve">　選定は壊れにくいか ― 条件を一つずつ変える16通りの検査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最後に、この選定が特定の一要素や一テーマ、後付けの調整に依存していないかを、条件を一つずつ変えた16通りの選び直しで確かめた。結果、候補を100社に狭める検査A8だけが7社まで崩れ、残る15通りでは20社中11社以上が一致した。読み方は二つある。第一に、どの減点・どの枠を一つ外しても選定は崩壊しない――特定の仕掛けへの依存がない。第二に、最も効くのは候補の広さであり、破で候補を1,200社へ広げた判断こそが選定の背骨である。</w:t>
      </w:r>
    </w:p>
    <w:p>
      <w:pPr>
        <w:keepNext/>
        <w:spacing w:before="100" w:after="40" w:line="298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1"/>
        </w:rPr>
        <w:t>図表Ⅱ-8　条件を一つ変えて選び直したとき、最終20社のうち何社が残るか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6038948" cy="54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bl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8948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注：過去データ上の構造の検査であり、成績の主張ではない。出所：検査結果の正典データ(ablation_results.csv)。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79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記号</w:t>
            </w:r>
          </w:p>
        </w:tc>
        <w:tc>
          <w:tcPr>
            <w:tcW w:type="dxa" w:w="4309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変えた条件</w:t>
            </w:r>
          </w:p>
        </w:tc>
        <w:tc>
          <w:tcPr>
            <w:tcW w:type="dxa" w:w="113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一致</w:t>
            </w:r>
          </w:p>
        </w:tc>
        <w:tc>
          <w:tcPr>
            <w:tcW w:type="dxa" w:w="3175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読み取り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変わる堀の点数だけで選ぶ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12/20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中程度の入替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A2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生まれる堀の点数だけで選ぶ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16/20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A3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証拠の関所を外す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13/20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中程度の入替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A4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割安のワナ減点を外す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16/20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A5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話題先行の減点を外す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13/20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中程度の入替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A6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データ信頼度を外す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15/20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A7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業種の上限を外す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13/20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中程度の入替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A8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候補を100社に絞る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7/20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最大の入替(主要ドライバー)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A9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候補を300社に絞る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12/20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中程度の入替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A10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候補1,200社全体から選ぶ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15/20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A11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基準線5社の固定を外す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11/20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大きい入替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A12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両立型の枠を外す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16/20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A13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分散役の枠を外す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16/20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A14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証拠水準2以上の条件を外す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15/20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A15</w:t>
            </w:r>
          </w:p>
        </w:tc>
        <w:tc>
          <w:tcPr>
            <w:tcW w:type="dxa" w:w="4309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改革の証拠を外す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15/20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A16</w:t>
            </w:r>
          </w:p>
        </w:tc>
        <w:tc>
          <w:tcPr>
            <w:tcW w:type="dxa" w:w="4309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ＡＩ言及の減点を一部の役割に限定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16/20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頑健：中核は維持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図表Ⅱ-9　16通りの検査の一覧。一致＝選び直しても最終20社と同じだった社数。</w:t>
      </w:r>
    </w:p>
    <w:p>
      <w:pPr>
        <w:spacing w:before="80" w:after="120" w:line="298" w:lineRule="auto"/>
        <w:ind w:firstLine="0" w:firstLineChars="0"/>
        <w:shd w:val="clear" w:color="auto" w:fill="F2F6F4"/>
      </w:pPr>
      <w:r>
        <w:rPr>
          <w:rFonts w:ascii="Arial" w:hAnsi="Arial" w:eastAsia="ＭＳ ゴシック"/>
          <w:b/>
          <w:color w:val="2F6D5F"/>
          <w:sz w:val="20"/>
        </w:rPr>
        <w:t xml:space="preserve">　この章の要点　</w:t>
      </w:r>
      <w:r>
        <w:rPr>
          <w:rFonts w:ascii="Times New Roman" w:hAnsi="Times New Roman" w:eastAsia="ＭＳ 明朝"/>
          <w:b w:val="0"/>
          <w:color w:val="000000"/>
          <w:sz w:val="20"/>
        </w:rPr>
        <w:t>守で基準線5社(条件①)、離で死角を補う15社(条件②)を選び、16通りの検査で壊れにくさ(条件③)を確かめた。</w:t>
      </w:r>
    </w:p>
    <w:p>
      <w:r>
        <w:br w:type="page"/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Arial" w:hAnsi="Arial" w:eastAsia="ＭＳ ゴシック"/>
          <w:b/>
          <w:color w:val="FFFFFF"/>
          <w:sz w:val="28"/>
        </w:rPr>
        <w:t xml:space="preserve">　Ⅲ．ポートフォリオの決定・銘柄紹介・パフォーマンス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Arial" w:hAnsi="Arial" w:eastAsia="ＭＳ ゴシック"/>
          <w:b/>
          <w:color w:val="16324F"/>
          <w:sz w:val="24"/>
        </w:rPr>
        <w:t xml:space="preserve">　1．500万円の配り方 ― 成績の予想を使わない配分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どの銘柄が上がるかという予想は、一切使わない。予想を使えば、せっかく証拠で選んだ20社に、予想の当て推量が混ざってしまうからだ。配分は次の四段階で決めた。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・第一段階　</w:t>
      </w:r>
      <w:r>
        <w:rPr>
          <w:rFonts w:ascii="Times New Roman" w:hAnsi="Times New Roman" w:eastAsia="ＭＳ 明朝"/>
          <w:b w:val="0"/>
          <w:color w:val="000000"/>
          <w:sz w:val="20"/>
        </w:rPr>
        <w:t>20社を五つの役割に分ける(前章)。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・第二段階　</w:t>
      </w:r>
      <w:r>
        <w:rPr>
          <w:rFonts w:ascii="Times New Roman" w:hAnsi="Times New Roman" w:eastAsia="ＭＳ 明朝"/>
          <w:b w:val="0"/>
          <w:color w:val="000000"/>
          <w:sz w:val="20"/>
        </w:rPr>
        <w:t>役割ごとに予算を決める。完成・変化・新生に各25％、両立型15％、分散役10％。三世代へ同額を置くのは、どの未来にも賭けないという設計の続きである。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・第三段階　</w:t>
      </w:r>
      <w:r>
        <w:rPr>
          <w:rFonts w:ascii="Times New Roman" w:hAnsi="Times New Roman" w:eastAsia="ＭＳ 明朝"/>
          <w:b w:val="0"/>
          <w:color w:val="000000"/>
          <w:sz w:val="20"/>
        </w:rPr>
        <w:t>同じ役割の中では、値動きが穏やかで・売買しやすく・証拠が強く・データが信頼できる会社を厚くする(式6)。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・第四段階　</w:t>
      </w:r>
      <w:r>
        <w:rPr>
          <w:rFonts w:ascii="Times New Roman" w:hAnsi="Times New Roman" w:eastAsia="ＭＳ 明朝"/>
          <w:b w:val="0"/>
          <w:color w:val="000000"/>
          <w:sz w:val="20"/>
        </w:rPr>
        <w:t>1銘柄8％の上限をかけ、実際に買える株数へ丸める(式7)。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1"/>
              </w:rPr>
              <w:t xml:space="preserve">　式（6）役割予算つきの配分 ― 選定済み20社への配り方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>
                  <m:e>
                    <m:r>
                      <m:t>ω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B</m:t>
                    </m:r>
                  </m:e>
                  <m:sub>
                    <m:r>
                      <m:t>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ρ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 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ρ</m:t>
                            </m:r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</m:nary>
                  </m:den>
                </m:f>
                <m:r>
                  <m:rPr>
                    <m:sty m:val="p"/>
                  </m:rPr>
                  <m:t>,</m:t>
                </m:r>
                <m:r>
                  <m:t>  </m:t>
                </m:r>
                <m:sSub>
                  <m:e>
                    <m:r>
                      <m:t>ρ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c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m:t>max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0.10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Ｂ＝役割ごとの予算(25/25/25/15/10％)　ℓ＝売買のしやすさ　ｅ＝証拠の強さ　ｃ＝データの信頼度　σ＝1年の値動きの大きさ。8％を超えた分は同じ役割の中で配り直す。</w:t>
            </w:r>
          </w:p>
        </w:tc>
      </w:tr>
    </w:tbl>
    <w:p>
      <w:pPr>
        <w:spacing w:before="0" w:after="60" w:line="298" w:lineRule="auto"/>
        <w:ind w:firstLine="0" w:firstLineChars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638"/>
            <w:shd w:val="clear" w:color="auto" w:fill="16324F"/>
            <w:tcBorders>
              <w:top w:val="single" w:sz="6" w:space="0" w:color="000000"/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keepNext/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1"/>
              </w:rPr>
              <w:t xml:space="preserve">　式（7）単元株の調整 ― 実際に買える株数へ丸める</w:t>
            </w:r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jc w:val="center"/>
              <w:keepNext/>
              <w:spacing w:before="80" w:after="80"/>
              <w:ind w:firstLine="0" w:firstLineChars="0"/>
            </w:pPr>
            <m:oMathPara>
              <m:oMathParaPr>
                <m:jc m:val="center"/>
              </m:oMathParaPr>
              <m:oMath>
                <m:sSub>
                  <m:e>
                    <m:r>
                      <m:t>q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floor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  <m:r>
                          <m:t> 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</w:tr>
      <w:tr>
        <w:trPr>
          <w:cantSplit/>
        </w:trPr>
        <w:tc>
          <w:tcPr>
            <w:tcW w:type="dxa" w:w="9638"/>
            <w:tcBorders>
              <w:bottom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40" w:after="40"/>
              <w:ind w:firstLine="0" w:firstLineChars="0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ｑ＝購入株数　Ｌ＝売買単位(基準1株)　Ｂ＝総予算500万円　ω＝目標比率　Ｐ＝株価　floor＝切り捨て。投資額4,949,198円・残り現金50,802円(使用率99.0%)。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最終配分を図表Ⅲ-1に示す。最大の保有はゼンリンの7.46％、役割の合計は25/25/25/15/10％で、すべて決めた範囲の中にある。実際の売買単位(100株)では株価の高い銘柄が買えないため、1株から買える単元未満株の利用を前提とし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</w:trPr>
        <w:tc>
          <w:tcPr>
            <w:tcW w:type="dxa" w:w="79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コード</w:t>
            </w:r>
          </w:p>
        </w:tc>
        <w:tc>
          <w:tcPr>
            <w:tcW w:type="dxa" w:w="260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企業名</w:t>
            </w:r>
          </w:p>
        </w:tc>
        <w:tc>
          <w:tcPr>
            <w:tcW w:type="dxa" w:w="1020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役割</w:t>
            </w:r>
          </w:p>
        </w:tc>
        <w:tc>
          <w:tcPr>
            <w:tcW w:type="dxa" w:w="170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テーマ</w:t>
            </w:r>
          </w:p>
        </w:tc>
        <w:tc>
          <w:tcPr>
            <w:tcW w:type="dxa" w:w="850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比率</w:t>
            </w:r>
          </w:p>
        </w:tc>
        <w:tc>
          <w:tcPr>
            <w:tcW w:type="dxa" w:w="737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株数</w:t>
            </w:r>
          </w:p>
        </w:tc>
        <w:tc>
          <w:tcPr>
            <w:tcW w:type="dxa" w:w="1247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金額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9470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学研ホールディングス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完成した堀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6.88％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365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343,465円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3539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ＪＭホールディングス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完成した堀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5.58％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223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278,304円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6430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ダイコク電機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完成した堀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5.43％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130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271,050円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4350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メディカルシステムネットワーク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完成した堀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4.21％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409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210,226円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7803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ブシロード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完成した堀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2.90％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562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144,996円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5902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ホッカンホールディングス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6.70％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150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333,000円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9828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Genki Global Dining Concepts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5.50％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99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272,646円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8037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カメイ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4.84％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69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238,740円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3863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日本製紙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4.28％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174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212,976円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5233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太平洋セメント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3.68％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41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182,778円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6368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オルガノ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半導体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6.91％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330,750円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6526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ソシオネクスト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半導体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4.90％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85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243,270円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6920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レーザーテック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品質保証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4.82％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230,280円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6315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ＴＯＷＡ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半導体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4.35％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75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216,600円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5803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フジクラ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光通信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4.02％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42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196,434円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9474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ゼンリン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両立型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業務データ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7.46％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428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372,360円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6841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横河電機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両立型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工場の自動化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4.55％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44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223,388円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3697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ＳＨＩＦＴ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両立型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品質保証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2.99％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205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149,076円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2112</w:t>
            </w:r>
          </w:p>
        </w:tc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塩水港精糖</w:t>
            </w:r>
          </w:p>
        </w:tc>
        <w:tc>
          <w:tcPr>
            <w:tcW w:type="dxa" w:w="102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分散役</w:t>
            </w:r>
          </w:p>
        </w:tc>
        <w:tc>
          <w:tcPr>
            <w:tcW w:type="dxa" w:w="170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6.40％</w:t>
            </w:r>
          </w:p>
        </w:tc>
        <w:tc>
          <w:tcPr>
            <w:tcW w:type="dxa" w:w="73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749</w:t>
            </w:r>
          </w:p>
        </w:tc>
        <w:tc>
          <w:tcPr>
            <w:tcW w:type="dxa" w:w="1247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319,823円</w:t>
            </w:r>
          </w:p>
        </w:tc>
      </w:tr>
      <w:tr>
        <w:trPr>
          <w:cantSplit/>
        </w:trPr>
        <w:tc>
          <w:tcPr>
            <w:tcW w:type="dxa" w:w="79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3089</w:t>
            </w:r>
          </w:p>
        </w:tc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テクノアルファ</w:t>
            </w:r>
          </w:p>
        </w:tc>
        <w:tc>
          <w:tcPr>
            <w:tcW w:type="dxa" w:w="102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分散役</w:t>
            </w:r>
          </w:p>
        </w:tc>
        <w:tc>
          <w:tcPr>
            <w:tcW w:type="dxa" w:w="170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ＡＩ以外の堅実分野</w:t>
            </w:r>
          </w:p>
        </w:tc>
        <w:tc>
          <w:tcPr>
            <w:tcW w:type="dxa" w:w="85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3.60％</w:t>
            </w:r>
          </w:p>
        </w:tc>
        <w:tc>
          <w:tcPr>
            <w:tcW w:type="dxa" w:w="73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143</w:t>
            </w:r>
          </w:p>
        </w:tc>
        <w:tc>
          <w:tcPr>
            <w:tcW w:type="dxa" w:w="1247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179,036円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図表Ⅲ-1　最終ポートフォリオ(総予算500万円・単元未満株基準)。出所：配分の正典データ(allocation_final.csv)。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Arial" w:hAnsi="Arial" w:eastAsia="ＭＳ ゴシック"/>
          <w:b/>
          <w:color w:val="16324F"/>
          <w:sz w:val="24"/>
        </w:rPr>
        <w:t xml:space="preserve">　2．銘柄紹介 ― 三世代の堀、20社の顔ぶれ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各社の「選定データが語る事実」は、第Ⅱ章の点数と証拠から自動的に書ける。一方、事業の中身と堀の背景は、各社のＩＲ資料・有価証券報告書で確かめてから書くべきものなので、確認欄として残した(創作はしない)。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完成した堀 ― 守の式だけで選んだ基準線。この5社を上回れるかが「超える」の物差しになる。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企業(業種)</w:t>
            </w:r>
          </w:p>
        </w:tc>
        <w:tc>
          <w:tcPr>
            <w:tcW w:type="dxa" w:w="442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選定データが語る事実</w:t>
            </w:r>
          </w:p>
        </w:tc>
        <w:tc>
          <w:tcPr>
            <w:tcW w:type="dxa" w:w="272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事業内容・堀の背景(確認して記入)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9470 学研ホールディングス</w:t>
              <w:br/>
              <w:t>(情報・通信業)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守の七関門をすべて通過。純資産比1.53倍の割安・粗利÷総資産0.40・8項目合格率100%。完成した堀を割安に持つ基準線。比率6.9％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3539 ＪＭホールディングス</w:t>
              <w:br/>
              <w:t>(小売業)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守の七関門をすべて通過。純資産比1.43倍の割安・粗利÷総資産0.73・8項目合格率100%。完成した堀を割安に持つ基準線。比率5.6％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6430 ダイコク電機</w:t>
              <w:br/>
              <w:t>(機械)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守の七関門をすべて通過。純資産比1.47倍の割安・粗利÷総資産0.47・8項目合格率67%。完成した堀を割安に持つ基準線。比率5.4％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4350 メディカルシステムネットワーク</w:t>
              <w:br/>
              <w:t>(小売業)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守の七関門をすべて通過。純資産比1.44倍の割安・粗利÷総資産0.72・8項目合格率100%。完成した堀を割安に持つ基準線。比率4.2％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7803 ブシロード</w:t>
              <w:br/>
              <w:t>(その他製品)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守の七関門をすべて通過。純資産比1.44倍の割安・粗利÷総資産0.40・8項目合格率100%。完成した堀を割安に持つ基準線。比率2.9％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図表Ⅲ-2　銘柄紹介：完成した堀(左2列は正典データから自動記載)。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変わる堀 ― 割安×改善の証拠で選んだ、これから変わる会社。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企業(業種)</w:t>
            </w:r>
          </w:p>
        </w:tc>
        <w:tc>
          <w:tcPr>
            <w:tcW w:type="dxa" w:w="442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選定データが語る事実</w:t>
            </w:r>
          </w:p>
        </w:tc>
        <w:tc>
          <w:tcPr>
            <w:tcW w:type="dxa" w:w="272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事業内容・堀の背景(確認して記入)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5902 ホッカンホールディングス</w:t>
              <w:br/>
              <w:t>(金属製品)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変わる堀の点数82点(20社中の変わる堀5社)。純資産比2.21倍の割安に改善・還元の証拠(証拠の強さ 水準3)が重なる。比率6.7％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9828 Genki Global Dining Concepts</w:t>
              <w:br/>
              <w:t>(小売業)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変わる堀の点数80点(20社中の変わる堀5社)。純資産比0.35倍の割安に改善・還元の証拠(証拠の強さ 水準3)が重なる。比率5.5％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8037 カメイ</w:t>
              <w:br/>
              <w:t>(卸売業)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変わる堀の点数79点(20社中の変わる堀5社)。純資産比1.57倍の割安に改善・還元の証拠(証拠の強さ 水準3)が重なる。比率4.8％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3863 日本製紙</w:t>
              <w:br/>
              <w:t>(パルプ・紙)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変わる堀の点数79点(20社中の変わる堀5社)。純資産比3.61倍の割安に改善・還元の証拠(証拠の強さ 水準3)が重なる。比率4.3％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5233 太平洋セメント</w:t>
              <w:br/>
              <w:t>(ガラス・土石製品)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変わる堀の点数80点(20社中の変わる堀5社)。純資産比1.36倍の割安に改善・還元の証拠(証拠の強さ 水準3)が重なる。比率3.7％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図表Ⅲ-3　銘柄紹介：変わる堀(左2列は正典データから自動記載)。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生まれる堀 ― ＡＩ基盤への実需接続を証拠で確かめた、新しい堀が生まれる会社。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企業(業種)</w:t>
            </w:r>
          </w:p>
        </w:tc>
        <w:tc>
          <w:tcPr>
            <w:tcW w:type="dxa" w:w="442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選定データが語る事実</w:t>
            </w:r>
          </w:p>
        </w:tc>
        <w:tc>
          <w:tcPr>
            <w:tcW w:type="dxa" w:w="272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事業内容・堀の背景(確認して記入)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6368 オルガノ</w:t>
              <w:br/>
              <w:t>(機械)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生まれる堀の点数74点・証拠の強さ 水準3。テーマは半導体。「言うだけ」の減点を通過した実需接続。比率6.9％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6526 ソシオネクスト</w:t>
              <w:br/>
              <w:t>(電気機器)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生まれる堀の点数64点・証拠の強さ 水準2。テーマは半導体。「言うだけ」の減点を通過した実需接続。比率4.9％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6920 レーザーテック</w:t>
              <w:br/>
              <w:t>(電気機器)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生まれる堀の点数73点・証拠の強さ 水準2。テーマは品質保証。「言うだけ」の減点を通過した実需接続。比率4.8％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6315 ＴＯＷＡ</w:t>
              <w:br/>
              <w:t>(機械)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生まれる堀の点数73点・証拠の強さ 水準3。テーマは半導体。「言うだけ」の減点を通過した実需接続。比率4.3％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5803 フジクラ</w:t>
              <w:br/>
              <w:t>(非鉄金属)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生まれる堀の点数52点・証拠の強さ 水準2。テーマは光通信。「言うだけ」の減点を通過した実需接続。比率4.0％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図表Ⅲ-4　銘柄紹介：生まれる堀(左2列は正典データから自動記載)。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両立型 ― 変わる堀と生まれる堀、二つの点数がともに高い会社。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企業(業種)</w:t>
            </w:r>
          </w:p>
        </w:tc>
        <w:tc>
          <w:tcPr>
            <w:tcW w:type="dxa" w:w="442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選定データが語る事実</w:t>
            </w:r>
          </w:p>
        </w:tc>
        <w:tc>
          <w:tcPr>
            <w:tcW w:type="dxa" w:w="272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事業内容・堀の背景(確認して記入)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9474 ゼンリン</w:t>
              <w:br/>
              <w:t>(情報・通信業)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変わる堀68点×生まれる堀78点の両立。証拠は厳しい方で判定して水準3。二つの未来の橋渡し役。比率7.5％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6841 横河電機</w:t>
              <w:br/>
              <w:t>(電気機器)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変わる堀73点×生まれる堀79点の両立。証拠は厳しい方で判定して水準3。二つの未来の橋渡し役。比率4.5％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3697 ＳＨＩＦＴ</w:t>
              <w:br/>
              <w:t>(情報・通信業)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変わる堀61点×生まれる堀92点の両立。証拠は厳しい方で判定して水準2。二つの未来の橋渡し役。比率3.0％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図表Ⅲ-5　銘柄紹介：両立型(左2列は正典データから自動記載)。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分散役 ― 業種・テーマの偏りを整え、ポートフォリオ全体を安定させる会社。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企業(業種)</w:t>
            </w:r>
          </w:p>
        </w:tc>
        <w:tc>
          <w:tcPr>
            <w:tcW w:type="dxa" w:w="4422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選定データが語る事実</w:t>
            </w:r>
          </w:p>
        </w:tc>
        <w:tc>
          <w:tcPr>
            <w:tcW w:type="dxa" w:w="272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事業内容・堀の背景(確認して記入)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2112 塩水港精糖</w:t>
              <w:br/>
              <w:t>(食料品)</w:t>
            </w:r>
          </w:p>
        </w:tc>
        <w:tc>
          <w:tcPr>
            <w:tcW w:type="dxa" w:w="4422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業種・テーマの偏りを整える堅実枠。変わる堀の点数77点・証拠の強さ 水準3。比率6.4％</w:t>
            </w:r>
          </w:p>
        </w:tc>
        <w:tc>
          <w:tcPr>
            <w:tcW w:type="dxa" w:w="272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3089 テクノアルファ</w:t>
              <w:br/>
              <w:t>(卸売業)</w:t>
            </w:r>
          </w:p>
        </w:tc>
        <w:tc>
          <w:tcPr>
            <w:tcW w:type="dxa" w:w="4422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業種・テーマの偏りを整える堅実枠。変わる堀の点数79点・証拠の強さ 水準3。比率3.6％</w:t>
            </w:r>
          </w:p>
        </w:tc>
        <w:tc>
          <w:tcPr>
            <w:tcW w:type="dxa" w:w="272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［要ＩＲ確認：事業内容・堀の背景・リスク］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0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図表Ⅲ-6　銘柄紹介：分散役(左2列は正典データから自動記載)。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Arial" w:hAnsi="Arial" w:eastAsia="ＭＳ ゴシック"/>
          <w:b/>
          <w:color w:val="16324F"/>
          <w:sz w:val="24"/>
        </w:rPr>
        <w:t xml:space="preserve">　3．パフォーマンス ― 成績を誇る代わりに、リスクの姿を確かめる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私たちはこのポートフォリオの将来の成績を予測しない。その代わり、過去3年のデータで「値動きの性格」を確かめた。ただし大前提がある。この3年間は選定に使った期間そのものなので、ここでの成績はどれほど良くても実力の証明にならない(選ばれた銘柄は、その期間に良かったから選ばれている)。表の数字は、成績の主張ではなく、リスクの確認として読んでほし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2381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確かめたこと</w:t>
            </w:r>
          </w:p>
        </w:tc>
        <w:tc>
          <w:tcPr>
            <w:tcW w:type="dxa" w:w="3855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過去3年(選定に使った期間)</w:t>
            </w:r>
          </w:p>
        </w:tc>
        <w:tc>
          <w:tcPr>
            <w:tcW w:type="dxa" w:w="3175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直近1年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年率リターン</w:t>
            </w:r>
          </w:p>
        </w:tc>
        <w:tc>
          <w:tcPr>
            <w:tcW w:type="dxa" w:w="385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30.8%(ＴＯＰＩＸ 24.1%・日経平均 32.8%)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37.9%(ＴＯＰＩＸ 40.7%・日経平均 78.5%)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値動きの大きさ(年率)</w:t>
            </w:r>
          </w:p>
        </w:tc>
        <w:tc>
          <w:tcPr>
            <w:tcW w:type="dxa" w:w="385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21.9%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18.5%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最大の下落</w:t>
            </w:r>
          </w:p>
        </w:tc>
        <w:tc>
          <w:tcPr>
            <w:tcW w:type="dxa" w:w="385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-24.9%(ＴＯＰＩＸ -23.3%)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-11.7%(ＴＯＰＩＸ -11.4%)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市場との連動度(β)</w:t>
            </w:r>
          </w:p>
        </w:tc>
        <w:tc>
          <w:tcPr>
            <w:tcW w:type="dxa" w:w="385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0.925</w:t>
            </w:r>
          </w:p>
        </w:tc>
        <w:tc>
          <w:tcPr>
            <w:tcW w:type="dxa" w:w="3175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0.835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市場超過の安定度(ＩＲ)</w:t>
            </w:r>
          </w:p>
        </w:tc>
        <w:tc>
          <w:tcPr>
            <w:tcW w:type="dxa" w:w="385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＋0.445</w:t>
            </w:r>
          </w:p>
        </w:tc>
        <w:tc>
          <w:tcPr>
            <w:tcW w:type="dxa" w:w="3175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-0.405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図表Ⅲ-7　リスクの姿(ＴＯＰＩＸ連動指数1306は未調整の株式分割(2026-03-30)を補正済み)。出所：検証の正典データ。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役割の分担も確かめた。過去3年の値上がり寄与の8割は生まれる堀(フジクラ・オルガノなど)で、完成した堀は寄与1％の安定した土台に徹していた。また、割安側の銘柄を外して組み直すと値動きの大きさが35.5％へ悪化する。変わる堀は攻めではなく、揺れを抑える緩衝材として効いている。</w:t>
      </w:r>
    </w:p>
    <w:p>
      <w:pPr>
        <w:keepNext/>
        <w:spacing w:before="100" w:after="40" w:line="298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1"/>
        </w:rPr>
        <w:t>図表Ⅲ-8　役割別の寄与 ― 生まれる堀が牽引し、完成した堀は土台</w:t>
      </w:r>
    </w:p>
    <w:p>
      <w:pPr>
        <w:jc w:val="center"/>
        <w:keepNext/>
        <w:ind w:firstLine="0" w:firstLineChars="0"/>
      </w:pPr>
      <w:r>
        <w:drawing>
          <wp:inline xmlns:a="http://schemas.openxmlformats.org/drawingml/2006/main" xmlns:pic="http://schemas.openxmlformats.org/drawingml/2006/picture">
            <wp:extent cx="6035039" cy="20071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o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39" cy="2007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注：過去3年・選定に使った期間。出所：検証の正典データ(phase5_validation_summary.json)。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Arial" w:hAnsi="Arial" w:eastAsia="ＭＳ ゴシック"/>
          <w:b/>
          <w:color w:val="16324F"/>
          <w:sz w:val="24"/>
        </w:rPr>
        <w:t xml:space="preserve">　4．結論 ― 結局、バフェットを超えたのか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第Ⅰ章で約束した四つの条件に、正面から答える。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</w:trPr>
        <w:tc>
          <w:tcPr>
            <w:tcW w:type="dxa" w:w="192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「超える」の条件</w:t>
            </w:r>
          </w:p>
        </w:tc>
        <w:tc>
          <w:tcPr>
            <w:tcW w:type="dxa" w:w="6463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結果</w:t>
            </w:r>
          </w:p>
        </w:tc>
        <w:tc>
          <w:tcPr>
            <w:tcW w:type="dxa" w:w="1134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判定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 同じ土俵に立つ</w:t>
            </w:r>
          </w:p>
        </w:tc>
        <w:tc>
          <w:tcPr>
            <w:tcW w:type="dxa" w:w="6463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守で規律を式だけから再現し、その5社を固定保有(第Ⅱ章)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達成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② 死角を補う</w:t>
            </w:r>
          </w:p>
        </w:tc>
        <w:tc>
          <w:tcPr>
            <w:tcW w:type="dxa" w:w="6463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バフェットの式では選ばれない15社を、証拠の強さつきで選定。水準3が15社・水準2が4社・水準1が1社。除外862社は理由つきで全記録(第Ⅱ章)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達成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③ 壊れにくい</w:t>
            </w:r>
          </w:p>
        </w:tc>
        <w:tc>
          <w:tcPr>
            <w:tcW w:type="dxa" w:w="6463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16通りの検査で確認。候補を100社に狭める検査以外は、どの条件を変えても20社中11社以上が一致(第Ⅱ章末)</w:t>
            </w:r>
          </w:p>
        </w:tc>
        <w:tc>
          <w:tcPr>
            <w:tcW w:type="dxa" w:w="113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達成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④ 成績で上回る</w:t>
            </w:r>
          </w:p>
        </w:tc>
        <w:tc>
          <w:tcPr>
            <w:tcW w:type="dxa" w:w="6463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選定に使った3年間はＴＯＰＩＸ比 年＋6.7ポイントだが、これは後出しの答え合わせにすぎない。直近1年は年-2.8ポイントで市場に負けている</w:t>
            </w:r>
          </w:p>
        </w:tc>
        <w:tc>
          <w:tcPr>
            <w:tcW w:type="dxa" w:w="1134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未確定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図表Ⅲ-9　判定表 ― 四条件に対する現時点の答え。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設計の三条件はすべて満たした。成績では、まだ超えたとは言えない。直近1年は市場に負けている――この事実を、私たちは言い換えずにそのまま書く。そのうえで、残る条件④の判定の物差しを先に約束する。答え合わせの場は、このレポート提出後のコンテスト期間そのものである。コンテスト期間の成績がＴＯＰＩＸを上回れば「超えた」、下回れば「超えていない」。判定を先送りにしないために、物差しと期日をここに固定した。私たちがこの20社を持ち続けられる理由は、成績の自信ではなく、三世代の堀という構造と、証拠と、壊れにくさの検査にある。</w:t>
      </w:r>
    </w:p>
    <w:p>
      <w:pPr>
        <w:keepNext/>
        <w:spacing w:before="160" w:after="80" w:line="298" w:lineRule="auto"/>
        <w:ind w:firstLine="0" w:firstLineChars="0"/>
        <w:shd w:val="clear" w:color="auto" w:fill="DCE8E4"/>
        <w:pBdr>
          <w:left w:val="single" w:sz="28" w:space="3" w:color="16324F"/>
        </w:pBdr>
      </w:pPr>
      <w:r>
        <w:rPr>
          <w:rFonts w:ascii="Arial" w:hAnsi="Arial" w:eastAsia="ＭＳ ゴシック"/>
          <w:b/>
          <w:color w:val="16324F"/>
          <w:sz w:val="24"/>
        </w:rPr>
        <w:t xml:space="preserve">　5．リスクと限界 ― 正直に書き残す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最後に、この設計の弱点を私たち自身の手で記録しておく。強みだけを並べたレポートは、検証に耐えない。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・テーマの偏り　</w:t>
      </w:r>
      <w:r>
        <w:rPr>
          <w:rFonts w:ascii="Times New Roman" w:hAnsi="Times New Roman" w:eastAsia="ＭＳ 明朝"/>
          <w:b w:val="0"/>
          <w:color w:val="000000"/>
          <w:sz w:val="20"/>
        </w:rPr>
        <w:t>過去3年の値上がり寄与の8割は生まれる堀に集中しており、テーマの偏りの度合い(偏り指数)は0.40と高め。生まれる堀のテーマが崩れる未来では、市場に劣る可能性がある。だからこそ完成した堀・変わる堀に同額の予算を置き、一つの未来への賭けを避けている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・単元未満株の前提　</w:t>
      </w:r>
      <w:r>
        <w:rPr>
          <w:rFonts w:ascii="Times New Roman" w:hAnsi="Times New Roman" w:eastAsia="ＭＳ 明朝"/>
          <w:b w:val="0"/>
          <w:color w:val="000000"/>
          <w:sz w:val="20"/>
        </w:rPr>
        <w:t>通常の売買単位(100株)では、株価の高い9社が予算内で買えない。1株から買える単元未満株の取扱いを前提としており、取扱いのない証券会社ではこの配分をそのまま再現できない。</w:t>
      </w:r>
    </w:p>
    <w:p>
      <w:pPr>
        <w:spacing w:before="0" w:after="40" w:line="293" w:lineRule="auto"/>
        <w:ind w:firstLine="0" w:firstLineChars="0"/>
      </w:pPr>
      <w:r>
        <w:rPr>
          <w:rFonts w:ascii="Arial" w:hAnsi="Arial" w:eastAsia="ＭＳ ゴシック"/>
          <w:b/>
          <w:color w:val="16324F"/>
          <w:sz w:val="20"/>
        </w:rPr>
        <w:t xml:space="preserve">・証拠は開示ベース　</w:t>
      </w:r>
      <w:r>
        <w:rPr>
          <w:rFonts w:ascii="Times New Roman" w:hAnsi="Times New Roman" w:eastAsia="ＭＳ 明朝"/>
          <w:b w:val="0"/>
          <w:color w:val="000000"/>
          <w:sz w:val="20"/>
        </w:rPr>
        <w:t>証拠の強さは開示資料に基づく判定であり、現場の実態までは測れない。第Ⅳ章の取材は、この限界を埋めるために設計している。</w:t>
      </w:r>
    </w:p>
    <w:p>
      <w:pPr>
        <w:spacing w:before="80" w:after="120" w:line="298" w:lineRule="auto"/>
        <w:ind w:firstLine="0" w:firstLineChars="0"/>
        <w:shd w:val="clear" w:color="auto" w:fill="F2F6F4"/>
      </w:pPr>
      <w:r>
        <w:rPr>
          <w:rFonts w:ascii="Arial" w:hAnsi="Arial" w:eastAsia="ＭＳ ゴシック"/>
          <w:b/>
          <w:color w:val="2F6D5F"/>
          <w:sz w:val="20"/>
        </w:rPr>
        <w:t xml:space="preserve">　この章の要点　</w:t>
      </w:r>
      <w:r>
        <w:rPr>
          <w:rFonts w:ascii="Times New Roman" w:hAnsi="Times New Roman" w:eastAsia="ＭＳ 明朝"/>
          <w:b w:val="0"/>
          <w:color w:val="000000"/>
          <w:sz w:val="20"/>
        </w:rPr>
        <w:t>設計の三条件は達成、成績は未確定。判定基準(コンテスト期間のＴＯＰＩＸ比)と、設計の弱点まで先に書き残した。</w:t>
      </w:r>
    </w:p>
    <w:p>
      <w:r>
        <w:br w:type="page"/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Arial" w:hAnsi="Arial" w:eastAsia="ＭＳ ゴシック"/>
          <w:b/>
          <w:color w:val="FFFFFF"/>
          <w:sz w:val="28"/>
        </w:rPr>
        <w:t xml:space="preserve">　Ⅳ．インタビュー・アンケート</w:t>
      </w:r>
    </w:p>
    <w:p>
      <w:pPr>
        <w:spacing w:after="8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スクリーニングは開示データに基づく。その仮説が実態と合っているかを、投資先企業への取材で確かめる。質問は思いつきではなく、各社を選んだ理由(点数と証拠)から導いた。以下に役割ごとの質問草案を用意した(実施記録は記入欄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94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対象(役割)</w:t>
            </w:r>
          </w:p>
        </w:tc>
        <w:tc>
          <w:tcPr>
            <w:tcW w:type="dxa" w:w="6690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選定理由から導いた質問草案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5803 フジクラ(生まれる堀)</w:t>
            </w:r>
          </w:p>
        </w:tc>
        <w:tc>
          <w:tcPr>
            <w:tcW w:type="dxa" w:w="669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①データセンター向け光配線の受注動向と生産能力投資の計画　②ＡＩ需要が一巡した場合の下支え事業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6368 オルガノ(生まれる堀)</w:t>
            </w:r>
          </w:p>
        </w:tc>
        <w:tc>
          <w:tcPr>
            <w:tcW w:type="dxa" w:w="669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①半導体向け超純水装置の需要見通し　②価格決定力(急所を握る力)の源泉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6920 レーザーテック(生まれる堀)</w:t>
            </w:r>
          </w:p>
        </w:tc>
        <w:tc>
          <w:tcPr>
            <w:tcW w:type="dxa" w:w="669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①半導体の検査・品質保証分野での技術優位の持続性　②研究開発投資の方向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9470 学研ＨＤ(完成した堀)</w:t>
            </w:r>
          </w:p>
        </w:tc>
        <w:tc>
          <w:tcPr>
            <w:tcW w:type="dxa" w:w="669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①教育×医療福祉の資本効率改善の進捗　②株主還元方針の考え方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5233 太平洋セメント(変わる堀)</w:t>
            </w:r>
          </w:p>
        </w:tc>
        <w:tc>
          <w:tcPr>
            <w:tcW w:type="dxa" w:w="669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①資本コストを意識した経営改革の進捗　②株主還元と設備投資の優先順位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9474 ゼンリン(両立型)</w:t>
            </w:r>
          </w:p>
        </w:tc>
        <w:tc>
          <w:tcPr>
            <w:tcW w:type="dxa" w:w="669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①地図データベースの参入障壁　②ＡＩ時代におけるデータ資産の収益化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3697 ＳＨＩＦＴ(両立型)</w:t>
            </w:r>
          </w:p>
        </w:tc>
        <w:tc>
          <w:tcPr>
            <w:tcW w:type="dxa" w:w="669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①ソフトウェア品質保証の需要構造　②ＡＩ活用による事業機会と脅威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2112 塩水港精糖(分散役)</w:t>
            </w:r>
          </w:p>
        </w:tc>
        <w:tc>
          <w:tcPr>
            <w:tcW w:type="dxa" w:w="669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①原料価格の変動への耐性　②財務改善の計画</w:t>
            </w:r>
          </w:p>
        </w:tc>
      </w:tr>
    </w:tbl>
    <w:p>
      <w:pPr>
        <w:spacing w:before="0" w:after="60" w:line="298" w:lineRule="auto"/>
        <w:ind w:firstLine="0" w:firstLineChars="0"/>
      </w:pP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実施記録(記入)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・対象者(企業名・部署・役職)：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・実施日・実施方法：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書き方のヒント：対面・オンライン・書面など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・質問と回答：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書き方のヒント：質問草案のどれを聞き、どんな答えだったかを対応させて書く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・分析への反映(仮説はどう変わったか)：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書き方のヒント：「取材の結果、証拠の強さの見立てを○○と修正した」のように、第Ⅱ章のどこに影響したかを書く</w:t>
      </w: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(未実施の場合は本章を「今後の課題」とし、その旨を明記する。回答の創作はしない。)</w:t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Arial" w:hAnsi="Arial" w:eastAsia="ＭＳ ゴシック"/>
          <w:b/>
          <w:color w:val="FFFFFF"/>
          <w:sz w:val="28"/>
        </w:rPr>
        <w:t xml:space="preserve">　Ⅴ．日経ＳＴＯＣＫリーグを通じて学んだこと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・仮説が変わった瞬間：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書き方のヒント：例の問い：最初の考えはどこで崩れたか。成績ではなく構造で持つ、という発想はいつ生まれたか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・うまくいかなかったこと・工夫したこと：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書き方のヒント：例の問い：候補を広げすぎて確認が回らなくなったとき、どう折り合いをつけたか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・チームでの役割分担と学び：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書き方のヒント：例の問い：データ係・調査係・執筆係で、互いの誤りをどう見つけ合ったか</w:t>
      </w:r>
    </w:p>
    <w:p>
      <w:pPr>
        <w:spacing w:before="0" w:after="40" w:line="298" w:lineRule="auto"/>
        <w:ind w:firstLine="0" w:firstLineChars="0"/>
      </w:pPr>
      <w:r>
        <w:rPr>
          <w:rFonts w:ascii="Times New Roman" w:hAnsi="Times New Roman" w:eastAsia="ＭＳ 明朝"/>
          <w:b/>
          <w:color w:val="000000"/>
          <w:sz w:val="21"/>
        </w:rPr>
        <w:t>・今後の課題：</w:t>
      </w:r>
      <w:r>
        <w:rPr>
          <w:rFonts w:ascii="Times New Roman" w:hAnsi="Times New Roman" w:eastAsia="ＭＳ 明朝"/>
          <w:b w:val="0"/>
          <w:color w:val="888888"/>
          <w:sz w:val="21"/>
        </w:rPr>
        <w:t>［記入］</w:t>
      </w:r>
    </w:p>
    <w:p>
      <w:pPr>
        <w:spacing w:before="0" w:after="60" w:line="298" w:lineRule="auto"/>
        <w:ind w:firstLine="0" w:firstLineChars="0"/>
        <w:ind w:left="360"/>
      </w:pPr>
      <w:r>
        <w:rPr>
          <w:rFonts w:ascii="Times New Roman" w:hAnsi="Times New Roman" w:eastAsia="ＭＳ 明朝"/>
          <w:b w:val="0"/>
          <w:color w:val="888888"/>
          <w:sz w:val="20"/>
        </w:rPr>
        <w:t>書き方のヒント：例の問い：単元未満株の扱い、証拠の確認の自動化、取材で確かめ切れなかったこと</w:t>
      </w:r>
    </w:p>
    <w:p>
      <w:pPr>
        <w:spacing w:before="0" w:after="120" w:line="298" w:lineRule="auto"/>
        <w:ind w:firstLine="0" w:firstLineChars="0"/>
      </w:pPr>
      <w:r>
        <w:rPr>
          <w:rFonts w:ascii="Times New Roman" w:hAnsi="Times New Roman" w:eastAsia="ＭＳ 明朝"/>
          <w:b w:val="0"/>
          <w:color w:val="000000"/>
          <w:sz w:val="20"/>
        </w:rPr>
        <w:t>(提出者の実体験として記入する。下書きの創作はしない。)</w:t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Arial" w:hAnsi="Arial" w:eastAsia="ＭＳ ゴシック"/>
          <w:b/>
          <w:color w:val="FFFFFF"/>
          <w:sz w:val="28"/>
        </w:rPr>
        <w:t xml:space="preserve">　参考文献</w:t>
      </w:r>
    </w:p>
    <w:p>
      <w:pPr>
        <w:spacing w:after="10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本文で直接引用した文献に加え、選定・最適化・検証・データ取得の設計にあたって参照した文献を、分野別にすべて記載する(正典: docs/references_master.md)。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一次資料 ― バフェット株主への手紙(原文)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Buffett, W. E. (1988) Chairman's Letter to the Shareholders of Berkshire Hathaway Inc. Berkshire Hathaway Inc., https://www.berkshirehathaway.com/letters/1988.html (2026年7月18日)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Buffett, W. E. (1989) Chairman's Letter to the Shareholders of Berkshire Hathaway Inc. Berkshire Hathaway Inc., https://www.berkshirehathaway.com/letters/1989.html (2026年7月18日)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Buffett, W. E. (2007) Chairman's Letter to the Shareholders of Berkshire Hathaway Inc. Berkshire Hathaway Inc., https://www.berkshirehathaway.com/letters/2007ltr.pdf (2026年7月18日)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英語文献Ⅰ ― 投資・会計・無形資産(第Ⅱ章 守・離の式典拠)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Altman, E. I. (1968) Financial Ratios, Discriminant Analysis and the Prediction of Corporate Bankruptcy. The Journal of Finance, 23(4), pp.589-609.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Asness, C. S., Frazzini, A., &amp; Pedersen, L. H. (2019) Quality Minus Junk. Review of Accounting Studies, 24, pp.34-112.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Basu, S. (1977) Investment Performance of Common Stocks in Relation to Their Price-Earnings Ratios: A Test of the Efficient Market Hypothesis. The Journal of Finance, 32(3), pp.663-682.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Basu, S. (1983) The Relationship between Earnings' Yield, Market Value and Return for NYSE Common Stocks: Further Evidence. Journal of Financial Economics, 12(1), pp.129-156.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Chan, L. K. C., Lakonishok, J., &amp; Sougiannis, T. (2001) The Stock Market Valuation of Research and Development Expenditures. The Journal of Finance, 56(6), pp.2431-2456.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Fama, E. F., &amp; French, K. R. (1993) Common Risk Factors in the Returns on Stocks and Bonds. Journal of Financial Economics, 33(1), pp.3-56.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Fama, E. F., &amp; French, K. R. (2015) A Five-Factor Asset Pricing Model. Journal of Financial Economics, 116(1), pp.1-22.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Frazzini, A., Kabiller, D., &amp; Pedersen, L. H. (2018) Buffett's Alpha. Financial Analysts Journal, 74(4), pp.35-55.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Jensen, M. C. (1968) The Performance of Mutual Funds in the Period 1945-1964. The Journal of Finance, 23(2), pp.389-416.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Lev, B., &amp; Gu, F. (2016) The End of Accounting and the Path Forward for Investors and Managers, John Wiley &amp; Sons.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Markowitz, H. (1952) Portfolio Selection. The Journal of Finance, 7(1), pp.77-91.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Novy-Marx, R. (2013) The Other Side of Value: The Gross Profitability Premium. Journal of Financial Economics, 108(1), pp.1-28.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Ohlson, J. A. (1980) Financial Ratios and the Probabilistic Prediction of Bankruptcy. Journal of Accounting Research, 18(1), pp.109-131.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Peters, R. H., &amp; Taylor, L. A. (2017) Intangible Capital and the Investment-q Relation. Journal of Financial Economics, 123(2), pp.251-272.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Piotroski, J. D. (2000) Value Investing: The Use of Historical Financial Statement Information to Separate Winners from Losers. Journal of Accounting Research, 38, Supplement, pp.1-41.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Sharpe, W. F. (1966) Mutual Fund Performance. The Journal of Business, 39(1), pp.119-138.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Sharpe, W. F. (1994) The Sharpe Ratio. The Journal of Portfolio Management, 21(1), pp.49-58.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Sloan, R. G. (1996) Do Stock Prices Fully Reflect Information in Accruals and Cash Flows about Future Earnings? The Accounting Review, 71(3), pp.289-315.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英語文献Ⅱ ― 最適化・探索(第Ⅱ章 破の方法典拠)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Akiba, T., Sano, S., Yanase, T., Ohta, T., &amp; Koyama, M. (2019) Optuna: A Next-generation Hyperparameter Optimization Framework. In Proceedings of the 25th ACM SIGKDD International Conference on Knowledge Discovery &amp; Data Mining, pp.2623-2631.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Bergstra, J., Bardenet, R., Bengio, Y., &amp; Kégl, B. (2011) Algorithms for Hyper-Parameter Optimization. In Advances in Neural Information Processing Systems, 24, pp.2546-2554.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Bergstra, J., &amp; Bengio, Y. (2012) Random Search for Hyper-Parameter Optimization. Journal of Machine Learning Research, 13, pp.281-305.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Brochu, E., Cora, V. M., &amp; de Freitas, N. (2010) A Tutorial on Bayesian Optimization of Expensive Cost Functions. arXiv, https://arxiv.org/abs/1012.2599 (2026年7月8日)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Deb, K. (2001) Multi-Objective Optimization Using Evolutionary Algorithms, John Wiley &amp; Sons.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Deb, K., Pratap, A., Agarwal, S., &amp; Meyarivan, T. (2002) A Fast and Elitist Multiobjective Genetic Algorithm: NSGA-II. IEEE Transactions on Evolutionary Computation, 6(2), pp.182-197.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Fonseca, C. M., &amp; Fleming, P. J. (1995) An Overview of Evolutionary Algorithms in Multiobjective Optimization. Evolutionary Computation, 3(1), pp.1-16.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Goldberg, D. E. (1989) Genetic Algorithms in Search, Optimization, and Machine Learning, Addison-Wesley.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Hansen, N., &amp; Ostermeier, A. (2001) Completely Derandomized Self-Adaptation in Evolution Strategies. Evolutionary Computation, 9(2), pp.159-195.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Hutter, F., Hoos, H. H., &amp; Leyton-Brown, K. (2011) Sequential Model-Based Optimization for General Algorithm Configuration. In Learning and Intelligent Optimization, pp.507-523.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Jamieson, K., &amp; Talwalkar, A. (2016) Non-stochastic Best Arm Identification and Hyperparameter Optimization. In Proceedings of the 19th International Conference on Artificial Intelligence and Statistics, pp.240-248.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Kushner, H. J. (1964) A New Method of Locating the Maximum Point of an Arbitrary Multipeak Curve in the Presence of Noise. Journal of Basic Engineering, 86(1), pp.97-106.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Li, L., Jamieson, K., DeSalvo, G., Rostamizadeh, A., &amp; Talwalkar, A. (2017) Hyperband: A Novel Bandit-Based Approach to Hyperparameter Optimization. Journal of Machine Learning Research, 18(185), pp.1-52.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Mockus, J. (1978) The Application of Bayesian Methods for Seeking the Extremum. In Towards Global Optimization, Vol.2, pp.117-129, North-Holland.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Snoek, J., Larochelle, H., &amp; Adams, R. P. (2012) Practical Bayesian Optimization of Machine Learning Algorithms. In Advances in Neural Information Processing Systems, 25, pp.2951-2959.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Storn, R., &amp; Price, K. (1997) Differential Evolution - A Simple and Efficient Heuristic for Global Optimization over Continuous Spaces. Journal of Global Optimization, 11, pp.341-359.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Zitzler, E., Deb, K., &amp; Thiele, L. (2000) Comparison of Multiobjective Evolutionary Algorithms: Empirical Results. Evolutionary Computation, 8(2), pp.173-195.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英語文献Ⅲ ― 検証・過学習対策・感度分析(壊れにくさ検査の典拠)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Bailey, D. H., &amp; López de Prado, M. (2012) The Sharpe Ratio Efficient Frontier. Journal of Risk, 15(2), pp.3-44.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Bailey, D. H., Borwein, J., López de Prado, M., &amp; Zhu, Q. J. (2014) Pseudo-Mathematics and Financial Charlatanism: The Effects of Backtest Overfitting on Out-of-Sample Performance. Notices of the American Mathematical Society, 61(5), pp.458-471.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Bailey, D. H., &amp; López de Prado, M. (2014) The Deflated Sharpe Ratio: Correcting for Selection Bias, Backtest Overfitting, and Non-Normality. The Journal of Portfolio Management, 40(5), pp.94-107.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Bailey, D. H., Borwein, J. M., López de Prado, M., &amp; Zhu, Q. J. (2016) The Probability of Backtest Overfitting. Journal of Computational Finance, 20(4), pp.39-69.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Jaccard, P. (1901) Étude comparative de la distribution florale dans une portion des Alpes et des Jura. Bulletin de la Société Vaudoise des Sciences Naturelles, 37, pp.547-579.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López de Prado, M. (2018) Advances in Financial Machine Learning, John Wiley &amp; Sons.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Romano, J. P., &amp; Wolf, M. (2005) Stepwise Multiple Testing as Formalized Data Snooping. Econometrica, 73(4), pp.1237-1282.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Saltelli, A., Ratto, M., Andres, T., Campolongo, F., Cariboni, J., Gatelli, D., Saisana, M., &amp; Tarantola, S. (2008) Global Sensitivity Analysis: The Primer, John Wiley &amp; Sons.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Sobol', I. M. (2001) Global Sensitivity Indices for Nonlinear Mathematical Models and Their Monte Carlo Estimates. Mathematics and Computers in Simulation, 55(1-3), pp.271-280.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White, H. (2000) A Reality Check for Data Snooping. Econometrica, 68(5), pp.1097-1126.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背景調査で参照した文献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Beneish, M. D. (1999) The Detection of Earnings Manipulation. Financial Analysts Journal, 55(5), pp.24-36.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French, K. R. "Data Library", https://mba.tuck.dartmouth.edu/pages/faculty/ken.french/data_library.html (2026年7月8日)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日本語文献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経済産業省(2014)『持続的成長への競争力とインセンティブ ―企業と投資家の望ましい関係構築―(伊藤レポート)』経済産業省．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東京証券取引所(2023)「資本コストや株価を意識した経営の実現に向けた対応について」株式会社東京証券取引所．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日本取引所グループ「単元株制度」，https://www.jpx.co.jp/ (2026年7月8日閲覧)</w:t>
      </w:r>
    </w:p>
    <w:p>
      <w:pPr>
        <w:keepNext/>
        <w:spacing w:before="100" w:after="60" w:line="298" w:lineRule="auto"/>
        <w:ind w:firstLine="0" w:firstLineChars="0"/>
        <w:pBdr>
          <w:bottom w:val="dashed" w:sz="10" w:space="2" w:color="2F6D5F"/>
        </w:pBdr>
      </w:pPr>
      <w:r>
        <w:rPr>
          <w:rFonts w:ascii="Arial" w:hAnsi="Arial" w:eastAsia="ＭＳ ゴシック"/>
          <w:b/>
          <w:color w:val="2F6D5F"/>
          <w:sz w:val="22"/>
        </w:rPr>
        <w:t>データ・実装資料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金融庁「EDINET」，https://disclosure2.edinet-fsa.go.jp/ (2026年7月8日閲覧)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金融庁 企画市場局 企業開示課(2026)『EDINET API 仕様書(Version 2)』金融庁．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日本取引所グループ「上場会社情報」，https://www.jpx.co.jp/listing/co-search/ (2026年7月8日閲覧)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日本取引所グループ「東証上場銘柄一覧」(データファイル)．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Optuna Contributors, "Optuna Documentation", https://optuna.readthedocs.io/ (2026年7月8日)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pymoo Developers, "pymoo: Multi-objective Optimization in Python", https://pymoo.org/ (2026年7月8日)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SciPy Developers, "scipy.optimize.differential_evolution", SciPy Documentation, https://docs.scipy.org/ (2026年7月8日)</w:t>
      </w:r>
    </w:p>
    <w:p>
      <w:pPr>
        <w:spacing w:after="20"/>
        <w:ind w:left="360" w:hanging="360"/>
      </w:pPr>
      <w:r>
        <w:rPr>
          <w:rFonts w:ascii="Times New Roman" w:hAnsi="Times New Roman" w:eastAsia="ＭＳ 明朝"/>
          <w:b w:val="0"/>
          <w:color w:val="000000"/>
          <w:sz w:val="20"/>
        </w:rPr>
        <w:t>scikit-learn Developers, "Model selection and evaluation", scikit-learn Documentation, https://scikit-learn.org/stable/model_selection.html (2026年7月8日)</w:t>
      </w:r>
    </w:p>
    <w:p>
      <w:pPr>
        <w:keepNext/>
        <w:spacing w:before="200" w:after="100" w:line="298" w:lineRule="auto"/>
        <w:ind w:firstLine="0" w:firstLineChars="0"/>
        <w:shd w:val="clear" w:color="auto" w:fill="16324F"/>
      </w:pPr>
      <w:r>
        <w:rPr>
          <w:rFonts w:ascii="Arial" w:hAnsi="Arial" w:eastAsia="ＭＳ ゴシック"/>
          <w:b/>
          <w:color w:val="FFFFFF"/>
          <w:sz w:val="28"/>
        </w:rPr>
        <w:t xml:space="preserve">　用語の手引き</w:t>
      </w:r>
    </w:p>
    <w:p>
      <w:pPr>
        <w:spacing w:after="100" w:line="302" w:lineRule="auto"/>
        <w:jc w:val="both"/>
        <w:ind w:firstLineChars="100" w:firstLine="210"/>
      </w:pPr>
      <w:r>
        <w:rPr>
          <w:rFonts w:ascii="Times New Roman" w:hAnsi="Times New Roman" w:eastAsia="ＭＳ 明朝"/>
          <w:b w:val="0"/>
          <w:color w:val="000000"/>
          <w:sz w:val="21"/>
        </w:rPr>
        <w:t>本文で使った言葉の早見表。専門用語は本文でも初出時に言い換えているが、迷ったらここへ。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608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ことば</w:t>
            </w:r>
          </w:p>
        </w:tc>
        <w:tc>
          <w:tcPr>
            <w:tcW w:type="dxa" w:w="7030"/>
            <w:shd w:val="clear" w:color="auto" w:fill="16324F"/>
          </w:tcPr>
          <w:p>
            <w:pPr>
              <w:spacing w:after="0"/>
              <w:ind w:firstLine="0" w:firstLineChars="0"/>
            </w:pPr>
            <w:r>
              <w:rPr>
                <w:rFonts w:ascii="Arial" w:hAnsi="Arial" w:eastAsia="ＭＳ ゴシック"/>
                <w:b/>
                <w:color w:val="FFFFFF"/>
                <w:sz w:val="20"/>
              </w:rPr>
              <w:t>意味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堀(Moat)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他社がまねしにくい持続的な競争優位。城のまわりの堀のたとえ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時価総額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株価×株式数。市場がつけた会社全体の値段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Ｂ／Ｍ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純資産÷時価総額。大きいほど会社の持ち物のわりに株価が安い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Ｅ／Ｐ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純利益÷時価総額。大きいほど稼ぐ力のわりに株価が安い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粗利÷総資産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資産を売上総利益に変える力。優良さの物差し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8項目チェック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利益・現金・借金・効率などの改善を1点ずつ数える財務の健康診断(Piotroski)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利益の質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帳簿の利益に現金の裏づけがあるか。差が大きいと後で失速しやすい(Sloan)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債務超過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借金などの負債が資産を上回った状態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ＰＢＲ(株価純資産倍率)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株価が1株あたり純資産の何倍か。1倍割れは会社の持ち物より安い値付け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単元未満株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通常の売買単位(100株)より少ない株数で買える仕組み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ＴＯＰＩＸ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東証株価指数。日本の株式市場全体の平均的な動き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市場との連動度(β)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市場が1動いたときに何倍動くか。1より小さければ市場より穏やか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最大の下落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その期間中、天井から底まで最大で何％下がったか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市場超過の安定度(ＩＲ)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市場平均を上回った幅を、その振れの大きさで割った値。マイナスは市場に負けたことを示す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証拠の強さ(水準1〜3)</w:t>
            </w:r>
          </w:p>
        </w:tc>
        <w:tc>
          <w:tcPr>
            <w:tcW w:type="dxa" w:w="7030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選定根拠の裏づけの強さ。1＝言うだけ、2＝具体性あり、3＝数字あり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選定に使った期間</w:t>
            </w:r>
          </w:p>
        </w:tc>
        <w:tc>
          <w:tcPr>
            <w:tcW w:type="dxa" w:w="7030"/>
            <w:shd w:val="clear" w:color="auto" w:fill="F2F6F4"/>
          </w:tcPr>
          <w:p>
            <w:pPr>
              <w:spacing w:after="0"/>
              <w:ind w:firstLine="0" w:firstLineChars="0"/>
              <w:jc w:val="left"/>
            </w:pPr>
            <w:r>
              <w:rPr>
                <w:rFonts w:ascii="Times New Roman" w:hAnsi="Times New Roman" w:eastAsia="ＭＳ 明朝"/>
                <w:b w:val="0"/>
                <w:color w:val="000000"/>
                <w:sz w:val="20"/>
              </w:rPr>
              <w:t>スクリーニングの計算に使った過去データの期間。この期間の成績は実力の証明にならない</w:t>
            </w:r>
          </w:p>
        </w:tc>
      </w:tr>
    </w:tbl>
    <w:p>
      <w:pPr>
        <w:spacing w:before="0" w:after="60" w:line="298" w:lineRule="auto"/>
        <w:ind w:firstLine="0" w:firstLineChars="0"/>
      </w:pP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ＭＳ 明朝"/>
        <w:b w:val="0"/>
        <w:color w:val="000000"/>
        <w:sz w:val="20"/>
      </w:rPr>
      <w:t xml:space="preserve">- </w:t>
    </w:r>
    <w:fldSimple w:instr="PAGE">
      <w:r>
        <w:t>2</w:t>
      </w:r>
    </w:fldSimple>
    <w:r>
      <w:rPr>
        <w:rFonts w:ascii="Times New Roman" w:hAnsi="Times New Roman" w:eastAsia="ＭＳ 明朝"/>
        <w:b w:val="0"/>
        <w:color w:val="000000"/>
        <w:sz w:val="20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  <w:jc w:val="both"/>
      <w:ind w:firstLineChars="100" w:firstLine="180"/>
    </w:pPr>
    <w:rPr>
      <w:rFonts w:ascii="Times New Roman" w:hAnsi="Times New Roman" w:eastAsia="ＭＳ 明朝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jc w:val="left"/>
      <w:outlineLvl w:val="0"/>
      <w:ind w:firstLineChars="0" w:firstLine="0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jc w:val="left"/>
      <w:outlineLvl w:val="1"/>
      <w:ind w:firstLineChars="0" w:firstLine="0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jc w:val="left"/>
      <w:outlineLvl w:val="2"/>
      <w:ind w:firstLineChars="0" w:firstLine="0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jc w:val="left"/>
      <w:outlineLvl w:val="3"/>
      <w:ind w:firstLineChars="0" w:firstLine="0"/>
    </w:pPr>
    <w:rPr>
      <w:rFonts w:asciiTheme="majorHAnsi" w:eastAsiaTheme="majorEastAsia" w:hAnsiTheme="majorHAnsi" w:cstheme="majorBidi" w:ascii="ＭＳ ゴシック" w:hAnsi="ＭＳ ゴシック" w:eastAsia="ＭＳ ゴシック"/>
      <w:b/>
      <w:bCs/>
      <w:i/>
      <w:iCs/>
      <w:color w:val="000000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v3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