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drawing>
          <wp:inline xmlns:a="http://schemas.openxmlformats.org/drawingml/2006/main" xmlns:pic="http://schemas.openxmlformats.org/drawingml/2006/picture">
            <wp:extent cx="7560000" cy="10686385"/>
            <wp:docPr id="1" name="Picture 1"/>
            <wp:cNvGraphicFramePr>
              <a:graphicFrameLocks noChangeAspect="1"/>
            </wp:cNvGraphicFramePr>
            <a:graphic>
              <a:graphicData uri="http://schemas.openxmlformats.org/drawingml/2006/picture">
                <pic:pic>
                  <pic:nvPicPr>
                    <pic:cNvPr id="0" name="cover.png"/>
                    <pic:cNvPicPr/>
                  </pic:nvPicPr>
                  <pic:blipFill>
                    <a:blip r:embed="rId9"/>
                    <a:stretch>
                      <a:fillRect/>
                    </a:stretch>
                  </pic:blipFill>
                  <pic:spPr>
                    <a:xfrm>
                      <a:off x="0" y="0"/>
                      <a:ext cx="7560000" cy="10686385"/>
                    </a:xfrm>
                    <a:prstGeom prst="rect"/>
                  </pic:spPr>
                </pic:pic>
              </a:graphicData>
            </a:graphic>
          </wp:inline>
        </w:drawing>
      </w:r>
    </w:p>
    <w:p>
      <w:pPr>
        <w:sectPr>
          <w:footerReference w:type="default" r:id="rId10"/>
          <w:pgSz w:w="11906" w:h="16838"/>
          <w:pgMar w:top="0" w:right="0" w:bottom="0" w:left="0" w:header="720" w:footer="720" w:gutter="0"/>
          <w:cols w:space="720"/>
          <w:docGrid w:linePitch="360"/>
        </w:sectPr>
      </w:pPr>
    </w:p>
    <w:p>
      <w:pPr>
        <w:keepNext/>
        <w:spacing w:before="200" w:after="100" w:line="298" w:lineRule="auto"/>
        <w:ind w:firstLine="0" w:firstLineChars="0"/>
        <w:shd w:val="clear" w:color="auto" w:fill="16324F"/>
      </w:pPr>
      <w:r>
        <w:rPr>
          <w:rFonts w:ascii="Arial" w:hAnsi="Arial" w:eastAsia="ＭＳ ゴシック"/>
          <w:b/>
          <w:color w:val="FFFFFF"/>
          <w:sz w:val="28"/>
        </w:rPr>
        <w:t xml:space="preserve">　要旨</w:t>
      </w:r>
    </w:p>
    <w:p>
      <w:pPr>
        <w:spacing w:after="80" w:line="281" w:lineRule="auto"/>
        <w:jc w:val="both"/>
        <w:ind w:firstLineChars="100" w:firstLine="210"/>
      </w:pPr>
      <w:r>
        <w:rPr>
          <w:rFonts w:ascii="Times New Roman" w:hAnsi="Times New Roman" w:eastAsia="ＭＳ 明朝"/>
          <w:b w:val="0"/>
          <w:color w:val="000000"/>
          <w:sz w:val="21"/>
        </w:rPr>
        <w:t>本レポートでは、これからの日本株投資の姿として「三世代の堀(Three-Generation Moat)」を提示する。堀(Moat)とは、城のまわりの堀のように、他社がまねしにくい持続的な競争優位のことである。私たちは、ウォーレン・バフェットが築いた「完成した堀を割安に買う」という規律を出発点に、堀を時間軸でとらえ直した。いま完成している堀だけでなく、資本効率改革によってこれから「変わる堀」、ＡＩ・半導体・光通信などの構造変化からこれから「生まれる堀」までを、一つのポートフォリオに束ねる。</w:t>
      </w:r>
    </w:p>
    <w:p>
      <w:pPr>
        <w:spacing w:after="80" w:line="281" w:lineRule="auto"/>
        <w:jc w:val="both"/>
        <w:ind w:firstLineChars="100" w:firstLine="210"/>
      </w:pPr>
      <w:r>
        <w:rPr>
          <w:rFonts w:ascii="Times New Roman" w:hAnsi="Times New Roman" w:eastAsia="ＭＳ 明朝"/>
          <w:b w:val="0"/>
          <w:color w:val="000000"/>
          <w:sz w:val="21"/>
        </w:rPr>
        <w:t>本レポートの軸は一つだけである。目指す先が「三世代の堀」(何を買うか)、そこへ至る道順が「守破離」(どう選ぶか)であり、堀が主役で守破離は選ぶ手順の名前にすぎない。守では先行研究の式だけで完成した堀を5社に絞り、破では式を変えずに候補を1,200社へ広げ、離では変わる堀・生まれる堀を証拠の強さつきで測って最終20社を組んだ。選定後に成績を見て銘柄を入れ替える「後からの選び直し」はしていない(あとから成績の良い銘柄だけを拾えば、どんな選び方でも立派に見えるからだ)。その代わり、この選び方が条件を一つ変えたくらいでは崩れないことを、16通りの検査で確かめた(唯一、候補を極端に狭める検査だけが選定の背骨として効く――詳細は第Ⅱ章末)。</w:t>
      </w:r>
    </w:p>
    <w:p>
      <w:pPr>
        <w:spacing w:before="0" w:after="80" w:line="298" w:lineRule="auto"/>
        <w:ind w:firstLine="0" w:firstLineChars="0"/>
      </w:pPr>
      <w:r>
        <w:rPr>
          <w:rFonts w:ascii="Times New Roman" w:hAnsi="Times New Roman" w:eastAsia="ＭＳ 明朝"/>
          <w:b w:val="0"/>
          <w:color w:val="000000"/>
          <w:sz w:val="20"/>
        </w:rPr>
        <w:t>※守破離(しゅはり)＝日本の芸道の修行段階。守=型を守る、破=型を破る、離=独自の境地へ。</w:t>
      </w:r>
    </w:p>
    <w:p>
      <w:pPr>
        <w:spacing w:after="80" w:line="281" w:lineRule="auto"/>
        <w:jc w:val="both"/>
        <w:ind w:firstLineChars="100" w:firstLine="210"/>
      </w:pPr>
      <w:r>
        <w:rPr>
          <w:rFonts w:ascii="Times New Roman" w:hAnsi="Times New Roman" w:eastAsia="ＭＳ 明朝"/>
          <w:b w:val="0"/>
          <w:color w:val="000000"/>
          <w:sz w:val="21"/>
        </w:rPr>
        <w:t>結論を先に言う。私たちは「超える」を四つの条件で定義した。①バフェットと同じ土俵に立つ、②彼の式では選ばれない15社を同じ厳しさの証拠で選ぶ、③選定が壊れにくい――この三つの設計条件は本文で確かめたとおり達成した。残る一つ、④成績は、同じ出発点(3,099社)から守の式だけで選んだ対照群『純正バフェットポートフォリオ』を自作し、先に決めた物差しで比較して検証した。結果、選定に使った3年間で年17.4ポイント、選定に使っていない直近1年でも年25.9ポイント、対照群を上回り、④も達成した。ただし市場平均(ＴＯＰＩＸ)には直近1年で6.0ポイント負けている――この事実も隠さず記し、市場平均へ勝ち続ける力の証明は来年の宿題として残す。</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目次</w:t>
      </w:r>
    </w:p>
    <w:p>
      <w:pPr>
        <w:spacing w:before="0" w:after="20" w:line="298" w:lineRule="auto"/>
        <w:ind w:firstLine="0" w:firstLineChars="0"/>
      </w:pPr>
      <w:r>
        <w:rPr>
          <w:rFonts w:ascii="Times New Roman" w:hAnsi="Times New Roman" w:eastAsia="ＭＳ 明朝"/>
          <w:b w:val="0"/>
          <w:color w:val="000000"/>
          <w:sz w:val="21"/>
        </w:rPr>
        <w:t>要旨</w:t>
      </w:r>
      <w:r>
        <w:rPr>
          <w:rFonts w:ascii="Times New Roman" w:hAnsi="Times New Roman" w:eastAsia="ＭＳ 明朝"/>
          <w:b w:val="0"/>
          <w:color w:val="000000"/>
          <w:sz w:val="21"/>
        </w:rPr>
        <w:t xml:space="preserve">　････････････････････････････････････････････････　2</w:t>
      </w:r>
    </w:p>
    <w:p>
      <w:pPr>
        <w:spacing w:before="0" w:after="20" w:line="298" w:lineRule="auto"/>
        <w:ind w:firstLine="0" w:firstLineChars="0"/>
      </w:pPr>
      <w:r>
        <w:rPr>
          <w:rFonts w:ascii="Times New Roman" w:hAnsi="Times New Roman" w:eastAsia="ＭＳ 明朝"/>
          <w:b w:val="0"/>
          <w:color w:val="000000"/>
          <w:sz w:val="21"/>
        </w:rPr>
        <w:t>Ⅰ．背景・投資テーマ決定</w:t>
      </w:r>
      <w:r>
        <w:rPr>
          <w:rFonts w:ascii="Times New Roman" w:hAnsi="Times New Roman" w:eastAsia="ＭＳ 明朝"/>
          <w:b w:val="0"/>
          <w:color w:val="000000"/>
          <w:sz w:val="21"/>
        </w:rPr>
        <w:t xml:space="preserve">　････････････････････････････　3</w:t>
      </w:r>
    </w:p>
    <w:p>
      <w:pPr>
        <w:spacing w:before="0" w:after="20" w:line="298" w:lineRule="auto"/>
        <w:ind w:firstLine="0" w:firstLineChars="0"/>
      </w:pPr>
      <w:r>
        <w:rPr>
          <w:rFonts w:ascii="Times New Roman" w:hAnsi="Times New Roman" w:eastAsia="ＭＳ 明朝"/>
          <w:b w:val="0"/>
          <w:color w:val="000000"/>
          <w:sz w:val="21"/>
        </w:rPr>
        <w:t>Ⅱ．スクリーニング ― 守・破・離</w:t>
      </w:r>
      <w:r>
        <w:rPr>
          <w:rFonts w:ascii="Times New Roman" w:hAnsi="Times New Roman" w:eastAsia="ＭＳ 明朝"/>
          <w:b w:val="0"/>
          <w:color w:val="000000"/>
          <w:sz w:val="21"/>
        </w:rPr>
        <w:t xml:space="preserve">　･･････････････････　7</w:t>
      </w:r>
    </w:p>
    <w:p>
      <w:pPr>
        <w:spacing w:before="0" w:after="20" w:line="298" w:lineRule="auto"/>
        <w:ind w:firstLine="0" w:firstLineChars="0"/>
      </w:pPr>
      <w:r>
        <w:rPr>
          <w:rFonts w:ascii="Times New Roman" w:hAnsi="Times New Roman" w:eastAsia="ＭＳ 明朝"/>
          <w:b w:val="0"/>
          <w:color w:val="000000"/>
          <w:sz w:val="21"/>
        </w:rPr>
        <w:t>Ⅲ．ポートフォリオの決定・銘柄紹介・パフォーマンス</w:t>
      </w:r>
      <w:r>
        <w:rPr>
          <w:rFonts w:ascii="Times New Roman" w:hAnsi="Times New Roman" w:eastAsia="ＭＳ 明朝"/>
          <w:b w:val="0"/>
          <w:color w:val="000000"/>
          <w:sz w:val="21"/>
        </w:rPr>
        <w:t xml:space="preserve">　････　17</w:t>
      </w:r>
    </w:p>
    <w:p>
      <w:pPr>
        <w:spacing w:before="0" w:after="20" w:line="298" w:lineRule="auto"/>
        <w:ind w:firstLine="0" w:firstLineChars="0"/>
      </w:pPr>
      <w:r>
        <w:rPr>
          <w:rFonts w:ascii="Times New Roman" w:hAnsi="Times New Roman" w:eastAsia="ＭＳ 明朝"/>
          <w:b w:val="0"/>
          <w:color w:val="000000"/>
          <w:sz w:val="21"/>
        </w:rPr>
        <w:t>Ⅳ．インタビュー・アンケート</w:t>
      </w:r>
      <w:r>
        <w:rPr>
          <w:rFonts w:ascii="Times New Roman" w:hAnsi="Times New Roman" w:eastAsia="ＭＳ 明朝"/>
          <w:b w:val="0"/>
          <w:color w:val="000000"/>
          <w:sz w:val="21"/>
        </w:rPr>
        <w:t xml:space="preserve">　････････････････････････　26</w:t>
      </w:r>
    </w:p>
    <w:p>
      <w:pPr>
        <w:spacing w:before="0" w:after="20" w:line="298" w:lineRule="auto"/>
        <w:ind w:firstLine="0" w:firstLineChars="0"/>
      </w:pPr>
      <w:r>
        <w:rPr>
          <w:rFonts w:ascii="Times New Roman" w:hAnsi="Times New Roman" w:eastAsia="ＭＳ 明朝"/>
          <w:b w:val="0"/>
          <w:color w:val="000000"/>
          <w:sz w:val="21"/>
        </w:rPr>
        <w:t>Ⅴ．日経ＳＴＯＣＫリーグを通じて学んだこと</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参考文献</w:t>
      </w:r>
      <w:r>
        <w:rPr>
          <w:rFonts w:ascii="Times New Roman" w:hAnsi="Times New Roman" w:eastAsia="ＭＳ 明朝"/>
          <w:b w:val="0"/>
          <w:color w:val="000000"/>
          <w:sz w:val="21"/>
        </w:rPr>
        <w:t xml:space="preserve">　････････････････････････････････････････････　27</w:t>
      </w:r>
    </w:p>
    <w:p>
      <w:pPr>
        <w:spacing w:before="0" w:after="20" w:line="298" w:lineRule="auto"/>
        <w:ind w:firstLine="0" w:firstLineChars="0"/>
      </w:pPr>
      <w:r>
        <w:rPr>
          <w:rFonts w:ascii="Times New Roman" w:hAnsi="Times New Roman" w:eastAsia="ＭＳ 明朝"/>
          <w:b w:val="0"/>
          <w:color w:val="000000"/>
          <w:sz w:val="21"/>
        </w:rPr>
        <w:t>用語の手引き</w:t>
      </w:r>
      <w:r>
        <w:rPr>
          <w:rFonts w:ascii="Times New Roman" w:hAnsi="Times New Roman" w:eastAsia="ＭＳ 明朝"/>
          <w:b w:val="0"/>
          <w:color w:val="000000"/>
          <w:sz w:val="21"/>
        </w:rPr>
        <w:t xml:space="preserve">　････････････････････････････････････････　29</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Ⅰ．背景・投資テーマ決定</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1．イントロダクション ― 百年企業の中に、未来の堀が眠っていた</w:t>
      </w:r>
    </w:p>
    <w:p>
      <w:pPr>
        <w:spacing w:before="100" w:after="40" w:line="336" w:lineRule="auto"/>
        <w:ind w:firstLine="0" w:firstLineChars="0"/>
        <w:ind w:left="480" w:right="480"/>
      </w:pPr>
      <w:r>
        <w:rPr>
          <w:rFonts w:ascii="Times New Roman" w:hAnsi="Times New Roman" w:eastAsia="ＭＳ 明朝"/>
          <w:b/>
          <w:i/>
          <w:color w:val="16324F"/>
          <w:sz w:val="22"/>
        </w:rPr>
        <w:t>「素晴らしい会社をまずまずの価格で買うほうが、まずまずの会社を素晴らしい価格で買うよりずっと良い。」</w:t>
      </w:r>
    </w:p>
    <w:p>
      <w:pPr>
        <w:spacing w:before="0" w:after="120" w:line="298" w:lineRule="auto"/>
        <w:jc w:val="right"/>
        <w:ind w:firstLine="0" w:firstLineChars="0"/>
      </w:pPr>
      <w:r>
        <w:rPr>
          <w:rFonts w:ascii="Times New Roman" w:hAnsi="Times New Roman" w:eastAsia="ＭＳ 明朝"/>
          <w:b w:val="0"/>
          <w:color w:val="000000"/>
          <w:sz w:val="20"/>
        </w:rPr>
        <w:t>――　ウォーレン・バフェット(1989年 株主への手紙)</w:t>
      </w:r>
    </w:p>
    <w:p>
      <w:pPr>
        <w:spacing w:after="80" w:line="281" w:lineRule="auto"/>
        <w:jc w:val="both"/>
        <w:ind w:firstLineChars="100" w:firstLine="210"/>
      </w:pPr>
      <w:r>
        <w:rPr>
          <w:rFonts w:ascii="Times New Roman" w:hAnsi="Times New Roman" w:eastAsia="ＭＳ 明朝"/>
          <w:b w:val="0"/>
          <w:color w:val="000000"/>
          <w:sz w:val="21"/>
        </w:rPr>
        <w:t>バフェットは、企業を城に、競争優位を城を守る堀(Moat)にたとえた。深い堀を持つ会社を、高すぎない価格で買い、長く持つ。この単純な規律が、半世紀を超える成果を生んだ。私たちの研究は、この規律への挑戦ではなく、その延長である。</w:t>
      </w:r>
    </w:p>
    <w:p>
      <w:pPr>
        <w:spacing w:after="80" w:line="281" w:lineRule="auto"/>
        <w:jc w:val="both"/>
        <w:ind w:firstLineChars="100" w:firstLine="210"/>
      </w:pPr>
      <w:r>
        <w:rPr>
          <w:rFonts w:ascii="Times New Roman" w:hAnsi="Times New Roman" w:eastAsia="ＭＳ 明朝"/>
          <w:b w:val="0"/>
          <w:color w:val="000000"/>
          <w:sz w:val="21"/>
        </w:rPr>
        <w:t>きっかけは、一つの会社だった。フジクラ(5803)――1885年創業の電線メーカーである。長らく「成熟産業の老舗」と見られてきたこの会社は、いま、生成ＡＩのデータセンターを支える光配線の担い手として再評価されている。百年かけて磨いた細くて高密度な配線の技術が、ＡＩという新しい産業の「そこが詰まると全体が止まる急所」を握ったのだ。完成したはずの堀の内側で、新しい堀が生まれていた。</w:t>
      </w:r>
    </w:p>
    <w:p>
      <w:pPr>
        <w:spacing w:after="80" w:line="281" w:lineRule="auto"/>
        <w:jc w:val="both"/>
        <w:ind w:firstLineChars="100" w:firstLine="210"/>
      </w:pPr>
      <w:r>
        <w:rPr>
          <w:rFonts w:ascii="Times New Roman" w:hAnsi="Times New Roman" w:eastAsia="ＭＳ 明朝"/>
          <w:b w:val="0"/>
          <w:color w:val="000000"/>
          <w:sz w:val="21"/>
        </w:rPr>
        <w:t>同じ頃、東京証券取引所は上場企業に「資本コストや株価を意識した経営」を求め、長く割安に放置された企業が、資本効率の改善と株主還元の強化によって変わり始めた。堀は止まった絵ではない。変わる堀があり、生まれる堀がある。ならば、いまの堀だけを測るバフェットの物差しを、時間の方向へ延長できないか。これが私たちの問い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2．バフェットの規律 ― 何がすごいのかを分解する</w:t>
      </w:r>
    </w:p>
    <w:p>
      <w:pPr>
        <w:spacing w:after="80" w:line="281" w:lineRule="auto"/>
        <w:jc w:val="both"/>
        <w:ind w:firstLineChars="100" w:firstLine="210"/>
      </w:pPr>
      <w:r>
        <w:rPr>
          <w:rFonts w:ascii="Times New Roman" w:hAnsi="Times New Roman" w:eastAsia="ＭＳ 明朝"/>
          <w:b w:val="0"/>
          <w:color w:val="000000"/>
          <w:sz w:val="21"/>
        </w:rPr>
        <w:t>「超える」と言う前に、まず相手を正しく知る。バフェットの投資は、大きく四つの部品でできている。</w:t>
      </w:r>
    </w:p>
    <w:p>
      <w:pPr>
        <w:spacing w:before="0" w:after="40" w:line="293" w:lineRule="auto"/>
        <w:ind w:firstLine="0" w:firstLineChars="0"/>
      </w:pPr>
      <w:r>
        <w:rPr>
          <w:rFonts w:ascii="Arial" w:hAnsi="Arial" w:eastAsia="ＭＳ ゴシック"/>
          <w:b/>
          <w:color w:val="16324F"/>
          <w:sz w:val="20"/>
        </w:rPr>
        <w:t xml:space="preserve">・堀(持続する競争優位)　</w:t>
      </w:r>
      <w:r>
        <w:rPr>
          <w:rFonts w:ascii="Times New Roman" w:hAnsi="Times New Roman" w:eastAsia="ＭＳ 明朝"/>
          <w:b w:val="0"/>
          <w:color w:val="000000"/>
          <w:sz w:val="20"/>
        </w:rPr>
        <w:t>まねされにくい強み。ブランドの力(例:コカ・コーラ)、乗り換えの手間、利用者が増えるほど価値が増す仕組み、圧倒的なコストの安さ、特許や免許。バフェット(2007)は「永続的な堀」を持つ企業だけを買うと明言する。</w:t>
      </w:r>
    </w:p>
    <w:p>
      <w:pPr>
        <w:spacing w:before="0" w:after="40" w:line="293" w:lineRule="auto"/>
        <w:ind w:firstLine="0" w:firstLineChars="0"/>
      </w:pPr>
      <w:r>
        <w:rPr>
          <w:rFonts w:ascii="Arial" w:hAnsi="Arial" w:eastAsia="ＭＳ ゴシック"/>
          <w:b/>
          <w:color w:val="16324F"/>
          <w:sz w:val="20"/>
        </w:rPr>
        <w:t xml:space="preserve">・安全域(高すぎない価格)　</w:t>
      </w:r>
      <w:r>
        <w:rPr>
          <w:rFonts w:ascii="Times New Roman" w:hAnsi="Times New Roman" w:eastAsia="ＭＳ 明朝"/>
          <w:b w:val="0"/>
          <w:color w:val="000000"/>
          <w:sz w:val="20"/>
        </w:rPr>
        <w:t>どんな良い会社も、高く買いすぎれば損をする。会社の価値より安い価格で買い、見立て違いに備える。冒頭の1989年の言葉は、価格より会社の質を優先するという順序も示している。</w:t>
      </w:r>
    </w:p>
    <w:p>
      <w:pPr>
        <w:spacing w:before="0" w:after="40" w:line="293" w:lineRule="auto"/>
        <w:ind w:firstLine="0" w:firstLineChars="0"/>
      </w:pPr>
      <w:r>
        <w:rPr>
          <w:rFonts w:ascii="Arial" w:hAnsi="Arial" w:eastAsia="ＭＳ ゴシック"/>
          <w:b/>
          <w:color w:val="16324F"/>
          <w:sz w:val="20"/>
        </w:rPr>
        <w:t xml:space="preserve">・能力の輪(分かるものだけ買う)　</w:t>
      </w:r>
      <w:r>
        <w:rPr>
          <w:rFonts w:ascii="Times New Roman" w:hAnsi="Times New Roman" w:eastAsia="ＭＳ 明朝"/>
          <w:b w:val="0"/>
          <w:color w:val="000000"/>
          <w:sz w:val="20"/>
        </w:rPr>
        <w:t>自分が理解できる事業だけを対象にする。理解できない熱狂には乗らない。</w:t>
      </w:r>
    </w:p>
    <w:p>
      <w:pPr>
        <w:spacing w:before="0" w:after="40" w:line="293" w:lineRule="auto"/>
        <w:ind w:firstLine="0" w:firstLineChars="0"/>
      </w:pPr>
      <w:r>
        <w:rPr>
          <w:rFonts w:ascii="Arial" w:hAnsi="Arial" w:eastAsia="ＭＳ ゴシック"/>
          <w:b/>
          <w:color w:val="16324F"/>
          <w:sz w:val="20"/>
        </w:rPr>
        <w:t xml:space="preserve">・長期保有(複利で増やす)　</w:t>
      </w:r>
      <w:r>
        <w:rPr>
          <w:rFonts w:ascii="Times New Roman" w:hAnsi="Times New Roman" w:eastAsia="ＭＳ 明朝"/>
          <w:b w:val="0"/>
          <w:color w:val="000000"/>
          <w:sz w:val="20"/>
        </w:rPr>
        <w:t>「私たちの好みの保有期間は永遠である」(バフェット、1988)。頻繁な売買をせず、堀が守る利益の再投資で雪だるま式に増やす。</w:t>
      </w:r>
    </w:p>
    <w:p>
      <w:pPr>
        <w:spacing w:after="80" w:line="281" w:lineRule="auto"/>
        <w:jc w:val="both"/>
        <w:ind w:firstLineChars="100" w:firstLine="210"/>
      </w:pPr>
      <w:r>
        <w:rPr>
          <w:rFonts w:ascii="Times New Roman" w:hAnsi="Times New Roman" w:eastAsia="ＭＳ 明朝"/>
          <w:b w:val="0"/>
          <w:color w:val="000000"/>
          <w:sz w:val="21"/>
        </w:rPr>
        <w:t>この規律は、感覚ではなく式で確かめられる。Frazzini, Kabiller and Pedersen (2018)は、バフェットの半世紀の超過成績が「割安×優良×値動きの穏やかさ」という測定可能な要素でほぼ説明できることを示した。つまり、彼の物差しは先行研究の式で再現できる――これが第Ⅱ章「守」の土台である。</w:t>
      </w:r>
    </w:p>
    <w:p>
      <w:pPr>
        <w:spacing w:after="80" w:line="281" w:lineRule="auto"/>
        <w:jc w:val="both"/>
        <w:ind w:firstLineChars="100" w:firstLine="210"/>
      </w:pPr>
      <w:r>
        <w:rPr>
          <w:rFonts w:ascii="Times New Roman" w:hAnsi="Times New Roman" w:eastAsia="ＭＳ 明朝"/>
          <w:b w:val="0"/>
          <w:color w:val="000000"/>
          <w:sz w:val="21"/>
        </w:rPr>
        <w:t>同時に、この分解は彼の物差しの死角も教えてくれる。割安・優良・穏やかさは、どれも「いま完成している堀」を測る物差しであり、これから変わる堀・生まれる堀は原理的に映らない。私たちが加える視点は三つ――①時間軸(堀の一生を見る)、②証拠主義(言葉ではなく数字の裏づけで測る)、③分散(どれか一つの未来に賭けない)。この三つを、彼と同じ規律の厳しさで実行することが、本レポートの挑戦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3．背景 ― 二つの地殻変動</w:t>
      </w:r>
    </w:p>
    <w:p>
      <w:pPr>
        <w:spacing w:after="80" w:line="281" w:lineRule="auto"/>
        <w:jc w:val="both"/>
        <w:ind w:firstLineChars="100" w:firstLine="210"/>
      </w:pPr>
      <w:r>
        <w:rPr>
          <w:rFonts w:ascii="Times New Roman" w:hAnsi="Times New Roman" w:eastAsia="ＭＳ 明朝"/>
          <w:b w:val="0"/>
          <w:color w:val="000000"/>
          <w:sz w:val="21"/>
        </w:rPr>
        <w:t>第一の地殻変動は資本効率改革である。東京証券取引所(2023)の要請は、伊藤レポート(経済産業省、2014)以来の資本収益性重視の流れを決定づけ、ＰＢＲ(株価純資産倍率。株価が会社の純資産の何倍かを示す)1倍割れ企業の経営改革を促した。割安に放置された企業の中から、本当に変われる企業を見分けられれば、それは「変わる堀」への投資になる。</w:t>
      </w:r>
    </w:p>
    <w:p>
      <w:pPr>
        <w:spacing w:after="80" w:line="281" w:lineRule="auto"/>
        <w:jc w:val="both"/>
        <w:ind w:firstLineChars="100" w:firstLine="210"/>
      </w:pPr>
      <w:r>
        <w:rPr>
          <w:rFonts w:ascii="Times New Roman" w:hAnsi="Times New Roman" w:eastAsia="ＭＳ 明朝"/>
          <w:b w:val="0"/>
          <w:color w:val="000000"/>
          <w:sz w:val="21"/>
        </w:rPr>
        <w:t>第二の地殻変動はＡＩを起点とする産業構造の転換である。生成ＡＩは、半導体・光通信・データセンター・電力・品質保証といった基盤産業に、実際の需要という追い風を与えている。ただし「ＡＩ」と口にする企業がすべて堀を持つわけではない。私たちの候補調査では、ＡＩ関連テーマとの接点が社名・業種・引き継ぎメモへの機械的なキーワード照合でしか確認できず、製品・顧客・数量まで遡れる開示証拠を確認できなかった会社が577社に上った。接点と堀を見分ける仕組みが要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4．三世代の堀 ― 私たちが求める企業像</w:t>
      </w:r>
    </w:p>
    <w:p>
      <w:pPr>
        <w:spacing w:after="80" w:line="281" w:lineRule="auto"/>
        <w:jc w:val="both"/>
        <w:ind w:firstLineChars="100" w:firstLine="210"/>
      </w:pPr>
      <w:r>
        <w:rPr>
          <w:rFonts w:ascii="Times New Roman" w:hAnsi="Times New Roman" w:eastAsia="ＭＳ 明朝"/>
          <w:b w:val="0"/>
          <w:color w:val="000000"/>
          <w:sz w:val="21"/>
        </w:rPr>
        <w:t>以上から、私たちは投資対象を三つの世代で定義する。第一に、すでに完成した堀(バフェットの規律で測れる企業)。第二に、資本効率改革で変わる堀(割安×改善の証拠を持つ企業)。第三に、構造変化から生まれる堀(ＡＩ基盤への実需接続を証拠で示せる企業)。この三世代を一つのポートフォリオに束ね、どれか一つの未来に賭けない。これが「三世代の堀」である。</w:t>
      </w:r>
    </w:p>
    <w:p>
      <w:pPr>
        <w:keepNext/>
        <w:spacing w:before="100" w:after="40" w:line="298" w:lineRule="auto"/>
        <w:ind w:firstLine="0" w:firstLineChars="0"/>
      </w:pPr>
      <w:r>
        <w:rPr>
          <w:rFonts w:ascii="Arial" w:hAnsi="Arial" w:eastAsia="ＭＳ ゴシック"/>
          <w:b/>
          <w:color w:val="16324F"/>
          <w:sz w:val="21"/>
        </w:rPr>
        <w:t>図表Ⅰ-1　三世代の堀 ― 完成・変化・新生を一つに束ねる</w:t>
      </w:r>
    </w:p>
    <w:p>
      <w:pPr>
        <w:jc w:val="center"/>
        <w:keepNext/>
        <w:ind w:firstLine="0" w:firstLineChars="0"/>
      </w:pPr>
      <w:r>
        <w:drawing>
          <wp:inline xmlns:a="http://schemas.openxmlformats.org/drawingml/2006/main" xmlns:pic="http://schemas.openxmlformats.org/drawingml/2006/picture">
            <wp:extent cx="5001768" cy="2327148"/>
            <wp:docPr id="2" name="Picture 2"/>
            <wp:cNvGraphicFramePr>
              <a:graphicFrameLocks noChangeAspect="1"/>
            </wp:cNvGraphicFramePr>
            <a:graphic>
              <a:graphicData uri="http://schemas.openxmlformats.org/drawingml/2006/picture">
                <pic:pic>
                  <pic:nvPicPr>
                    <pic:cNvPr id="0" name="fig1_moat.png"/>
                    <pic:cNvPicPr/>
                  </pic:nvPicPr>
                  <pic:blipFill>
                    <a:blip r:embed="rId11"/>
                    <a:stretch>
                      <a:fillRect/>
                    </a:stretch>
                  </pic:blipFill>
                  <pic:spPr>
                    <a:xfrm>
                      <a:off x="0" y="0"/>
                      <a:ext cx="5001768" cy="2327148"/>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注：上段は三世代の名前、下段は中身。両立型・分散役を加えた合計20社で構成する。この三世代(何を買うか)を、第Ⅱ章では守・破・離の順番(どう選ぶか)で選び出す。筆者作成。</w:t>
      </w:r>
    </w:p>
    <w:p>
      <w:pPr>
        <w:spacing w:before="100" w:after="140" w:line="298" w:lineRule="auto"/>
        <w:ind w:firstLine="0" w:firstLineChars="0"/>
        <w:shd w:val="clear" w:color="auto" w:fill="F5EBD0"/>
      </w:pPr>
      <w:r>
        <w:rPr>
          <w:rFonts w:ascii="Arial" w:hAnsi="Arial" w:eastAsia="ＭＳ ゴシック"/>
          <w:b/>
          <w:color w:val="16324F"/>
          <w:sz w:val="21"/>
        </w:rPr>
        <w:t xml:space="preserve">　投資仮説　</w:t>
      </w:r>
      <w:r>
        <w:rPr>
          <w:rFonts w:ascii="Times New Roman" w:hAnsi="Times New Roman" w:eastAsia="ＭＳ 明朝"/>
          <w:b/>
          <w:color w:val="000000"/>
          <w:sz w:val="21"/>
        </w:rPr>
        <w:t>完成した堀・変わる堀・生まれる堀を証拠で選んで一つに束ねたポートフォリオは、堀の“現在”だけを測る純正バフェット型の選定を、リターンと超過の安定度(ＩＲ)で上回る。守り(値動きの穏やかさ・最大の下落)ではむしろ純正型が優ることを認める――それこそが、完成した堀を全体の四分の一だけ残す理由で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5．何をもって「バフェットを超える」とするか ― 四つの条件</w:t>
      </w:r>
    </w:p>
    <w:p>
      <w:pPr>
        <w:spacing w:after="80" w:line="281" w:lineRule="auto"/>
        <w:jc w:val="both"/>
        <w:ind w:firstLineChars="100" w:firstLine="210"/>
      </w:pPr>
      <w:r>
        <w:rPr>
          <w:rFonts w:ascii="Times New Roman" w:hAnsi="Times New Roman" w:eastAsia="ＭＳ 明朝"/>
          <w:b w:val="0"/>
          <w:color w:val="000000"/>
          <w:sz w:val="21"/>
        </w:rPr>
        <w:t>「超える」を気分で語らないために、確かめられる四つの条件で先に定義しておく。本レポートの残りは、この定義の検証である。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条件</w:t>
            </w:r>
          </w:p>
        </w:tc>
        <w:tc>
          <w:tcPr>
            <w:tcW w:type="dxa" w:w="5783"/>
            <w:shd w:val="clear" w:color="auto" w:fill="16324F"/>
          </w:tcPr>
          <w:p>
            <w:pPr>
              <w:spacing w:after="0"/>
              <w:ind w:firstLine="0" w:firstLineChars="0"/>
            </w:pPr>
            <w:r>
              <w:rPr>
                <w:rFonts w:ascii="Arial" w:hAnsi="Arial" w:eastAsia="ＭＳ ゴシック"/>
                <w:b/>
                <w:color w:val="FFFFFF"/>
                <w:sz w:val="20"/>
              </w:rPr>
              <w:t>内容</w:t>
            </w:r>
          </w:p>
        </w:tc>
        <w:tc>
          <w:tcPr>
            <w:tcW w:type="dxa" w:w="1928"/>
            <w:shd w:val="clear" w:color="auto" w:fill="16324F"/>
          </w:tcPr>
          <w:p>
            <w:pPr>
              <w:spacing w:after="0"/>
              <w:ind w:firstLine="0" w:firstLineChars="0"/>
            </w:pPr>
            <w:r>
              <w:rPr>
                <w:rFonts w:ascii="Arial" w:hAnsi="Arial" w:eastAsia="ＭＳ ゴシック"/>
                <w:b/>
                <w:color w:val="FFFFFF"/>
                <w:sz w:val="20"/>
              </w:rPr>
              <w:t>どこで確かめるか</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5783"/>
          </w:tcPr>
          <w:p>
            <w:pPr>
              <w:spacing w:after="0"/>
              <w:ind w:firstLine="0" w:firstLineChars="0"/>
              <w:jc w:val="left"/>
            </w:pPr>
            <w:r>
              <w:rPr>
                <w:rFonts w:ascii="Times New Roman" w:hAnsi="Times New Roman" w:eastAsia="ＭＳ 明朝"/>
                <w:b w:val="0"/>
                <w:color w:val="000000"/>
                <w:sz w:val="20"/>
              </w:rPr>
              <w:t>バフェットの選び方を先行研究の式だけで再現し、その方法が選ぶ5社を実際に持つ。比較相手を自分のポートフォリオの中に持ち歩く</w:t>
            </w:r>
          </w:p>
        </w:tc>
        <w:tc>
          <w:tcPr>
            <w:tcW w:type="dxa" w:w="1928"/>
          </w:tcPr>
          <w:p>
            <w:pPr>
              <w:spacing w:after="0"/>
              <w:ind w:firstLine="0" w:firstLineChars="0"/>
              <w:jc w:val="left"/>
            </w:pPr>
            <w:r>
              <w:rPr>
                <w:rFonts w:ascii="Times New Roman" w:hAnsi="Times New Roman" w:eastAsia="ＭＳ 明朝"/>
                <w:b w:val="0"/>
                <w:color w:val="000000"/>
                <w:sz w:val="20"/>
              </w:rPr>
              <w:t>第Ⅱ章「守」</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バフェットの式では選ばれない15社を、同じ厳しさの証拠で選ぶ。彼の物差しが見ない未来を、彼と同じ規律で測る</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第Ⅱ章「離」</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5783"/>
          </w:tcPr>
          <w:p>
            <w:pPr>
              <w:spacing w:after="0"/>
              <w:ind w:firstLine="0" w:firstLineChars="0"/>
              <w:jc w:val="left"/>
            </w:pPr>
            <w:r>
              <w:rPr>
                <w:rFonts w:ascii="Times New Roman" w:hAnsi="Times New Roman" w:eastAsia="ＭＳ 明朝"/>
                <w:b w:val="0"/>
                <w:color w:val="000000"/>
                <w:sz w:val="20"/>
              </w:rPr>
              <w:t>選定が一つの仕掛け・一つのテーマに依存しない。合格ライン=条件を一つ変えても20社中11社以上が維持される(候補の広さの変更は別扱い)</w:t>
            </w:r>
          </w:p>
        </w:tc>
        <w:tc>
          <w:tcPr>
            <w:tcW w:type="dxa" w:w="1928"/>
          </w:tcPr>
          <w:p>
            <w:pPr>
              <w:spacing w:after="0"/>
              <w:ind w:firstLine="0" w:firstLineChars="0"/>
              <w:jc w:val="left"/>
            </w:pPr>
            <w:r>
              <w:rPr>
                <w:rFonts w:ascii="Times New Roman" w:hAnsi="Times New Roman" w:eastAsia="ＭＳ 明朝"/>
                <w:b w:val="0"/>
                <w:color w:val="000000"/>
                <w:sz w:val="20"/>
              </w:rPr>
              <w:t>第Ⅱ章末の検査</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5783"/>
            <w:shd w:val="clear" w:color="auto" w:fill="F2F6F4"/>
          </w:tcPr>
          <w:p>
            <w:pPr>
              <w:spacing w:after="0"/>
              <w:ind w:firstLine="0" w:firstLineChars="0"/>
              <w:jc w:val="left"/>
            </w:pPr>
            <w:r>
              <w:rPr>
                <w:rFonts w:ascii="Times New Roman" w:hAnsi="Times New Roman" w:eastAsia="ＭＳ 明朝"/>
                <w:b w:val="0"/>
                <w:color w:val="000000"/>
                <w:sz w:val="20"/>
              </w:rPr>
              <w:t>対照群『純正バフェット』(守の式だけの20社)に対し、主の物差し=年率リターンと超過の安定度ＩＲで両期間とも上回る。参考=β・最大の下落(小さいほど守りが堅い)とＴＯＰＩＸ・日経は併記</w:t>
            </w:r>
          </w:p>
        </w:tc>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第Ⅲ章の検証</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図表Ⅰ-2　「超える」の定義 ― 四つの条件と検証の場所。</w:t>
      </w:r>
    </w:p>
    <w:p>
      <w:pPr>
        <w:spacing w:after="80" w:line="281" w:lineRule="auto"/>
        <w:jc w:val="both"/>
        <w:ind w:firstLineChars="100" w:firstLine="210"/>
      </w:pPr>
      <w:r>
        <w:rPr>
          <w:rFonts w:ascii="Times New Roman" w:hAnsi="Times New Roman" w:eastAsia="ＭＳ 明朝"/>
          <w:b w:val="0"/>
          <w:color w:val="000000"/>
          <w:sz w:val="21"/>
        </w:rPr>
        <w:t>言い換えれば、三世代の堀が目的地の地図(何を買うか)であり、守破離はそこへ歩く順番(どう選ぶか)である。順番には理由がある。①〜③を後から誰でも検証できる形にするため、独自色を最後(離)に置いた。独自の物差しを最後に導入するからこそ、「どこからが私たちの主張か」をいつでも遡って示せ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6．検証の順番 ― 守・破・離</w:t>
      </w:r>
    </w:p>
    <w:p>
      <w:pPr>
        <w:spacing w:after="80" w:line="281" w:lineRule="auto"/>
        <w:jc w:val="both"/>
        <w:ind w:firstLineChars="100" w:firstLine="210"/>
      </w:pPr>
      <w:r>
        <w:rPr>
          <w:rFonts w:ascii="Times New Roman" w:hAnsi="Times New Roman" w:eastAsia="ＭＳ 明朝"/>
          <w:b w:val="0"/>
          <w:color w:val="000000"/>
          <w:sz w:val="21"/>
        </w:rPr>
        <w:t>守=条件①、離=条件②、章末の16通り検査=条件③、第Ⅲ章の対照群比較=条件④に対応する(下表)。物差しは比較の前に宣言する。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907"/>
            <w:shd w:val="clear" w:color="auto" w:fill="16324F"/>
          </w:tcPr>
          <w:p>
            <w:pPr>
              <w:spacing w:after="0"/>
              <w:ind w:firstLine="0" w:firstLineChars="0"/>
            </w:pPr>
            <w:r>
              <w:rPr>
                <w:rFonts w:ascii="Arial" w:hAnsi="Arial" w:eastAsia="ＭＳ ゴシック"/>
                <w:b/>
                <w:color w:val="FFFFFF"/>
                <w:sz w:val="20"/>
              </w:rPr>
              <w:t>段階</w:t>
            </w:r>
          </w:p>
        </w:tc>
        <w:tc>
          <w:tcPr>
            <w:tcW w:type="dxa" w:w="4082"/>
            <w:shd w:val="clear" w:color="auto" w:fill="16324F"/>
          </w:tcPr>
          <w:p>
            <w:pPr>
              <w:spacing w:after="0"/>
              <w:ind w:firstLine="0" w:firstLineChars="0"/>
            </w:pPr>
            <w:r>
              <w:rPr>
                <w:rFonts w:ascii="Arial" w:hAnsi="Arial" w:eastAsia="ＭＳ ゴシック"/>
                <w:b/>
                <w:color w:val="FFFFFF"/>
                <w:sz w:val="20"/>
              </w:rPr>
              <w:t>選ぶ堀とやること</w:t>
            </w:r>
          </w:p>
        </w:tc>
        <w:tc>
          <w:tcPr>
            <w:tcW w:type="dxa" w:w="3175"/>
            <w:shd w:val="clear" w:color="auto" w:fill="16324F"/>
          </w:tcPr>
          <w:p>
            <w:pPr>
              <w:spacing w:after="0"/>
              <w:ind w:firstLine="0" w:firstLineChars="0"/>
            </w:pPr>
            <w:r>
              <w:rPr>
                <w:rFonts w:ascii="Arial" w:hAnsi="Arial" w:eastAsia="ＭＳ ゴシック"/>
                <w:b/>
                <w:color w:val="FFFFFF"/>
                <w:sz w:val="20"/>
              </w:rPr>
              <w:t>どこまでが借り物か</w:t>
            </w:r>
          </w:p>
        </w:tc>
        <w:tc>
          <w:tcPr>
            <w:tcW w:type="dxa" w:w="1474"/>
            <w:shd w:val="clear" w:color="auto" w:fill="16324F"/>
          </w:tcPr>
          <w:p>
            <w:pPr>
              <w:spacing w:after="0"/>
              <w:ind w:firstLine="0" w:firstLineChars="0"/>
            </w:pPr>
            <w:r>
              <w:rPr>
                <w:rFonts w:ascii="Arial" w:hAnsi="Arial" w:eastAsia="ＭＳ ゴシック"/>
                <w:b/>
                <w:color w:val="FFFFFF"/>
                <w:sz w:val="20"/>
              </w:rPr>
              <w:t>検証する条件</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守</w:t>
            </w:r>
          </w:p>
        </w:tc>
        <w:tc>
          <w:tcPr>
            <w:tcW w:type="dxa" w:w="4082"/>
          </w:tcPr>
          <w:p>
            <w:pPr>
              <w:spacing w:after="0"/>
              <w:ind w:firstLine="0" w:firstLineChars="0"/>
              <w:jc w:val="left"/>
            </w:pPr>
            <w:r>
              <w:rPr>
                <w:rFonts w:ascii="Times New Roman" w:hAnsi="Times New Roman" w:eastAsia="ＭＳ 明朝"/>
                <w:b w:val="0"/>
                <w:color w:val="000000"/>
                <w:sz w:val="20"/>
              </w:rPr>
              <w:t>完成した堀5社を、先行研究の式だけで選ぶ</w:t>
            </w:r>
          </w:p>
        </w:tc>
        <w:tc>
          <w:tcPr>
            <w:tcW w:type="dxa" w:w="3175"/>
          </w:tcPr>
          <w:p>
            <w:pPr>
              <w:spacing w:after="0"/>
              <w:ind w:firstLine="0" w:firstLineChars="0"/>
              <w:jc w:val="left"/>
            </w:pPr>
            <w:r>
              <w:rPr>
                <w:rFonts w:ascii="Times New Roman" w:hAnsi="Times New Roman" w:eastAsia="ＭＳ 明朝"/>
                <w:b w:val="0"/>
                <w:color w:val="000000"/>
                <w:sz w:val="20"/>
              </w:rPr>
              <w:t>式も使い方も、すべて先行研究のまま</w:t>
            </w:r>
          </w:p>
        </w:tc>
        <w:tc>
          <w:tcPr>
            <w:tcW w:type="dxa" w:w="1474"/>
          </w:tcPr>
          <w:p>
            <w:pPr>
              <w:spacing w:after="0"/>
              <w:ind w:firstLine="0" w:firstLineChars="0"/>
              <w:jc w:val="left"/>
            </w:pPr>
            <w:r>
              <w:rPr>
                <w:rFonts w:ascii="Times New Roman" w:hAnsi="Times New Roman" w:eastAsia="ＭＳ 明朝"/>
                <w:b w:val="0"/>
                <w:color w:val="000000"/>
                <w:sz w:val="20"/>
              </w:rPr>
              <w:t>条件①</w:t>
            </w:r>
          </w:p>
        </w:tc>
      </w:tr>
      <w:tr>
        <w:trPr>
          <w:cantSplit/>
        </w:trPr>
        <w:tc>
          <w:tcPr>
            <w:tcW w:type="dxa" w:w="907"/>
            <w:shd w:val="clear" w:color="auto" w:fill="F2F6F4"/>
          </w:tcPr>
          <w:p>
            <w:pPr>
              <w:spacing w:after="0"/>
              <w:ind w:firstLine="0" w:firstLineChars="0"/>
              <w:jc w:val="left"/>
            </w:pPr>
            <w:r>
              <w:rPr>
                <w:rFonts w:ascii="Times New Roman" w:hAnsi="Times New Roman" w:eastAsia="ＭＳ 明朝"/>
                <w:b w:val="0"/>
                <w:color w:val="000000"/>
                <w:sz w:val="20"/>
              </w:rPr>
              <w:t>破</w:t>
            </w:r>
          </w:p>
        </w:tc>
        <w:tc>
          <w:tcPr>
            <w:tcW w:type="dxa" w:w="4082"/>
            <w:shd w:val="clear" w:color="auto" w:fill="F2F6F4"/>
          </w:tcPr>
          <w:p>
            <w:pPr>
              <w:spacing w:after="0"/>
              <w:ind w:firstLine="0" w:firstLineChars="0"/>
              <w:jc w:val="left"/>
            </w:pPr>
            <w:r>
              <w:rPr>
                <w:rFonts w:ascii="Times New Roman" w:hAnsi="Times New Roman" w:eastAsia="ＭＳ 明朝"/>
                <w:b w:val="0"/>
                <w:color w:val="000000"/>
                <w:sz w:val="20"/>
              </w:rPr>
              <w:t>堀はまだ選ばず候補1,200社を用意する(式を変えず使い方だけ調整)</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式は借り物。使い方は私たちの判断(過程を開示)</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(離の準備)</w:t>
            </w:r>
          </w:p>
        </w:tc>
      </w:tr>
      <w:tr>
        <w:trPr>
          <w:cantSplit/>
        </w:trPr>
        <w:tc>
          <w:tcPr>
            <w:tcW w:type="dxa" w:w="907"/>
          </w:tcPr>
          <w:p>
            <w:pPr>
              <w:spacing w:after="0"/>
              <w:ind w:firstLine="0" w:firstLineChars="0"/>
              <w:jc w:val="left"/>
            </w:pPr>
            <w:r>
              <w:rPr>
                <w:rFonts w:ascii="Times New Roman" w:hAnsi="Times New Roman" w:eastAsia="ＭＳ 明朝"/>
                <w:b w:val="0"/>
                <w:color w:val="000000"/>
                <w:sz w:val="20"/>
              </w:rPr>
              <w:t>離</w:t>
            </w:r>
          </w:p>
        </w:tc>
        <w:tc>
          <w:tcPr>
            <w:tcW w:type="dxa" w:w="4082"/>
          </w:tcPr>
          <w:p>
            <w:pPr>
              <w:spacing w:after="0"/>
              <w:ind w:firstLine="0" w:firstLineChars="0"/>
              <w:jc w:val="left"/>
            </w:pPr>
            <w:r>
              <w:rPr>
                <w:rFonts w:ascii="Times New Roman" w:hAnsi="Times New Roman" w:eastAsia="ＭＳ 明朝"/>
                <w:b w:val="0"/>
                <w:color w:val="000000"/>
                <w:sz w:val="20"/>
              </w:rPr>
              <w:t>変わる・生まれる堀＋両立・分散の15社を、独自の物差しで選ぶ</w:t>
            </w:r>
          </w:p>
        </w:tc>
        <w:tc>
          <w:tcPr>
            <w:tcW w:type="dxa" w:w="3175"/>
          </w:tcPr>
          <w:p>
            <w:pPr>
              <w:spacing w:after="0"/>
              <w:ind w:firstLine="0" w:firstLineChars="0"/>
              <w:jc w:val="left"/>
            </w:pPr>
            <w:r>
              <w:rPr>
                <w:rFonts w:ascii="Times New Roman" w:hAnsi="Times New Roman" w:eastAsia="ＭＳ 明朝"/>
                <w:b w:val="0"/>
                <w:color w:val="000000"/>
                <w:sz w:val="20"/>
              </w:rPr>
              <w:t>部品は借り物。組み方が私たちの独自性</w:t>
            </w:r>
          </w:p>
        </w:tc>
        <w:tc>
          <w:tcPr>
            <w:tcW w:type="dxa" w:w="1474"/>
          </w:tcPr>
          <w:p>
            <w:pPr>
              <w:spacing w:after="0"/>
              <w:ind w:firstLine="0" w:firstLineChars="0"/>
              <w:jc w:val="left"/>
            </w:pPr>
            <w:r>
              <w:rPr>
                <w:rFonts w:ascii="Times New Roman" w:hAnsi="Times New Roman" w:eastAsia="ＭＳ 明朝"/>
                <w:b w:val="0"/>
                <w:color w:val="000000"/>
                <w:sz w:val="20"/>
              </w:rPr>
              <w:t>条件②</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図表Ⅰ-3　守・破・離の分担 ― 独自性を最後に置く。守破離は目的ではなく、四条件を検証可能にするための手段である。</w:t>
      </w:r>
    </w:p>
    <w:p>
      <w:pPr>
        <w:spacing w:after="80" w:line="281" w:lineRule="auto"/>
        <w:jc w:val="both"/>
        <w:ind w:firstLineChars="100" w:firstLine="210"/>
      </w:pPr>
      <w:r>
        <w:rPr>
          <w:rFonts w:ascii="Times New Roman" w:hAnsi="Times New Roman" w:eastAsia="ＭＳ 明朝"/>
          <w:b w:val="0"/>
          <w:color w:val="000000"/>
          <w:sz w:val="21"/>
        </w:rPr>
        <w:t>なお、本文の数字はすべて選定の過程で保存した記録(通過社数・除外理由・検査結果)から機械的に転記し、レポート自体を記録データから自動生成している。生成・検証コードと正典データ・乱数シード(探索42〜44・監査45)は提出時点で保存しており、どの数字も出どころまで遡って確かめられ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投資テーマと関連が深いＳＤＧｓの目標(3つ以内・記入)</w:t>
      </w:r>
    </w:p>
    <w:tbl>
      <w:tblPr>
        <w:tblStyle w:val="TableGrid"/>
        <w:tblW w:type="auto" w:w="0"/>
        <w:jc w:val="center"/>
        <w:tblLook w:firstColumn="1" w:firstRow="1" w:lastColumn="0" w:lastRow="0" w:noHBand="0" w:noVBand="1" w:val="04A0"/>
      </w:tblPr>
      <w:tblGrid>
        <w:gridCol w:w="4933"/>
        <w:gridCol w:w="4933"/>
      </w:tblGrid>
      <w:tr>
        <w:trPr>
          <w:cantSplit/>
        </w:trPr>
        <w:tc>
          <w:tcPr>
            <w:tcW w:type="dxa" w:w="3402"/>
            <w:shd w:val="clear" w:color="auto" w:fill="16324F"/>
          </w:tcPr>
          <w:p>
            <w:pPr>
              <w:spacing w:after="0"/>
              <w:ind w:firstLine="0" w:firstLineChars="0"/>
            </w:pPr>
            <w:r>
              <w:rPr>
                <w:rFonts w:ascii="Arial" w:hAnsi="Arial" w:eastAsia="ＭＳ ゴシック"/>
                <w:b/>
                <w:color w:val="FFFFFF"/>
                <w:sz w:val="20"/>
              </w:rPr>
              <w:t>関連の深いＳＤＧｓの目標</w:t>
            </w:r>
          </w:p>
        </w:tc>
        <w:tc>
          <w:tcPr>
            <w:tcW w:type="dxa" w:w="6236"/>
            <w:shd w:val="clear" w:color="auto" w:fill="16324F"/>
          </w:tcPr>
          <w:p>
            <w:pPr>
              <w:spacing w:after="0"/>
              <w:ind w:firstLine="0" w:firstLineChars="0"/>
            </w:pPr>
            <w:r>
              <w:rPr>
                <w:rFonts w:ascii="Arial" w:hAnsi="Arial" w:eastAsia="ＭＳ ゴシック"/>
                <w:b/>
                <w:color w:val="FFFFFF"/>
                <w:sz w:val="20"/>
              </w:rPr>
              <w:t>その主な理由(記入)</w:t>
            </w:r>
          </w:p>
        </w:tc>
      </w:tr>
      <w:tr>
        <w:trPr>
          <w:cantSplit/>
        </w:trPr>
        <w:tc>
          <w:tcPr>
            <w:tcW w:type="dxa" w:w="3402"/>
          </w:tcPr>
          <w:p>
            <w:pPr>
              <w:spacing w:after="0"/>
              <w:ind w:firstLine="0" w:firstLineChars="0"/>
              <w:jc w:val="left"/>
            </w:pPr>
            <w:r>
              <w:rPr>
                <w:rFonts w:ascii="Times New Roman" w:hAnsi="Times New Roman" w:eastAsia="ＭＳ 明朝"/>
                <w:b w:val="0"/>
                <w:color w:val="000000"/>
                <w:sz w:val="20"/>
              </w:rPr>
              <w:t>9．産業と技術革新の基盤をつくろう</w:t>
            </w:r>
          </w:p>
        </w:tc>
        <w:tc>
          <w:tcPr>
            <w:tcW w:type="dxa" w:w="6236"/>
          </w:tcPr>
          <w:p>
            <w:pPr>
              <w:spacing w:after="0"/>
              <w:ind w:firstLine="0" w:firstLineChars="0"/>
              <w:jc w:val="left"/>
            </w:pPr>
            <w:r>
              <w:rPr>
                <w:rFonts w:ascii="Times New Roman" w:hAnsi="Times New Roman" w:eastAsia="ＭＳ 明朝"/>
                <w:b w:val="0"/>
                <w:color w:val="000000"/>
                <w:sz w:val="20"/>
              </w:rPr>
              <w:t>［記入：生まれる堀=ＡＩ基盤への投資と技術革新の関係］</w:t>
            </w:r>
          </w:p>
        </w:tc>
      </w:tr>
      <w:tr>
        <w:trPr>
          <w:cantSplit/>
        </w:trPr>
        <w:tc>
          <w:tcPr>
            <w:tcW w:type="dxa" w:w="3402"/>
            <w:shd w:val="clear" w:color="auto" w:fill="F2F6F4"/>
          </w:tcPr>
          <w:p>
            <w:pPr>
              <w:spacing w:after="0"/>
              <w:ind w:firstLine="0" w:firstLineChars="0"/>
              <w:jc w:val="left"/>
            </w:pPr>
            <w:r>
              <w:rPr>
                <w:rFonts w:ascii="Times New Roman" w:hAnsi="Times New Roman" w:eastAsia="ＭＳ 明朝"/>
                <w:b w:val="0"/>
                <w:color w:val="000000"/>
                <w:sz w:val="20"/>
              </w:rPr>
              <w:t>8．働きがいも経済成長も</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［記入：変わる堀=資本効率改革と経済成長の関係］</w:t>
            </w:r>
          </w:p>
        </w:tc>
      </w:tr>
      <w:tr>
        <w:trPr>
          <w:cantSplit/>
        </w:trPr>
        <w:tc>
          <w:tcPr>
            <w:tcW w:type="dxa" w:w="3402"/>
          </w:tcPr>
          <w:p>
            <w:pPr>
              <w:spacing w:after="0"/>
              <w:ind w:firstLine="0" w:firstLineChars="0"/>
              <w:jc w:val="left"/>
            </w:pPr>
            <w:r>
              <w:rPr>
                <w:rFonts w:ascii="Times New Roman" w:hAnsi="Times New Roman" w:eastAsia="ＭＳ 明朝"/>
                <w:b w:val="0"/>
                <w:color w:val="000000"/>
                <w:sz w:val="20"/>
              </w:rPr>
              <w:t>12．つくる責任・つかう責任</w:t>
            </w:r>
          </w:p>
        </w:tc>
        <w:tc>
          <w:tcPr>
            <w:tcW w:type="dxa" w:w="6236"/>
          </w:tcPr>
          <w:p>
            <w:pPr>
              <w:spacing w:after="0"/>
              <w:ind w:firstLine="0" w:firstLineChars="0"/>
              <w:jc w:val="left"/>
            </w:pPr>
            <w:r>
              <w:rPr>
                <w:rFonts w:ascii="Times New Roman" w:hAnsi="Times New Roman" w:eastAsia="ＭＳ 明朝"/>
                <w:b w:val="0"/>
                <w:color w:val="000000"/>
                <w:sz w:val="20"/>
              </w:rPr>
              <w:t>［記入］</w:t>
            </w:r>
          </w:p>
        </w:tc>
      </w:tr>
    </w:tbl>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Ⅱ．スクリーニング ― 守・破・離</w:t>
      </w:r>
    </w:p>
    <w:p>
      <w:pPr>
        <w:spacing w:after="80" w:line="281" w:lineRule="auto"/>
        <w:jc w:val="both"/>
        <w:ind w:firstLineChars="100" w:firstLine="210"/>
      </w:pPr>
      <w:r>
        <w:rPr>
          <w:rFonts w:ascii="Times New Roman" w:hAnsi="Times New Roman" w:eastAsia="ＭＳ 明朝"/>
          <w:b w:val="0"/>
          <w:color w:val="000000"/>
          <w:sz w:val="21"/>
        </w:rPr>
        <w:t>前章では「超える」を四つの条件で定義し、検証の順番として守破離を置いた。本章が選定の中核である。3,099社の非金融普通株から、三段階のスクリーニングで最終20社を選ぶ。各段階では、何を見たか(観点)、何で測ったか(データと式)、どこで区切ったか(合格ライン)、何社が残ったか(結果)を必ず示す。データの基準は、価格が2023年4月25日〜2026年6月1日の日次、財務・開示がＥＤＩＮＥＴ提出書類(2026年7月8日取得。各社は取得日時点の直近有価証券報告書で、決算期の違いにより最大12カ月の鮮度差がある)である。</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第１スクリーニング　</w:t>
      </w:r>
      <w:r>
        <w:rPr>
          <w:rFonts w:ascii="Arial" w:hAnsi="Arial" w:eastAsia="ＭＳ ゴシック"/>
          <w:b/>
          <w:color w:val="16324F"/>
          <w:sz w:val="23"/>
        </w:rPr>
        <w:t xml:space="preserve">　守 ― バフェットの規律を式だけで再現する(→完成した堀5社)</w:t>
      </w:r>
    </w:p>
    <w:p>
      <w:pPr>
        <w:spacing w:after="80" w:line="281" w:lineRule="auto"/>
        <w:jc w:val="both"/>
        <w:ind w:firstLineChars="100" w:firstLine="210"/>
      </w:pPr>
      <w:r>
        <w:rPr>
          <w:rFonts w:ascii="Times New Roman" w:hAnsi="Times New Roman" w:eastAsia="ＭＳ 明朝"/>
          <w:b w:val="0"/>
          <w:color w:val="000000"/>
          <w:sz w:val="21"/>
        </w:rPr>
        <w:t>守では、バフェットの規律「良い会社を、高すぎない価格で買い、長期保有に耐えない企業を避ける」を、先行研究の式だけで再現する。独自の重み付けは使わず、七つの関門を一つずつ通す。</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1814"/>
            <w:shd w:val="clear" w:color="auto" w:fill="16324F"/>
          </w:tcPr>
          <w:p>
            <w:pPr>
              <w:spacing w:after="0"/>
              <w:ind w:firstLine="0" w:firstLineChars="0"/>
            </w:pPr>
            <w:r>
              <w:rPr>
                <w:rFonts w:ascii="Arial" w:hAnsi="Arial" w:eastAsia="ＭＳ ゴシック"/>
                <w:b/>
                <w:color w:val="FFFFFF"/>
                <w:sz w:val="20"/>
              </w:rPr>
              <w:t>観点</w:t>
            </w:r>
          </w:p>
        </w:tc>
        <w:tc>
          <w:tcPr>
            <w:tcW w:type="dxa" w:w="2948"/>
            <w:shd w:val="clear" w:color="auto" w:fill="16324F"/>
          </w:tcPr>
          <w:p>
            <w:pPr>
              <w:spacing w:after="0"/>
              <w:ind w:firstLine="0" w:firstLineChars="0"/>
            </w:pPr>
            <w:r>
              <w:rPr>
                <w:rFonts w:ascii="Arial" w:hAnsi="Arial" w:eastAsia="ＭＳ ゴシック"/>
                <w:b/>
                <w:color w:val="FFFFFF"/>
                <w:sz w:val="20"/>
              </w:rPr>
              <w:t>使うデータ・式</w:t>
            </w:r>
          </w:p>
        </w:tc>
        <w:tc>
          <w:tcPr>
            <w:tcW w:type="dxa" w:w="2154"/>
            <w:shd w:val="clear" w:color="auto" w:fill="16324F"/>
          </w:tcPr>
          <w:p>
            <w:pPr>
              <w:spacing w:after="0"/>
              <w:ind w:firstLine="0" w:firstLineChars="0"/>
            </w:pPr>
            <w:r>
              <w:rPr>
                <w:rFonts w:ascii="Arial" w:hAnsi="Arial" w:eastAsia="ＭＳ ゴシック"/>
                <w:b/>
                <w:color w:val="FFFFFF"/>
                <w:sz w:val="20"/>
              </w:rPr>
              <w:t>合格ライン</w:t>
            </w:r>
          </w:p>
        </w:tc>
        <w:tc>
          <w:tcPr>
            <w:tcW w:type="dxa" w:w="2721"/>
            <w:shd w:val="clear" w:color="auto" w:fill="16324F"/>
          </w:tcPr>
          <w:p>
            <w:pPr>
              <w:spacing w:after="0"/>
              <w:ind w:firstLine="0" w:firstLineChars="0"/>
            </w:pPr>
            <w:r>
              <w:rPr>
                <w:rFonts w:ascii="Arial" w:hAnsi="Arial" w:eastAsia="ＭＳ ゴシック"/>
                <w:b/>
                <w:color w:val="FFFFFF"/>
                <w:sz w:val="20"/>
              </w:rPr>
              <w:t>残った社数</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割安か(純資産)</w:t>
            </w:r>
          </w:p>
        </w:tc>
        <w:tc>
          <w:tcPr>
            <w:tcW w:type="dxa" w:w="2948"/>
          </w:tcPr>
          <w:p>
            <w:pPr>
              <w:spacing w:after="0"/>
              <w:ind w:firstLine="0" w:firstLineChars="0"/>
              <w:jc w:val="left"/>
            </w:pPr>
            <w:r>
              <w:rPr>
                <w:rFonts w:ascii="Times New Roman" w:hAnsi="Times New Roman" w:eastAsia="ＭＳ 明朝"/>
                <w:b w:val="0"/>
                <w:color w:val="000000"/>
                <w:sz w:val="20"/>
              </w:rPr>
              <w:t>Ｂ／Ｍ＝純資産÷時価総額(式1)</w:t>
            </w:r>
          </w:p>
        </w:tc>
        <w:tc>
          <w:tcPr>
            <w:tcW w:type="dxa" w:w="2154"/>
          </w:tcPr>
          <w:p>
            <w:pPr>
              <w:spacing w:after="0"/>
              <w:ind w:firstLine="0" w:firstLineChars="0"/>
              <w:jc w:val="left"/>
            </w:pPr>
            <w:r>
              <w:rPr>
                <w:rFonts w:ascii="Times New Roman" w:hAnsi="Times New Roman" w:eastAsia="ＭＳ 明朝"/>
                <w:b w:val="0"/>
                <w:color w:val="000000"/>
                <w:sz w:val="20"/>
              </w:rPr>
              <w:t>市場の上位30％</w:t>
            </w:r>
          </w:p>
        </w:tc>
        <w:tc>
          <w:tcPr>
            <w:tcW w:type="dxa" w:w="2721"/>
          </w:tcPr>
          <w:p>
            <w:pPr>
              <w:spacing w:after="0"/>
              <w:ind w:firstLine="0" w:firstLineChars="0"/>
              <w:jc w:val="left"/>
            </w:pPr>
            <w:r>
              <w:rPr>
                <w:rFonts w:ascii="Times New Roman" w:hAnsi="Times New Roman" w:eastAsia="ＭＳ 明朝"/>
                <w:b w:val="0"/>
                <w:color w:val="000000"/>
                <w:sz w:val="20"/>
              </w:rPr>
              <w:t>3,099→2,740社(算出可能)</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割安か(利益)</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Ｅ／Ｐ＝純利益÷時価総額(式2)</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→583社(割安2関門を通過)</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収益力は本物か</w:t>
            </w:r>
          </w:p>
        </w:tc>
        <w:tc>
          <w:tcPr>
            <w:tcW w:type="dxa" w:w="2948"/>
          </w:tcPr>
          <w:p>
            <w:pPr>
              <w:spacing w:after="0"/>
              <w:ind w:firstLine="0" w:firstLineChars="0"/>
              <w:jc w:val="left"/>
            </w:pPr>
            <w:r>
              <w:rPr>
                <w:rFonts w:ascii="Times New Roman" w:hAnsi="Times New Roman" w:eastAsia="ＭＳ 明朝"/>
                <w:b w:val="0"/>
                <w:color w:val="000000"/>
                <w:sz w:val="20"/>
              </w:rPr>
              <w:t>粗利÷総資産(式3)</w:t>
            </w:r>
          </w:p>
        </w:tc>
        <w:tc>
          <w:tcPr>
            <w:tcW w:type="dxa" w:w="2154"/>
          </w:tcPr>
          <w:p>
            <w:pPr>
              <w:spacing w:after="0"/>
              <w:ind w:firstLine="0" w:firstLineChars="0"/>
              <w:jc w:val="left"/>
            </w:pPr>
            <w:r>
              <w:rPr>
                <w:rFonts w:ascii="Times New Roman" w:hAnsi="Times New Roman" w:eastAsia="ＭＳ 明朝"/>
                <w:b w:val="0"/>
                <w:color w:val="000000"/>
                <w:sz w:val="20"/>
              </w:rPr>
              <w:t>市場の中央値以上</w:t>
            </w:r>
          </w:p>
        </w:tc>
        <w:tc>
          <w:tcPr>
            <w:tcW w:type="dxa" w:w="2721"/>
          </w:tcPr>
          <w:p>
            <w:pPr>
              <w:spacing w:after="0"/>
              <w:ind w:firstLine="0" w:firstLineChars="0"/>
              <w:jc w:val="left"/>
            </w:pPr>
            <w:r>
              <w:rPr>
                <w:rFonts w:ascii="Times New Roman" w:hAnsi="Times New Roman" w:eastAsia="ＭＳ 明朝"/>
                <w:b w:val="0"/>
                <w:color w:val="000000"/>
                <w:sz w:val="20"/>
              </w:rPr>
              <w:t>→146社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財務は健全か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6項目チェックの合格割合(式4)</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→112社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利益は本物か</w:t>
            </w:r>
          </w:p>
        </w:tc>
        <w:tc>
          <w:tcPr>
            <w:tcW w:type="dxa" w:w="2948"/>
          </w:tcPr>
          <w:p>
            <w:pPr>
              <w:spacing w:after="0"/>
              <w:ind w:firstLine="0" w:firstLineChars="0"/>
              <w:jc w:val="left"/>
            </w:pPr>
            <w:r>
              <w:rPr>
                <w:rFonts w:ascii="Times New Roman" w:hAnsi="Times New Roman" w:eastAsia="ＭＳ 明朝"/>
                <w:b w:val="0"/>
                <w:color w:val="000000"/>
                <w:sz w:val="20"/>
              </w:rPr>
              <w:t>利益と現金の差(式5)</w:t>
            </w:r>
          </w:p>
        </w:tc>
        <w:tc>
          <w:tcPr>
            <w:tcW w:type="dxa" w:w="2154"/>
          </w:tcPr>
          <w:p>
            <w:pPr>
              <w:spacing w:after="0"/>
              <w:ind w:firstLine="0" w:firstLineChars="0"/>
              <w:jc w:val="left"/>
            </w:pPr>
            <w:r>
              <w:rPr>
                <w:rFonts w:ascii="Times New Roman" w:hAnsi="Times New Roman" w:eastAsia="ＭＳ 明朝"/>
                <w:b w:val="0"/>
                <w:color w:val="000000"/>
                <w:sz w:val="20"/>
              </w:rPr>
              <w:t>悪い側の上位30％を除外</w:t>
            </w:r>
          </w:p>
        </w:tc>
        <w:tc>
          <w:tcPr>
            <w:tcW w:type="dxa" w:w="2721"/>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shd w:val="clear" w:color="auto" w:fill="F2F6F4"/>
          </w:tcPr>
          <w:p>
            <w:pPr>
              <w:spacing w:after="0"/>
              <w:ind w:firstLine="0" w:firstLineChars="0"/>
              <w:jc w:val="left"/>
            </w:pPr>
            <w:r>
              <w:rPr>
                <w:rFonts w:ascii="Times New Roman" w:hAnsi="Times New Roman" w:eastAsia="ＭＳ 明朝"/>
                <w:b w:val="0"/>
                <w:color w:val="000000"/>
                <w:sz w:val="20"/>
              </w:rPr>
              <w:t>危険はないか</w:t>
            </w:r>
          </w:p>
        </w:tc>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債務超過・2期連続赤字(式6)</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該当ゼロ(除外0社)</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→90社</w:t>
            </w:r>
          </w:p>
        </w:tc>
      </w:tr>
      <w:tr>
        <w:trPr>
          <w:cantSplit/>
        </w:trPr>
        <w:tc>
          <w:tcPr>
            <w:tcW w:type="dxa" w:w="1814"/>
          </w:tcPr>
          <w:p>
            <w:pPr>
              <w:spacing w:after="0"/>
              <w:ind w:firstLine="0" w:firstLineChars="0"/>
              <w:jc w:val="left"/>
            </w:pPr>
            <w:r>
              <w:rPr>
                <w:rFonts w:ascii="Times New Roman" w:hAnsi="Times New Roman" w:eastAsia="ＭＳ 明朝"/>
                <w:b w:val="0"/>
                <w:color w:val="000000"/>
                <w:sz w:val="20"/>
              </w:rPr>
              <w:t>実際に買えるか</w:t>
            </w:r>
          </w:p>
        </w:tc>
        <w:tc>
          <w:tcPr>
            <w:tcW w:type="dxa" w:w="2948"/>
          </w:tcPr>
          <w:p>
            <w:pPr>
              <w:spacing w:after="0"/>
              <w:ind w:firstLine="0" w:firstLineChars="0"/>
              <w:jc w:val="left"/>
            </w:pPr>
            <w:r>
              <w:rPr>
                <w:rFonts w:ascii="Times New Roman" w:hAnsi="Times New Roman" w:eastAsia="ＭＳ 明朝"/>
                <w:b w:val="0"/>
                <w:color w:val="000000"/>
                <w:sz w:val="20"/>
              </w:rPr>
              <w:t>60日平均の売買代金(式7)</w:t>
            </w:r>
          </w:p>
        </w:tc>
        <w:tc>
          <w:tcPr>
            <w:tcW w:type="dxa" w:w="2154"/>
          </w:tcPr>
          <w:p>
            <w:pPr>
              <w:spacing w:after="0"/>
              <w:ind w:firstLine="0" w:firstLineChars="0"/>
              <w:jc w:val="left"/>
            </w:pPr>
            <w:r>
              <w:rPr>
                <w:rFonts w:ascii="Times New Roman" w:hAnsi="Times New Roman" w:eastAsia="ＭＳ 明朝"/>
                <w:b w:val="0"/>
                <w:color w:val="000000"/>
                <w:sz w:val="20"/>
              </w:rPr>
              <w:t>基準1,000万円(300万〜1,000万は要確認で通過)</w:t>
            </w:r>
          </w:p>
        </w:tc>
        <w:tc>
          <w:tcPr>
            <w:tcW w:type="dxa" w:w="2721"/>
          </w:tcPr>
          <w:p>
            <w:pPr>
              <w:spacing w:after="0"/>
              <w:ind w:firstLine="0" w:firstLineChars="0"/>
              <w:jc w:val="left"/>
            </w:pPr>
            <w:r>
              <w:rPr>
                <w:rFonts w:ascii="Times New Roman" w:hAnsi="Times New Roman" w:eastAsia="ＭＳ 明朝"/>
                <w:b w:val="0"/>
                <w:color w:val="000000"/>
                <w:sz w:val="20"/>
              </w:rPr>
              <w:t>→77社</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図表Ⅱ-1　守の七関門(判定基準)。出所：第1段階の正典データ。</w:t>
      </w:r>
    </w:p>
    <w:p>
      <w:pPr>
        <w:spacing w:after="80" w:line="281" w:lineRule="auto"/>
        <w:jc w:val="both"/>
        <w:ind w:firstLineChars="100" w:firstLine="210"/>
      </w:pPr>
      <w:r>
        <w:rPr>
          <w:rFonts w:ascii="Times New Roman" w:hAnsi="Times New Roman" w:eastAsia="ＭＳ 明朝"/>
          <w:b w:val="0"/>
          <w:color w:val="000000"/>
          <w:sz w:val="21"/>
        </w:rPr>
        <w:t>七つの関門を、式そのものから一つずつ見ていく。どの式も先行研究のまま使い、私たちの独自の重みは一切加えない。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関門1　会社の持ち物に対して安いか ― Ｂ／Ｍ</w:t>
      </w:r>
    </w:p>
    <w:p>
      <w:pPr>
        <w:spacing w:after="40" w:line="281" w:lineRule="auto"/>
        <w:jc w:val="both"/>
        <w:ind w:firstLineChars="100" w:firstLine="210"/>
      </w:pPr>
      <w:r>
        <w:rPr>
          <w:rFonts w:ascii="Times New Roman" w:hAnsi="Times New Roman" w:eastAsia="ＭＳ 明朝"/>
          <w:b w:val="0"/>
          <w:color w:val="000000"/>
          <w:sz w:val="21"/>
        </w:rPr>
        <w:t>純資産(会社の持ち物から借金を引いた正味の財産)と株価を比べる。安く買うことは、見立て違いへの保険になる(Fama and French, 1993)。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式（1）Ｂ／Ｍ ― 純資産に対して安いか(Fama and French, 1993)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B</m:t>
                    </m:r>
                    <m:r>
                      <m:rPr>
                        <m:sty m:val="p"/>
                      </m:rPr>
                      <m:t>M</m:t>
                    </m:r>
                  </m:e>
                  <m:sub>
                    <m:r>
                      <m:t>i</m:t>
                    </m:r>
                  </m:sub>
                </m:sSub>
                <m:r>
                  <m:rPr>
                    <m:sty m:val="p"/>
                  </m:rPr>
                  <m:t>=</m:t>
                </m:r>
                <m:f>
                  <m:fPr>
                    <m:type m:val="bar"/>
                  </m:fPr>
                  <m:num>
                    <m:sSub>
                      <m:e>
                        <m:r>
                          <m:rPr>
                            <m:sty m:val="p"/>
                          </m:rPr>
                          <m:t>B</m:t>
                        </m:r>
                        <m:r>
                          <m:rPr>
                            <m:sty m:val="p"/>
                          </m:rPr>
                          <m:t>E</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ＢＥ＝自己資本(純資産)　ＭＥ＝時価総額(株価×株式数)。大きいほど、会社の持ち物のわりに株価が安い。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よって、Ｂ／Ｍが市場の上位30％に入る企業を「純資産に対して割安」と評価する。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関門2　稼ぐ力に対して安いか ― Ｅ／Ｐ</w:t>
      </w:r>
    </w:p>
    <w:p>
      <w:pPr>
        <w:spacing w:after="40" w:line="281" w:lineRule="auto"/>
        <w:jc w:val="both"/>
        <w:ind w:firstLineChars="100" w:firstLine="210"/>
      </w:pPr>
      <w:r>
        <w:rPr>
          <w:rFonts w:ascii="Times New Roman" w:hAnsi="Times New Roman" w:eastAsia="ＭＳ 明朝"/>
          <w:b w:val="0"/>
          <w:color w:val="000000"/>
          <w:sz w:val="21"/>
        </w:rPr>
        <w:t>純資産だけで測ると「資産はあるが稼げない会社」を拾ってしまう。そこで利益の面からも安さを測る(Basu, 1977)。</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式（2）Ｅ／Ｐ ― 利益に対して安いか(Basu, 1977)</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P</m:t>
                    </m:r>
                  </m:e>
                  <m:sub>
                    <m:r>
                      <m:t>i</m:t>
                    </m:r>
                  </m:sub>
                </m:sSub>
                <m:r>
                  <m:rPr>
                    <m:sty m:val="p"/>
                  </m:rPr>
                  <m:t>=</m:t>
                </m:r>
                <m:f>
                  <m:fPr>
                    <m:type m:val="bar"/>
                  </m:fPr>
                  <m:num>
                    <m:sSub>
                      <m:e>
                        <m:r>
                          <m:rPr>
                            <m:sty m:val="p"/>
                          </m:rPr>
                          <m:t>N</m:t>
                        </m:r>
                        <m:r>
                          <m:rPr>
                            <m:sty m:val="p"/>
                          </m:rPr>
                          <m:t>I</m:t>
                        </m:r>
                      </m:e>
                      <m:sub>
                        <m:r>
                          <m:t>i</m:t>
                        </m:r>
                      </m:sub>
                    </m:sSub>
                  </m:num>
                  <m:den>
                    <m:sSub>
                      <m:e>
                        <m:r>
                          <m:rPr>
                            <m:sty m:val="p"/>
                          </m:rPr>
                          <m:t>M</m:t>
                        </m:r>
                        <m:r>
                          <m:rPr>
                            <m:sty m:val="p"/>
                          </m:rPr>
                          <m:t>E</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ＮＩ＝純利益(最終的に残る会計上の利益)　ＭＥ＝時価総額。大きいほど、稼ぐ力のわりに株価が安い。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よって、黒字かつＥ／Ｐが市場の上位50％に入る企業を「稼ぐ力に対しても割安」と評価する。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関門3　収益力は本物か ― 粗利÷総資産</w:t>
      </w:r>
    </w:p>
    <w:p>
      <w:pPr>
        <w:spacing w:after="40" w:line="281" w:lineRule="auto"/>
        <w:jc w:val="both"/>
        <w:ind w:firstLineChars="100" w:firstLine="210"/>
      </w:pPr>
      <w:r>
        <w:rPr>
          <w:rFonts w:ascii="Times New Roman" w:hAnsi="Times New Roman" w:eastAsia="ＭＳ 明朝"/>
          <w:b w:val="0"/>
          <w:color w:val="000000"/>
          <w:sz w:val="21"/>
        </w:rPr>
        <w:t>売上総利益(売上から原価を引いた粗利)は、会計操作の余地が小さく、資産を利益に変える力を素直に映す(Novy-Marx, 2013)。</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式（3）収益力 ― 資産を粗利に変える力(Novy-Marx, 2013)</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G</m:t>
                    </m:r>
                    <m:r>
                      <m:rPr>
                        <m:sty m:val="p"/>
                      </m:rPr>
                      <m:t>P</m:t>
                    </m:r>
                  </m:e>
                  <m:sub>
                    <m:r>
                      <m:t>i</m:t>
                    </m:r>
                  </m:sub>
                </m:sSub>
                <m:r>
                  <m:rPr>
                    <m:sty m:val="p"/>
                  </m:rPr>
                  <m:t>=</m:t>
                </m:r>
                <m:f>
                  <m:fPr>
                    <m:type m:val="bar"/>
                  </m:fPr>
                  <m:num>
                    <m:sSub>
                      <m:e>
                        <m:r>
                          <m:rPr>
                            <m:sty m:val="p"/>
                          </m:rPr>
                          <m:t>R</m:t>
                        </m:r>
                        <m:r>
                          <m:rPr>
                            <m:sty m:val="p"/>
                          </m:rPr>
                          <m:t>e</m:t>
                        </m:r>
                        <m:r>
                          <m:rPr>
                            <m:sty m:val="p"/>
                          </m:rPr>
                          <m:t>v</m:t>
                        </m:r>
                        <m:r>
                          <m:rPr>
                            <m:sty m:val="p"/>
                          </m:rPr>
                          <m:t>e</m:t>
                        </m:r>
                        <m:r>
                          <m:rPr>
                            <m:sty m:val="p"/>
                          </m:rPr>
                          <m:t>n</m:t>
                        </m:r>
                        <m:r>
                          <m:rPr>
                            <m:sty m:val="p"/>
                          </m:rPr>
                          <m:t>u</m:t>
                        </m:r>
                        <m:r>
                          <m:rPr>
                            <m:sty m:val="p"/>
                          </m:rPr>
                          <m:t>e</m:t>
                        </m:r>
                      </m:e>
                      <m:sub>
                        <m:r>
                          <m:t>i</m:t>
                        </m:r>
                      </m:sub>
                    </m:sSub>
                    <m:r>
                      <m:rPr>
                        <m:sty m:val="p"/>
                      </m:rPr>
                      <m:t>−</m:t>
                    </m:r>
                    <m:sSub>
                      <m:e>
                        <m:r>
                          <m:rPr>
                            <m:sty m:val="p"/>
                          </m:rPr>
                          <m:t>C</m:t>
                        </m:r>
                        <m:r>
                          <m:rPr>
                            <m:sty m:val="p"/>
                          </m:rPr>
                          <m:t>O</m:t>
                        </m:r>
                        <m:r>
                          <m:rPr>
                            <m:sty m:val="p"/>
                          </m:rPr>
                          <m:t>G</m:t>
                        </m:r>
                        <m:r>
                          <m:rPr>
                            <m:sty m:val="p"/>
                          </m:rPr>
                          <m:t>S</m:t>
                        </m:r>
                      </m:e>
                      <m:sub>
                        <m:r>
                          <m:t>i</m:t>
                        </m:r>
                      </m:sub>
                    </m:sSub>
                  </m:num>
                  <m:den>
                    <m:sSub>
                      <m:e>
                        <m:r>
                          <m:rPr>
                            <m:sty m:val="p"/>
                          </m:rPr>
                          <m:t>T</m:t>
                        </m:r>
                        <m:r>
                          <m:rPr>
                            <m:sty m:val="p"/>
                          </m:rPr>
                          <m:t>o</m:t>
                        </m:r>
                        <m:r>
                          <m:rPr>
                            <m:sty m:val="p"/>
                          </m:rPr>
                          <m:t>t</m:t>
                        </m:r>
                        <m:r>
                          <m:rPr>
                            <m:sty m:val="p"/>
                          </m:rPr>
                          <m:t>a</m:t>
                        </m:r>
                        <m:r>
                          <m:rPr>
                            <m:sty m:val="p"/>
                          </m:rPr>
                          <m:t>l</m:t>
                        </m:r>
                        <m:r>
                          <m:rPr>
                            <m:sty m:val="p"/>
                          </m:rPr>
                          <m:t>A</m:t>
                        </m:r>
                        <m:r>
                          <m:rPr>
                            <m:sty m:val="p"/>
                          </m:rPr>
                          <m:t>s</m:t>
                        </m:r>
                        <m:r>
                          <m:rPr>
                            <m:sty m:val="p"/>
                          </m:rPr>
                          <m:t>s</m:t>
                        </m:r>
                        <m:r>
                          <m:rPr>
                            <m:sty m:val="p"/>
                          </m:rPr>
                          <m:t>e</m:t>
                        </m:r>
                        <m:r>
                          <m:rPr>
                            <m:sty m:val="p"/>
                          </m:rPr>
                          <m:t>t</m:t>
                        </m:r>
                        <m:r>
                          <m:rPr>
                            <m:sty m:val="p"/>
                          </m:rPr>
                          <m:t>s</m:t>
                        </m:r>
                      </m:e>
                      <m:sub>
                        <m:r>
                          <m:t>i</m:t>
                        </m:r>
                      </m:sub>
                    </m:sSub>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Revenue＝売上高　COGS＝売上原価　TotalAssets＝総資産。大きいほど資産効率の高い優良企業。</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よって、粗利÷総資産が市場の中央値以上の企業を「収益力が本物」と評価する。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関門4　財務は健全か ― 6項目チェック</w:t>
      </w:r>
    </w:p>
    <w:p>
      <w:pPr>
        <w:spacing w:after="40" w:line="281" w:lineRule="auto"/>
        <w:jc w:val="both"/>
        <w:ind w:firstLineChars="100" w:firstLine="210"/>
      </w:pPr>
      <w:r>
        <w:rPr>
          <w:rFonts w:ascii="Times New Roman" w:hAnsi="Times New Roman" w:eastAsia="ＭＳ 明朝"/>
          <w:b w:val="0"/>
          <w:color w:val="000000"/>
          <w:sz w:val="21"/>
        </w:rPr>
        <w:t>財務の健康を、良い/悪いの二択で数えるチェックリスト(Piotroski, 2000)。原式は9項目だが、粗利率の改善・短期支払能力の改善・増資の有無の3項目は取得できるデータに無かったため、実装できた6項目の合格割合で判定し、その旨を監査記録した(勝手に完全版とは呼ば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式（4）6項目チェック ― 財務の健全さの合格割合(Piotroski, 2000)</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sub>
                </m:sSub>
                <m:r>
                  <m:rPr>
                    <m:sty m:val="p"/>
                  </m:rPr>
                  <m:t>=</m:t>
                </m:r>
                <m:f>
                  <m:fPr>
                    <m:type m:val="bar"/>
                  </m:fPr>
                  <m:num>
                    <m:r>
                      <m:t>1</m:t>
                    </m:r>
                  </m:num>
                  <m:den>
                    <m:r>
                      <m:t>6</m:t>
                    </m:r>
                  </m:den>
                </m:f>
                <m:nary>
                  <m:naryPr>
                    <m:chr m:val="∑"/>
                    <m:limLoc m:val="undOvr"/>
                    <m:subHide m:val="off"/>
                    <m:supHide m:val="off"/>
                  </m:naryPr>
                  <m:sub>
                    <m:r>
                      <m:t>k</m:t>
                    </m:r>
                    <m:r>
                      <m:rPr>
                        <m:sty m:val="p"/>
                      </m:rPr>
                      <m:t>=</m:t>
                    </m:r>
                    <m:r>
                      <m:t>1</m:t>
                    </m:r>
                  </m:sub>
                  <m:sup>
                    <m:r>
                      <m:t>6</m:t>
                    </m:r>
                  </m:sup>
                  <m:e>
                    <m:sSub>
                      <m:e>
                        <m:r>
                          <m:rPr>
                            <m:sty m:val="b"/>
                          </m:rPr>
                          <m:t>1</m:t>
                        </m:r>
                      </m:e>
                      <m:sub>
                        <m:r>
                          <m:t>k</m:t>
                        </m:r>
                      </m:sub>
                    </m:sSub>
                  </m:e>
                </m:nary>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各項目を満たせば1、満たさなければ0と数え、合格割合を出す。6項目＝①総資産利益率(ＲＯＡ)がプラス ②本業の現金収入がプラス ③ＲＯＡが前年より改善 ④利益に現金の裏づけがある(現金収入÷総資産＞ＲＯＡ) ⑤資産回転率が改善 ⑥借入依存度が低下。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よって、6項目の合格割合が0.65以上(6項目では実質4項目以上＝4/6≒0.67)の企業を「財務が健全」と評価する。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関門5　利益は本物か ― 利益と現金の差</w:t>
      </w:r>
    </w:p>
    <w:p>
      <w:pPr>
        <w:spacing w:after="40" w:line="281" w:lineRule="auto"/>
        <w:jc w:val="both"/>
        <w:ind w:firstLineChars="100" w:firstLine="210"/>
      </w:pPr>
      <w:r>
        <w:rPr>
          <w:rFonts w:ascii="Times New Roman" w:hAnsi="Times New Roman" w:eastAsia="ＭＳ 明朝"/>
          <w:b w:val="0"/>
          <w:color w:val="000000"/>
          <w:sz w:val="21"/>
        </w:rPr>
        <w:t>帳簿の利益と、実際に入った現金の差が大きい会社は、後で利益が失速しやすい(Sloan, 1996)。</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式（5）利益と現金の差 ― 利益の質(Sloan, 1996)</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A</m:t>
                    </m:r>
                    <m:r>
                      <m:rPr>
                        <m:sty m:val="p"/>
                      </m:rPr>
                      <m:t>c</m:t>
                    </m:r>
                    <m:r>
                      <m:rPr>
                        <m:sty m:val="p"/>
                      </m:rPr>
                      <m:t>c</m:t>
                    </m:r>
                  </m:e>
                  <m:sub>
                    <m:r>
                      <m:t>i</m:t>
                    </m:r>
                  </m:sub>
                </m:sSub>
                <m:r>
                  <m:rPr>
                    <m:sty m:val="p"/>
                  </m:rPr>
                  <m:t>=</m:t>
                </m:r>
                <m:f>
                  <m:fPr>
                    <m:type m:val="bar"/>
                  </m:fPr>
                  <m:num>
                    <m:sSub>
                      <m:e>
                        <m:r>
                          <m:rPr>
                            <m:sty m:val="p"/>
                          </m:rPr>
                          <m:t>N</m:t>
                        </m:r>
                        <m:r>
                          <m:rPr>
                            <m:sty m:val="p"/>
                          </m:rPr>
                          <m:t>I</m:t>
                        </m:r>
                      </m:e>
                      <m:sub>
                        <m:r>
                          <m:t>i</m:t>
                        </m:r>
                      </m:sub>
                    </m:sSub>
                    <m:r>
                      <m:rPr>
                        <m:sty m:val="p"/>
                      </m:rPr>
                      <m:t>−</m:t>
                    </m:r>
                    <m:sSub>
                      <m:e>
                        <m:r>
                          <m:rPr>
                            <m:sty m:val="p"/>
                          </m:rPr>
                          <m:t>C</m:t>
                        </m:r>
                        <m:r>
                          <m:rPr>
                            <m:sty m:val="p"/>
                          </m:rPr>
                          <m:t>F</m:t>
                        </m:r>
                        <m:r>
                          <m:rPr>
                            <m:sty m:val="p"/>
                          </m:rPr>
                          <m:t>O</m:t>
                        </m:r>
                      </m:e>
                      <m:sub>
                        <m:r>
                          <m:t>i</m:t>
                        </m:r>
                      </m:sub>
                    </m:sSub>
                  </m:num>
                  <m:den>
                    <m:r>
                      <m:rPr>
                        <m:sty m:val="p"/>
                      </m:rPr>
                      <m:t>(</m:t>
                    </m:r>
                    <m:sSub>
                      <m:e>
                        <m:r>
                          <m:rPr>
                            <m:sty m:val="p"/>
                          </m:rPr>
                          <m:t>T</m:t>
                        </m:r>
                        <m:r>
                          <m:rPr>
                            <m:sty m:val="p"/>
                          </m:rPr>
                          <m:t>A</m:t>
                        </m:r>
                      </m:e>
                      <m:sub>
                        <m:r>
                          <m:t>i</m:t>
                        </m:r>
                        <m:r>
                          <m:rPr>
                            <m:sty m:val="p"/>
                          </m:rPr>
                          <m:t>,</m:t>
                        </m:r>
                        <m:r>
                          <m:t>t</m:t>
                        </m:r>
                      </m:sub>
                    </m:sSub>
                    <m:r>
                      <m:rPr>
                        <m:sty m:val="p"/>
                      </m:rPr>
                      <m:t>+</m:t>
                    </m:r>
                    <m:sSub>
                      <m:e>
                        <m:r>
                          <m:rPr>
                            <m:sty m:val="p"/>
                          </m:rPr>
                          <m:t>T</m:t>
                        </m:r>
                        <m:r>
                          <m:rPr>
                            <m:sty m:val="p"/>
                          </m:rPr>
                          <m:t>A</m:t>
                        </m:r>
                      </m:e>
                      <m:sub>
                        <m:r>
                          <m:t>i</m:t>
                        </m:r>
                        <m:r>
                          <m:rPr>
                            <m:sty m:val="p"/>
                          </m:rPr>
                          <m:t>,</m:t>
                        </m:r>
                        <m:r>
                          <m:t>t</m:t>
                        </m:r>
                        <m:r>
                          <m:rPr>
                            <m:sty m:val="p"/>
                          </m:rPr>
                          <m:t>−</m:t>
                        </m:r>
                        <m:r>
                          <m:t>1</m:t>
                        </m:r>
                      </m:sub>
                    </m:sSub>
                    <m:r>
                      <m:rPr>
                        <m:sty m:val="p"/>
                      </m:rPr>
                      <m:t>)</m:t>
                    </m:r>
                    <m:r>
                      <m:rPr>
                        <m:sty m:val="p"/>
                      </m:rPr>
                      <m:t>/</m:t>
                    </m:r>
                    <m:r>
                      <m:t>2</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ＮＩ＝純利益　ＣＦＯ＝営業キャッシュフロー(本業の現金収入)　ＴＡ＝総資産(当期と前期の平均で割る)。大きいほど、利益に現金の裏づけが乏しい。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よって、この差が悪い側(大きい側)の上位30％に入る企業を除外する。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関門6　長期保有に耐えるか ― 危険よけ</w:t>
      </w:r>
    </w:p>
    <w:p>
      <w:pPr>
        <w:spacing w:after="40" w:line="281" w:lineRule="auto"/>
        <w:jc w:val="both"/>
        <w:ind w:firstLineChars="100" w:firstLine="210"/>
      </w:pPr>
      <w:r>
        <w:rPr>
          <w:rFonts w:ascii="Times New Roman" w:hAnsi="Times New Roman" w:eastAsia="ＭＳ 明朝"/>
          <w:b w:val="0"/>
          <w:color w:val="000000"/>
          <w:sz w:val="21"/>
        </w:rPr>
        <w:t>いくら割安で優良に見えても、財務危機の恐れがある会社は長期保有に向かない(Altman, 1968；Ohlson, 1980の考え方を、取得できるデータで実装した安全条件)。</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式（6）危険よけ ― 除外の条件</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rPr>
                        <m:sty m:val="p"/>
                      </m:rPr>
                      <m:t>E</m:t>
                    </m:r>
                    <m:r>
                      <m:rPr>
                        <m:sty m:val="p"/>
                      </m:rPr>
                      <m:t>x</m:t>
                    </m:r>
                    <m:r>
                      <m:rPr>
                        <m:sty m:val="p"/>
                      </m:rPr>
                      <m:t>c</m:t>
                    </m:r>
                    <m:r>
                      <m:rPr>
                        <m:sty m:val="p"/>
                      </m:rPr>
                      <m:t>l</m:t>
                    </m:r>
                    <m:r>
                      <m:rPr>
                        <m:sty m:val="p"/>
                      </m:rPr>
                      <m:t>u</m:t>
                    </m:r>
                    <m:r>
                      <m:rPr>
                        <m:sty m:val="p"/>
                      </m:rPr>
                      <m:t>d</m:t>
                    </m:r>
                    <m:r>
                      <m:rPr>
                        <m:sty m:val="p"/>
                      </m:rPr>
                      <m:t>e</m:t>
                    </m:r>
                  </m:e>
                  <m:sub>
                    <m:r>
                      <m:t>i</m:t>
                    </m:r>
                  </m:sub>
                </m:sSub>
                <m:r>
                  <m:rPr>
                    <m:sty m:val="p"/>
                  </m:rPr>
                  <m:t>=</m:t>
                </m:r>
                <m:r>
                  <m:rPr>
                    <m:sty m:val="b"/>
                  </m:rPr>
                  <m:t>1</m:t>
                </m:r>
                <m:d>
                  <m:dPr>
                    <m:begChr m:val="["/>
                    <m:sepChr m:val=""/>
                    <m:endChr m:val="]"/>
                    <m:grow/>
                  </m:dPr>
                  <m:e>
                    <m:r>
                      <m:t> </m:t>
                    </m:r>
                    <m:sSub>
                      <m:e>
                        <m:r>
                          <m:rPr>
                            <m:sty m:val="p"/>
                          </m:rPr>
                          <m:t>E</m:t>
                        </m:r>
                        <m:r>
                          <m:rPr>
                            <m:sty m:val="p"/>
                          </m:rPr>
                          <m:t>q</m:t>
                        </m:r>
                        <m:r>
                          <m:rPr>
                            <m:sty m:val="p"/>
                          </m:rPr>
                          <m:t>u</m:t>
                        </m:r>
                        <m:r>
                          <m:rPr>
                            <m:sty m:val="p"/>
                          </m:rPr>
                          <m:t>i</m:t>
                        </m:r>
                        <m:r>
                          <m:rPr>
                            <m:sty m:val="p"/>
                          </m:rPr>
                          <m:t>t</m:t>
                        </m:r>
                        <m:r>
                          <m:rPr>
                            <m:sty m:val="p"/>
                          </m:rPr>
                          <m:t>y</m:t>
                        </m:r>
                      </m:e>
                      <m:sub>
                        <m:r>
                          <m:t>i</m:t>
                        </m:r>
                      </m:sub>
                    </m:sSub>
                    <m:r>
                      <m:rPr>
                        <m:sty m:val="p"/>
                      </m:rPr>
                      <m:t>≤</m:t>
                    </m:r>
                    <m:r>
                      <m:t>0</m:t>
                    </m:r>
                    <m:r>
                      <m:t> </m:t>
                    </m:r>
                    <m:r>
                      <m:rPr>
                        <m:sty m:val="p"/>
                      </m:rPr>
                      <m:t>∨</m:t>
                    </m:r>
                    <m:r>
                      <m:t> </m:t>
                    </m:r>
                    <m:r>
                      <m:rPr>
                        <m:sty m:val="p"/>
                      </m:rPr>
                      <m:t>(</m:t>
                    </m:r>
                    <m:sSub>
                      <m:e>
                        <m:r>
                          <m:rPr>
                            <m:sty m:val="p"/>
                          </m:rPr>
                          <m:t>N</m:t>
                        </m:r>
                        <m:r>
                          <m:rPr>
                            <m:sty m:val="p"/>
                          </m:rPr>
                          <m:t>I</m:t>
                        </m:r>
                      </m:e>
                      <m:sub>
                        <m:r>
                          <m:t>i</m:t>
                        </m:r>
                        <m:r>
                          <m:rPr>
                            <m:sty m:val="p"/>
                          </m:rPr>
                          <m:t>,</m:t>
                        </m:r>
                        <m:r>
                          <m:t>t</m:t>
                        </m:r>
                      </m:sub>
                    </m:sSub>
                    <m:r>
                      <m:rPr>
                        <m:sty m:val="p"/>
                      </m:rPr>
                      <m:t>&lt;</m:t>
                    </m:r>
                    <m:r>
                      <m:t>0</m:t>
                    </m:r>
                    <m:r>
                      <m:rPr>
                        <m:sty m:val="p"/>
                      </m:rPr>
                      <m:t>∧</m:t>
                    </m:r>
                    <m:sSub>
                      <m:e>
                        <m:r>
                          <m:rPr>
                            <m:sty m:val="p"/>
                          </m:rPr>
                          <m:t>N</m:t>
                        </m:r>
                        <m:r>
                          <m:rPr>
                            <m:sty m:val="p"/>
                          </m:rPr>
                          <m:t>I</m:t>
                        </m:r>
                      </m:e>
                      <m:sub>
                        <m:r>
                          <m:t>i</m:t>
                        </m:r>
                        <m:r>
                          <m:rPr>
                            <m:sty m:val="p"/>
                          </m:rPr>
                          <m:t>,</m:t>
                        </m:r>
                        <m:r>
                          <m:t>t</m:t>
                        </m:r>
                        <m:r>
                          <m:rPr>
                            <m:sty m:val="p"/>
                          </m:rPr>
                          <m:t>−</m:t>
                        </m:r>
                        <m:r>
                          <m:t>1</m:t>
                        </m:r>
                      </m:sub>
                    </m:sSub>
                    <m:r>
                      <m:rPr>
                        <m:sty m:val="p"/>
                      </m:rPr>
                      <m:t>&lt;</m:t>
                    </m:r>
                    <m:r>
                      <m:t>0</m:t>
                    </m:r>
                    <m:r>
                      <m:rPr>
                        <m:sty m:val="p"/>
                      </m:rPr>
                      <m:t>)</m:t>
                    </m:r>
                    <m:r>
                      <m:t> </m:t>
                    </m:r>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Equity＝純資産　ＮＩ＝純利益。純資産がマイナス(債務超過)、または2期連続の純損失に該当したら除外し、該当しない企業だけを通す。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よって、債務超過・2期連続赤字に該当しない企業を「長期保有に耐える」と評価する。</w:t>
      </w:r>
    </w:p>
    <w:p>
      <w:pPr>
        <w:spacing w:after="40" w:line="281" w:lineRule="auto"/>
        <w:jc w:val="both"/>
        <w:ind w:firstLineChars="100" w:firstLine="210"/>
      </w:pPr>
      <w:r>
        <w:rPr>
          <w:rFonts w:ascii="Times New Roman" w:hAnsi="Times New Roman" w:eastAsia="ＭＳ 明朝"/>
          <w:b w:val="0"/>
          <w:color w:val="000000"/>
          <w:sz w:val="21"/>
        </w:rPr>
        <w:t>なお、この関門で新たに除外された企業はゼロだった(除外0社)。割安の2関門(式1・式2)が純資産プラス・黒字を前提とするため、債務超過や連続赤字の企業はこの段階までに既に落ちているからである。関門6は独立の除外を生まないが、「すでに安全な集団」であることを式で確かめる念のための関所として置いてい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関門7　実際に買えるか ― 売買のしやすさ</w:t>
      </w:r>
    </w:p>
    <w:p>
      <w:pPr>
        <w:spacing w:after="40" w:line="281" w:lineRule="auto"/>
        <w:jc w:val="both"/>
        <w:ind w:firstLineChars="100" w:firstLine="210"/>
      </w:pPr>
      <w:r>
        <w:rPr>
          <w:rFonts w:ascii="Times New Roman" w:hAnsi="Times New Roman" w:eastAsia="ＭＳ 明朝"/>
          <w:b w:val="0"/>
          <w:color w:val="000000"/>
          <w:sz w:val="21"/>
        </w:rPr>
        <w:t>売買が少ない株は、買うだけで値段が動いてしまい、計画どおりの投資ができない。</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式（7）60日平均売買代金 ― 売買のしやすさ</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rPr>
                        <m:sty m:val="p"/>
                      </m:rPr>
                      <m:t>A</m:t>
                    </m:r>
                    <m:r>
                      <m:rPr>
                        <m:sty m:val="p"/>
                      </m:rPr>
                      <m:t>D</m:t>
                    </m:r>
                    <m:r>
                      <m:rPr>
                        <m:sty m:val="p"/>
                      </m:rPr>
                      <m:t>V</m:t>
                    </m:r>
                  </m:e>
                  <m:sub>
                    <m:r>
                      <m:t>i</m:t>
                    </m:r>
                  </m:sub>
                  <m:sup>
                    <m:r>
                      <m:t>60</m:t>
                    </m:r>
                  </m:sup>
                </m:sSubSup>
                <m:r>
                  <m:rPr>
                    <m:sty m:val="p"/>
                  </m:rPr>
                  <m:t>=</m:t>
                </m:r>
                <m:f>
                  <m:fPr>
                    <m:type m:val="bar"/>
                  </m:fPr>
                  <m:num>
                    <m:r>
                      <m:t>1</m:t>
                    </m:r>
                  </m:num>
                  <m:den>
                    <m:r>
                      <m:t>60</m:t>
                    </m:r>
                  </m:den>
                </m:f>
                <m:nary>
                  <m:naryPr>
                    <m:chr m:val="∑"/>
                    <m:limLoc m:val="undOvr"/>
                    <m:subHide m:val="off"/>
                    <m:supHide m:val="off"/>
                  </m:naryPr>
                  <m:sub>
                    <m:r>
                      <m:t>t</m:t>
                    </m:r>
                    <m:r>
                      <m:rPr>
                        <m:sty m:val="p"/>
                      </m:rPr>
                      <m:t>=</m:t>
                    </m:r>
                    <m:r>
                      <m:t>1</m:t>
                    </m:r>
                  </m:sub>
                  <m:sup>
                    <m:r>
                      <m:t>60</m:t>
                    </m:r>
                  </m:sup>
                  <m:e>
                    <m:sSub>
                      <m:e>
                        <m:r>
                          <m:t>P</m:t>
                        </m:r>
                      </m:e>
                      <m:sub>
                        <m:r>
                          <m:t>i</m:t>
                        </m:r>
                        <m:r>
                          <m:rPr>
                            <m:sty m:val="p"/>
                          </m:rPr>
                          <m:t>,</m:t>
                        </m:r>
                        <m:r>
                          <m:t>t</m:t>
                        </m:r>
                      </m:sub>
                    </m:sSub>
                  </m:e>
                </m:nary>
                <m:r>
                  <m:t> </m:t>
                </m:r>
                <m:sSub>
                  <m:e>
                    <m:r>
                      <m:t>V</m:t>
                    </m:r>
                  </m:e>
                  <m:sub>
                    <m:r>
                      <m:t>i</m:t>
                    </m:r>
                    <m:r>
                      <m:rPr>
                        <m:sty m:val="p"/>
                      </m:rPr>
                      <m:t>,</m:t>
                    </m:r>
                    <m:r>
                      <m:t>t</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Ｐ＝日々の株価　Ｖ＝日々の出来高(売買された株数)。直近60営業日の売買代金の平均。1日あたり1,000万円を基準とする。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1日平均およそ1,000万円以上の売買がある企業を「実際に買える」と評価する。この段階では300万〜1,000万円の会社も「要確認」の印をつけて通過させ、Top5選定では1,000万円以上を明確に要求する(実装どおりに開示)。</w:t>
      </w:r>
    </w:p>
    <w:p>
      <w:pPr>
        <w:spacing w:after="80" w:line="281" w:lineRule="auto"/>
        <w:jc w:val="both"/>
        <w:ind w:firstLineChars="100" w:firstLine="210"/>
      </w:pPr>
      <w:r>
        <w:rPr>
          <w:rFonts w:ascii="Times New Roman" w:hAnsi="Times New Roman" w:eastAsia="ＭＳ 明朝"/>
          <w:b w:val="0"/>
          <w:color w:val="000000"/>
          <w:sz w:val="21"/>
        </w:rPr>
        <w:t>式が実際にどう働くかを、通過企業の一社・学研ホールディングス(9470)で追ってみる。</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関門</w:t>
            </w:r>
          </w:p>
        </w:tc>
        <w:tc>
          <w:tcPr>
            <w:tcW w:type="dxa" w:w="2608"/>
            <w:shd w:val="clear" w:color="auto" w:fill="16324F"/>
          </w:tcPr>
          <w:p>
            <w:pPr>
              <w:spacing w:after="0"/>
              <w:ind w:firstLine="0" w:firstLineChars="0"/>
            </w:pPr>
            <w:r>
              <w:rPr>
                <w:rFonts w:ascii="Arial" w:hAnsi="Arial" w:eastAsia="ＭＳ ゴシック"/>
                <w:b/>
                <w:color w:val="FFFFFF"/>
                <w:sz w:val="20"/>
              </w:rPr>
              <w:t>学研ＨＤの値</w:t>
            </w:r>
          </w:p>
        </w:tc>
        <w:tc>
          <w:tcPr>
            <w:tcW w:type="dxa" w:w="2494"/>
            <w:shd w:val="clear" w:color="auto" w:fill="16324F"/>
          </w:tcPr>
          <w:p>
            <w:pPr>
              <w:spacing w:after="0"/>
              <w:ind w:firstLine="0" w:firstLineChars="0"/>
            </w:pPr>
            <w:r>
              <w:rPr>
                <w:rFonts w:ascii="Arial" w:hAnsi="Arial" w:eastAsia="ＭＳ ゴシック"/>
                <w:b/>
                <w:color w:val="FFFFFF"/>
                <w:sz w:val="20"/>
              </w:rPr>
              <w:t>合格ライン</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Ｂ／Ｍ(式1)</w:t>
            </w:r>
          </w:p>
        </w:tc>
        <w:tc>
          <w:tcPr>
            <w:tcW w:type="dxa" w:w="2608"/>
          </w:tcPr>
          <w:p>
            <w:pPr>
              <w:spacing w:after="0"/>
              <w:ind w:firstLine="0" w:firstLineChars="0"/>
              <w:jc w:val="left"/>
            </w:pPr>
            <w:r>
              <w:rPr>
                <w:rFonts w:ascii="Times New Roman" w:hAnsi="Times New Roman" w:eastAsia="ＭＳ 明朝"/>
                <w:b w:val="0"/>
                <w:color w:val="000000"/>
                <w:sz w:val="20"/>
              </w:rPr>
              <w:t>1.526</w:t>
            </w:r>
          </w:p>
        </w:tc>
        <w:tc>
          <w:tcPr>
            <w:tcW w:type="dxa" w:w="2494"/>
          </w:tcPr>
          <w:p>
            <w:pPr>
              <w:spacing w:after="0"/>
              <w:ind w:firstLine="0" w:firstLineChars="0"/>
              <w:jc w:val="left"/>
            </w:pPr>
            <w:r>
              <w:rPr>
                <w:rFonts w:ascii="Times New Roman" w:hAnsi="Times New Roman" w:eastAsia="ＭＳ 明朝"/>
                <w:b w:val="0"/>
                <w:color w:val="000000"/>
                <w:sz w:val="20"/>
              </w:rPr>
              <w:t>市場の上位30％</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Ｅ／Ｐ(式2)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0.121(黒字)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黒字かつ上位50％</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粗利÷総資産(式3)</w:t>
            </w:r>
          </w:p>
        </w:tc>
        <w:tc>
          <w:tcPr>
            <w:tcW w:type="dxa" w:w="2608"/>
          </w:tcPr>
          <w:p>
            <w:pPr>
              <w:spacing w:after="0"/>
              <w:ind w:firstLine="0" w:firstLineChars="0"/>
              <w:jc w:val="left"/>
            </w:pPr>
            <w:r>
              <w:rPr>
                <w:rFonts w:ascii="Times New Roman" w:hAnsi="Times New Roman" w:eastAsia="ＭＳ 明朝"/>
                <w:b w:val="0"/>
                <w:color w:val="000000"/>
                <w:sz w:val="20"/>
              </w:rPr>
              <w:t>0.395</w:t>
            </w:r>
          </w:p>
        </w:tc>
        <w:tc>
          <w:tcPr>
            <w:tcW w:type="dxa" w:w="2494"/>
          </w:tcPr>
          <w:p>
            <w:pPr>
              <w:spacing w:after="0"/>
              <w:ind w:firstLine="0" w:firstLineChars="0"/>
              <w:jc w:val="left"/>
            </w:pPr>
            <w:r>
              <w:rPr>
                <w:rFonts w:ascii="Times New Roman" w:hAnsi="Times New Roman" w:eastAsia="ＭＳ 明朝"/>
                <w:b w:val="0"/>
                <w:color w:val="000000"/>
                <w:sz w:val="20"/>
              </w:rPr>
              <w:t>中央値以上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6項目チェック(式4)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合格割合 100%(6/6項目)</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0.65以上</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利益と現金の差(式5)</w:t>
            </w:r>
          </w:p>
        </w:tc>
        <w:tc>
          <w:tcPr>
            <w:tcW w:type="dxa" w:w="2608"/>
          </w:tcPr>
          <w:p>
            <w:pPr>
              <w:spacing w:after="0"/>
              <w:ind w:firstLine="0" w:firstLineChars="0"/>
              <w:jc w:val="left"/>
            </w:pPr>
            <w:r>
              <w:rPr>
                <w:rFonts w:ascii="Times New Roman" w:hAnsi="Times New Roman" w:eastAsia="ＭＳ 明朝"/>
                <w:b w:val="0"/>
                <w:color w:val="000000"/>
                <w:sz w:val="20"/>
              </w:rPr>
              <w:t>-0.023</w:t>
            </w:r>
          </w:p>
        </w:tc>
        <w:tc>
          <w:tcPr>
            <w:tcW w:type="dxa" w:w="2494"/>
          </w:tcPr>
          <w:p>
            <w:pPr>
              <w:spacing w:after="0"/>
              <w:ind w:firstLine="0" w:firstLineChars="0"/>
              <w:jc w:val="left"/>
            </w:pPr>
            <w:r>
              <w:rPr>
                <w:rFonts w:ascii="Times New Roman" w:hAnsi="Times New Roman" w:eastAsia="ＭＳ 明朝"/>
                <w:b w:val="0"/>
                <w:color w:val="000000"/>
                <w:sz w:val="20"/>
              </w:rPr>
              <w:t>悪い側の上位30％でない</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危険よけ(式6)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債務超過・2期連続赤字なし</w:t>
            </w:r>
          </w:p>
        </w:tc>
        <w:tc>
          <w:tcPr>
            <w:tcW w:type="dxa" w:w="2494"/>
            <w:shd w:val="clear" w:color="auto" w:fill="F2F6F4"/>
          </w:tcPr>
          <w:p>
            <w:pPr>
              <w:spacing w:after="0"/>
              <w:ind w:firstLine="0" w:firstLineChars="0"/>
              <w:jc w:val="left"/>
            </w:pPr>
            <w:r>
              <w:rPr>
                <w:rFonts w:ascii="Times New Roman" w:hAnsi="Times New Roman" w:eastAsia="ＭＳ 明朝"/>
                <w:b w:val="0"/>
                <w:color w:val="000000"/>
                <w:sz w:val="20"/>
              </w:rPr>
              <w:t>該当ゼロ</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通過</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売買のしやすさ(式7)</w:t>
            </w:r>
          </w:p>
        </w:tc>
        <w:tc>
          <w:tcPr>
            <w:tcW w:type="dxa" w:w="2608"/>
          </w:tcPr>
          <w:p>
            <w:pPr>
              <w:spacing w:after="0"/>
              <w:ind w:firstLine="0" w:firstLineChars="0"/>
              <w:jc w:val="left"/>
            </w:pPr>
            <w:r>
              <w:rPr>
                <w:rFonts w:ascii="Times New Roman" w:hAnsi="Times New Roman" w:eastAsia="ＭＳ 明朝"/>
                <w:b w:val="0"/>
                <w:color w:val="000000"/>
                <w:sz w:val="20"/>
              </w:rPr>
              <w:t>1日平均 1.22億円</w:t>
            </w:r>
          </w:p>
        </w:tc>
        <w:tc>
          <w:tcPr>
            <w:tcW w:type="dxa" w:w="2494"/>
          </w:tcPr>
          <w:p>
            <w:pPr>
              <w:spacing w:after="0"/>
              <w:ind w:firstLine="0" w:firstLineChars="0"/>
              <w:jc w:val="left"/>
            </w:pPr>
            <w:r>
              <w:rPr>
                <w:rFonts w:ascii="Times New Roman" w:hAnsi="Times New Roman" w:eastAsia="ＭＳ 明朝"/>
                <w:b w:val="0"/>
                <w:color w:val="000000"/>
                <w:sz w:val="20"/>
              </w:rPr>
              <w:t>約0.1億円以上</w:t>
            </w:r>
          </w:p>
        </w:tc>
        <w:tc>
          <w:tcPr>
            <w:tcW w:type="dxa" w:w="1134"/>
          </w:tcPr>
          <w:p>
            <w:pPr>
              <w:spacing w:after="0"/>
              <w:ind w:firstLine="0" w:firstLineChars="0"/>
              <w:jc w:val="left"/>
            </w:pPr>
            <w:r>
              <w:rPr>
                <w:rFonts w:ascii="Times New Roman" w:hAnsi="Times New Roman" w:eastAsia="ＭＳ 明朝"/>
                <w:b w:val="0"/>
                <w:color w:val="000000"/>
                <w:sz w:val="20"/>
              </w:rPr>
              <w:t>通過</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図表Ⅱ-2　通し数値例：学研ホールディングス(9470)の七関門。出所：選定の正典データより筆者作成。</w:t>
      </w:r>
    </w:p>
    <w:p>
      <w:pPr>
        <w:spacing w:after="80" w:line="281" w:lineRule="auto"/>
        <w:jc w:val="both"/>
        <w:ind w:firstLineChars="100" w:firstLine="210"/>
      </w:pPr>
      <w:r>
        <w:rPr>
          <w:rFonts w:ascii="Times New Roman" w:hAnsi="Times New Roman" w:eastAsia="ＭＳ 明朝"/>
          <w:b w:val="0"/>
          <w:color w:val="000000"/>
          <w:sz w:val="21"/>
        </w:rPr>
        <w:t>守の七関門を通過した77社は、破の出発点であり、後の比較の基準線でもある。ただし基準線となる完成した堀Top5には、七関門よりさらに厳しい条件を課した――全指標がそろい、売買代金1日1,000万円以上を(“要確認”でなく)明確に満たし、際立った異常値がなく、粗利÷総資産が業種内でも中央値以上、という条件で33社に絞った(選定フローの全段は技術補遺に記録)。この33社を、収益力→利益÷時価総額→純資産÷時価総額→6項目→利益の質→買いやすさ→会社の大きさの固定順に並べ、同一業種は原則2社までとして上位5社を固定した。選ばれたのは、3539 ＪＭホールディングス(小売業)、4350 メディカルシステムネットワーク(小売業)、6430 ダイコク電機(機械)、7803 ブシロード(その他製品)、9470 学研ホールディングス(情報・通信業)の5社である。以降、この5社は一度も入れ替えない。</w:t>
      </w:r>
    </w:p>
    <w:p>
      <w:pPr>
        <w:keepNext/>
        <w:spacing w:before="100" w:after="40" w:line="298" w:lineRule="auto"/>
        <w:ind w:firstLine="0" w:firstLineChars="0"/>
      </w:pPr>
      <w:r>
        <w:rPr>
          <w:rFonts w:ascii="Arial" w:hAnsi="Arial" w:eastAsia="ＭＳ ゴシック"/>
          <w:b/>
          <w:color w:val="16324F"/>
          <w:sz w:val="21"/>
        </w:rPr>
        <w:t>図表Ⅱ-3　守の絞り込み ― 3,099社から完成した堀Top5へ</w:t>
      </w:r>
    </w:p>
    <w:p>
      <w:pPr>
        <w:jc w:val="center"/>
        <w:keepNext/>
        <w:ind w:firstLine="0" w:firstLineChars="0"/>
      </w:pPr>
      <w:r>
        <w:drawing>
          <wp:inline xmlns:a="http://schemas.openxmlformats.org/drawingml/2006/main" xmlns:pic="http://schemas.openxmlformats.org/drawingml/2006/picture">
            <wp:extent cx="5001768" cy="2857500"/>
            <wp:docPr id="3" name="Picture 3"/>
            <wp:cNvGraphicFramePr>
              <a:graphicFrameLocks noChangeAspect="1"/>
            </wp:cNvGraphicFramePr>
            <a:graphic>
              <a:graphicData uri="http://schemas.openxmlformats.org/drawingml/2006/picture">
                <pic:pic>
                  <pic:nvPicPr>
                    <pic:cNvPr id="0" name="fig2_shu_v5.png"/>
                    <pic:cNvPicPr/>
                  </pic:nvPicPr>
                  <pic:blipFill>
                    <a:blip r:embed="rId12"/>
                    <a:stretch>
                      <a:fillRect/>
                    </a:stretch>
                  </pic:blipFill>
                  <pic:spPr>
                    <a:xfrm>
                      <a:off x="0" y="0"/>
                      <a:ext cx="5001768" cy="2857500"/>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注：棒の幅と色の濃さが残った会社の数を表す。出所：第1段階の正典データより筆者作成。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第２スクリーニング　</w:t>
      </w:r>
      <w:r>
        <w:rPr>
          <w:rFonts w:ascii="Arial" w:hAnsi="Arial" w:eastAsia="ＭＳ ゴシック"/>
          <w:b/>
          <w:color w:val="16324F"/>
          <w:sz w:val="23"/>
        </w:rPr>
        <w:t xml:space="preserve">　破 ― 式を変えずに候補を1,200社へ広げる</w:t>
      </w:r>
    </w:p>
    <w:p>
      <w:pPr>
        <w:spacing w:after="80" w:line="281" w:lineRule="auto"/>
        <w:jc w:val="both"/>
        <w:ind w:firstLineChars="100" w:firstLine="210"/>
      </w:pPr>
      <w:r>
        <w:rPr>
          <w:rFonts w:ascii="Times New Roman" w:hAnsi="Times New Roman" w:eastAsia="ＭＳ 明朝"/>
          <w:b w:val="0"/>
          <w:color w:val="000000"/>
          <w:sz w:val="21"/>
        </w:rPr>
        <w:t>前節の守では、先行研究の式だけで完成した堀の5社(基準線)を決めた。本節の破では、同じ式の「使い方」だけを調整して、次の離で詳しく調べる候補リストを1,200社へ広げる。守は規律が強い分、通過がわずか77社になり、これでは「変わる堀」「生まれる堀」の候補を評価する余地がないからだ。手順は四つある。</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手順1　単位の違う7指標を、どう公平に比べるか ― 順位化</w:t>
      </w:r>
    </w:p>
    <w:p>
      <w:pPr>
        <w:spacing w:after="40" w:line="281" w:lineRule="auto"/>
        <w:jc w:val="both"/>
        <w:ind w:firstLineChars="100" w:firstLine="210"/>
      </w:pPr>
      <w:r>
        <w:rPr>
          <w:rFonts w:ascii="Times New Roman" w:hAnsi="Times New Roman" w:eastAsia="ＭＳ 明朝"/>
          <w:b w:val="0"/>
          <w:color w:val="000000"/>
          <w:sz w:val="21"/>
        </w:rPr>
        <w:t>守で使った7指標(割安2つ・収益力・6項目・利益の質・危険よけ・売買のしやすさ)は単位がばらばらで、そのままでは足し合わせられない。そこで各指標を「市場の中で下から何番目か」という順位の割合(0〜1)に置き換え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式（8）順位化 ― 市場の中の相対的な位置に置き換える</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r</m:t>
                    </m:r>
                  </m:e>
                  <m:sub>
                    <m:r>
                      <m:t>i</m:t>
                    </m:r>
                    <m:r>
                      <m:rPr>
                        <m:sty m:val="p"/>
                      </m:rPr>
                      <m:t>,</m:t>
                    </m:r>
                    <m:r>
                      <m:t>k</m:t>
                    </m:r>
                  </m:sub>
                </m:sSub>
                <m:r>
                  <m:rPr>
                    <m:sty m:val="p"/>
                  </m:rPr>
                  <m:t>=</m:t>
                </m:r>
                <m:f>
                  <m:fPr>
                    <m:type m:val="bar"/>
                  </m:fPr>
                  <m:num>
                    <m:sSub>
                      <m:e>
                        <m:r>
                          <m:rPr>
                            <m:sty m:val="p"/>
                          </m:rPr>
                          <m:t>rank</m:t>
                        </m:r>
                      </m:e>
                      <m:sub>
                        <m:r>
                          <m:t>k</m:t>
                        </m:r>
                      </m:sub>
                    </m:sSub>
                    <m:r>
                      <m:rPr>
                        <m:sty m:val="p"/>
                      </m:rPr>
                      <m:t>(</m:t>
                    </m:r>
                    <m:sSub>
                      <m:e>
                        <m:r>
                          <m:t>x</m:t>
                        </m:r>
                      </m:e>
                      <m:sub>
                        <m:r>
                          <m:t>i</m:t>
                        </m:r>
                        <m:r>
                          <m:rPr>
                            <m:sty m:val="p"/>
                          </m:rPr>
                          <m:t>,</m:t>
                        </m:r>
                        <m:r>
                          <m:t>k</m:t>
                        </m:r>
                      </m:sub>
                    </m:sSub>
                    <m:r>
                      <m:rPr>
                        <m:sty m:val="p"/>
                      </m:rPr>
                      <m:t>)</m:t>
                    </m:r>
                  </m:num>
                  <m:den>
                    <m:r>
                      <m:t>N</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ｘ＝指標ｋの値　rank＝市場の中での順位(良い方が大きい)　Ｎ＝算出できた会社数。0〜1の点数になり、単位の違う指標同士を公平に比べられる。</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よって、7指標すべてを0〜1の順位点に変換して比べる。式の定義は一切変えない。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手順2　順位点をどう束ねるか ― 重みつき合成点と設定の探索</w:t>
      </w:r>
    </w:p>
    <w:p>
      <w:pPr>
        <w:spacing w:after="40" w:line="281" w:lineRule="auto"/>
        <w:jc w:val="both"/>
        <w:ind w:firstLineChars="100" w:firstLine="210"/>
      </w:pPr>
      <w:r>
        <w:rPr>
          <w:rFonts w:ascii="Times New Roman" w:hAnsi="Times New Roman" w:eastAsia="ＭＳ 明朝"/>
          <w:b w:val="0"/>
          <w:color w:val="000000"/>
          <w:sz w:val="21"/>
        </w:rPr>
        <w:t>7つの順位点に重みを付けて足し合わせ、危険な兆候(異常値・データ欠け・極端に小さい会社・一時的な利益)には減点を与える。重み・減点の強さ・候補数・業種調整の有無・データ欠けの扱いは、無数の組合せを機械的に大量に試す方法(ランダムサーチ他)で比較し、候補集合の効用(広さ・質・安全・業種分散など)が最も高くなる設定を採用した(採用後に順位の安定性を別途監査した。目的関数と探索の詳細は技術補遺§C・§E)。採用した設定は「市場順位で0〜1化・主要指標が欠けた会社は除外・業種調整はしない」であ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式（9）合成点 ― 候補づくりのための重みつき合計(最終選定には使わない)</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S</m:t>
                    </m:r>
                  </m:e>
                  <m:sub>
                    <m:r>
                      <m:t>i</m:t>
                    </m:r>
                  </m:sub>
                </m:sSub>
                <m:r>
                  <m:rPr>
                    <m:sty m:val="p"/>
                  </m:rPr>
                  <m:t>=</m:t>
                </m:r>
                <m:nary>
                  <m:naryPr>
                    <m:chr m:val="∑"/>
                    <m:limLoc m:val="undOvr"/>
                    <m:subHide m:val="off"/>
                    <m:supHide m:val="off"/>
                  </m:naryPr>
                  <m:sub>
                    <m:r>
                      <m:t>k</m:t>
                    </m:r>
                    <m:r>
                      <m:rPr>
                        <m:sty m:val="p"/>
                      </m:rPr>
                      <m:t>=</m:t>
                    </m:r>
                    <m:r>
                      <m:t>1</m:t>
                    </m:r>
                  </m:sub>
                  <m:sup>
                    <m:r>
                      <m:t>7</m:t>
                    </m:r>
                  </m:sup>
                  <m:e>
                    <m:sSub>
                      <m:e>
                        <m:r>
                          <m:t>w</m:t>
                        </m:r>
                      </m:e>
                      <m:sub>
                        <m:r>
                          <m:t>k</m:t>
                        </m:r>
                      </m:sub>
                    </m:sSub>
                  </m:e>
                </m:nary>
                <m:r>
                  <m:t> </m:t>
                </m:r>
                <m:sSub>
                  <m:e>
                    <m:r>
                      <m:t>r</m:t>
                    </m:r>
                  </m:e>
                  <m:sub>
                    <m:r>
                      <m:t>i</m:t>
                    </m:r>
                    <m:r>
                      <m:rPr>
                        <m:sty m:val="p"/>
                      </m:rPr>
                      <m:t>,</m:t>
                    </m:r>
                    <m:r>
                      <m:t>k</m:t>
                    </m:r>
                  </m:sub>
                </m:sSub>
                <m:r>
                  <m:rPr>
                    <m:sty m:val="p"/>
                  </m:rPr>
                  <m:t>−</m:t>
                </m:r>
                <m:sSub>
                  <m:e>
                    <m:r>
                      <m:t>P</m:t>
                    </m:r>
                  </m:e>
                  <m:sub>
                    <m:r>
                      <m:t>i</m:t>
                    </m:r>
                  </m:sub>
                </m:sSub>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ｗ＝指標ｋの重み(探索で決定し、全設定を記録)　ｒ＝順位点(式8)　Ｐ＝減点(異常値・データ欠け・超小型株・一時的利益)。候補を広げるための道具であり、最終20社の選定には使わない。</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よって、合成点の上位から候補リストを作る。ただし、この点数で最終選定はしない。</w:t>
      </w:r>
    </w:p>
    <w:p>
      <w:pPr>
        <w:spacing w:after="80" w:line="281" w:lineRule="auto"/>
        <w:jc w:val="both"/>
        <w:ind w:firstLineChars="100" w:firstLine="210"/>
      </w:pPr>
      <w:r>
        <w:rPr>
          <w:rFonts w:ascii="Times New Roman" w:hAnsi="Times New Roman" w:eastAsia="ＭＳ 明朝"/>
          <w:b w:val="0"/>
          <w:color w:val="000000"/>
          <w:sz w:val="21"/>
        </w:rPr>
        <w:t>重みについて、一つ正直に書き残す。最も大きい重みは売買のしやすさの0.330で、次いで危険よけの0.251である(7指標の全重みは技術補遺§C)。危険よけは、これを外しても結果はほとんど変わらない(目的関数の低下は0.0017)。危険な会社は合成点より前の段階で機械的に除外済み(財務除外184社+債務超過11社)であり、重みは「除外をすり抜けた残りの微調整」を担っているにすぎない。重みの大きさを予測力と読んではいけない――この多層防御の構造ごと開示しておく。</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手順3　順位の付け方を変えても、結果は同じか ― 4通りの監査</w:t>
      </w:r>
    </w:p>
    <w:p>
      <w:pPr>
        <w:spacing w:after="80" w:line="281" w:lineRule="auto"/>
        <w:jc w:val="both"/>
        <w:ind w:firstLineChars="100" w:firstLine="210"/>
      </w:pPr>
      <w:r>
        <w:rPr>
          <w:rFonts w:ascii="Times New Roman" w:hAnsi="Times New Roman" w:eastAsia="ＭＳ 明朝"/>
          <w:b w:val="0"/>
          <w:color w:val="000000"/>
          <w:sz w:val="21"/>
        </w:rPr>
        <w:t>0〜1化のやり方は一つではない。市場全体での順位・業種の中での順位・外れ値に強い標準化・端を丸めた標準化の4通りで順位を付け直し、顔ぶれが入れ替わらないかを確かめた。1,200社のうち970社は4通り中3通り以上で共通して上位に残り(中核。4通り全てで一致するのは554社)、2通り以上まで広げれば1,135社が安定していた。付け方に敏感な29社には確認フラグを付け、離の個別確認へ引き継いだ。</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手順4　候補は何社が適切か ― Top1200の採用</w:t>
      </w:r>
    </w:p>
    <w:p>
      <w:pPr>
        <w:spacing w:after="80" w:line="281" w:lineRule="auto"/>
        <w:jc w:val="both"/>
        <w:ind w:firstLineChars="100" w:firstLine="210"/>
      </w:pPr>
      <w:r>
        <w:rPr>
          <w:rFonts w:ascii="Times New Roman" w:hAnsi="Times New Roman" w:eastAsia="ＭＳ 明朝"/>
          <w:b w:val="0"/>
          <w:color w:val="000000"/>
          <w:sz w:val="21"/>
        </w:rPr>
        <w:t>広さ・質・安全・売買のしやすさ・業種の分散・人の目で確認できる規模を比べると、広さを重視するほどTop2000が有利になる。しかし目的は候補数の最大化ではなく「一社ずつ確認できる候補づくり」なので、Top1200を正式採用し、Top2000は取りこぼし確認用の参照群とした。Top100・Top300は日々の確認を優先する内側の層で、のちの壊れにくさ検査(A8・A9)の比較にも使う。この入れ子の関係を図表Ⅱ-5に示す。採用したTop1200は業種の偏りがなく(業種の集中度ＨＨＩ＝構成比の二乗和が0.0707・最大業種11.6％)、守の5社を全員含む(ただし2024年の財務断面で選び直すと守5社のうち4社に減る。年度別の検証は技術補遺§E)。</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701"/>
            <w:shd w:val="clear" w:color="auto" w:fill="16324F"/>
          </w:tcPr>
          <w:p>
            <w:pPr>
              <w:spacing w:after="0"/>
              <w:ind w:firstLine="0" w:firstLineChars="0"/>
            </w:pPr>
            <w:r>
              <w:rPr>
                <w:rFonts w:ascii="Arial" w:hAnsi="Arial" w:eastAsia="ＭＳ ゴシック"/>
                <w:b/>
                <w:color w:val="FFFFFF"/>
                <w:sz w:val="20"/>
              </w:rPr>
              <w:t>観点</w:t>
            </w:r>
          </w:p>
        </w:tc>
        <w:tc>
          <w:tcPr>
            <w:tcW w:type="dxa" w:w="4762"/>
            <w:shd w:val="clear" w:color="auto" w:fill="16324F"/>
          </w:tcPr>
          <w:p>
            <w:pPr>
              <w:spacing w:after="0"/>
              <w:ind w:firstLine="0" w:firstLineChars="0"/>
            </w:pPr>
            <w:r>
              <w:rPr>
                <w:rFonts w:ascii="Arial" w:hAnsi="Arial" w:eastAsia="ＭＳ ゴシック"/>
                <w:b/>
                <w:color w:val="FFFFFF"/>
                <w:sz w:val="20"/>
              </w:rPr>
              <w:t>内容</w:t>
            </w:r>
          </w:p>
        </w:tc>
        <w:tc>
          <w:tcPr>
            <w:tcW w:type="dxa" w:w="3175"/>
            <w:shd w:val="clear" w:color="auto" w:fill="16324F"/>
          </w:tcPr>
          <w:p>
            <w:pPr>
              <w:spacing w:after="0"/>
              <w:ind w:firstLine="0" w:firstLineChars="0"/>
            </w:pPr>
            <w:r>
              <w:rPr>
                <w:rFonts w:ascii="Arial" w:hAnsi="Arial" w:eastAsia="ＭＳ ゴシック"/>
                <w:b/>
                <w:color w:val="FFFFFF"/>
                <w:sz w:val="20"/>
              </w:rPr>
              <w:t>結果</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順位化(式8)</w:t>
            </w:r>
          </w:p>
        </w:tc>
        <w:tc>
          <w:tcPr>
            <w:tcW w:type="dxa" w:w="4762"/>
          </w:tcPr>
          <w:p>
            <w:pPr>
              <w:spacing w:after="0"/>
              <w:ind w:firstLine="0" w:firstLineChars="0"/>
              <w:jc w:val="left"/>
            </w:pPr>
            <w:r>
              <w:rPr>
                <w:rFonts w:ascii="Times New Roman" w:hAnsi="Times New Roman" w:eastAsia="ＭＳ 明朝"/>
                <w:b w:val="0"/>
                <w:color w:val="000000"/>
                <w:sz w:val="20"/>
              </w:rPr>
              <w:t>各指標を市場の中での順位(0〜1)に置き換える。式の定義は変えない</w:t>
            </w:r>
          </w:p>
        </w:tc>
        <w:tc>
          <w:tcPr>
            <w:tcW w:type="dxa" w:w="3175"/>
          </w:tcPr>
          <w:p>
            <w:pPr>
              <w:spacing w:after="0"/>
              <w:ind w:firstLine="0" w:firstLineChars="0"/>
              <w:jc w:val="left"/>
            </w:pPr>
            <w:r>
              <w:rPr>
                <w:rFonts w:ascii="Times New Roman" w:hAnsi="Times New Roman" w:eastAsia="ＭＳ 明朝"/>
                <w:b w:val="0"/>
                <w:color w:val="000000"/>
                <w:sz w:val="20"/>
              </w:rPr>
              <w:t>単位の違う7指標を公平に比較</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合成点(式9)</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重み・減点・候補数などをランダムサーチで比較し、効用が最大の設定を採用(採用後に安定性を監査)</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市場順位・欠損は除外・業種調整なし</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頑健さの監査</w:t>
            </w:r>
          </w:p>
        </w:tc>
        <w:tc>
          <w:tcPr>
            <w:tcW w:type="dxa" w:w="4762"/>
          </w:tcPr>
          <w:p>
            <w:pPr>
              <w:spacing w:after="0"/>
              <w:ind w:firstLine="0" w:firstLineChars="0"/>
              <w:jc w:val="left"/>
            </w:pPr>
            <w:r>
              <w:rPr>
                <w:rFonts w:ascii="Times New Roman" w:hAnsi="Times New Roman" w:eastAsia="ＭＳ 明朝"/>
                <w:b w:val="0"/>
                <w:color w:val="000000"/>
                <w:sz w:val="20"/>
              </w:rPr>
              <w:t>順位の付け方4通りで顔ぶれの入れ替わりを確認</w:t>
            </w:r>
          </w:p>
        </w:tc>
        <w:tc>
          <w:tcPr>
            <w:tcW w:type="dxa" w:w="3175"/>
          </w:tcPr>
          <w:p>
            <w:pPr>
              <w:spacing w:after="0"/>
              <w:ind w:firstLine="0" w:firstLineChars="0"/>
              <w:jc w:val="left"/>
            </w:pPr>
            <w:r>
              <w:rPr>
                <w:rFonts w:ascii="Times New Roman" w:hAnsi="Times New Roman" w:eastAsia="ＭＳ 明朝"/>
                <w:b w:val="0"/>
                <w:color w:val="000000"/>
                <w:sz w:val="20"/>
              </w:rPr>
              <w:t>中核970社・広めに1,135社・要確認29社</w:t>
            </w:r>
          </w:p>
        </w:tc>
      </w:tr>
      <w:tr>
        <w:trPr>
          <w:cantSplit/>
        </w:trPr>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候補数の決定</w:t>
            </w:r>
          </w:p>
        </w:tc>
        <w:tc>
          <w:tcPr>
            <w:tcW w:type="dxa" w:w="4762"/>
            <w:shd w:val="clear" w:color="auto" w:fill="F2F6F4"/>
          </w:tcPr>
          <w:p>
            <w:pPr>
              <w:spacing w:after="0"/>
              <w:ind w:firstLine="0" w:firstLineChars="0"/>
              <w:jc w:val="left"/>
            </w:pPr>
            <w:r>
              <w:rPr>
                <w:rFonts w:ascii="Times New Roman" w:hAnsi="Times New Roman" w:eastAsia="ＭＳ 明朝"/>
                <w:b w:val="0"/>
                <w:color w:val="000000"/>
                <w:sz w:val="20"/>
              </w:rPr>
              <w:t>広さと、人の目で確認できる規模の両立点を判断</w:t>
            </w:r>
          </w:p>
        </w:tc>
        <w:tc>
          <w:tcPr>
            <w:tcW w:type="dxa" w:w="3175"/>
            <w:shd w:val="clear" w:color="auto" w:fill="F2F6F4"/>
          </w:tcPr>
          <w:p>
            <w:pPr>
              <w:spacing w:after="0"/>
              <w:ind w:firstLine="0" w:firstLineChars="0"/>
              <w:jc w:val="left"/>
            </w:pPr>
            <w:r>
              <w:rPr>
                <w:rFonts w:ascii="Times New Roman" w:hAnsi="Times New Roman" w:eastAsia="ＭＳ 明朝"/>
                <w:b w:val="0"/>
                <w:color w:val="000000"/>
                <w:sz w:val="20"/>
              </w:rPr>
              <w:t>Top1200を正式採用(Top2000は参照群)</w:t>
            </w:r>
          </w:p>
        </w:tc>
      </w:tr>
      <w:tr>
        <w:trPr>
          <w:cantSplit/>
        </w:trPr>
        <w:tc>
          <w:tcPr>
            <w:tcW w:type="dxa" w:w="1701"/>
          </w:tcPr>
          <w:p>
            <w:pPr>
              <w:spacing w:after="0"/>
              <w:ind w:firstLine="0" w:firstLineChars="0"/>
              <w:jc w:val="left"/>
            </w:pPr>
            <w:r>
              <w:rPr>
                <w:rFonts w:ascii="Times New Roman" w:hAnsi="Times New Roman" w:eastAsia="ＭＳ 明朝"/>
                <w:b w:val="0"/>
                <w:color w:val="000000"/>
                <w:sz w:val="20"/>
              </w:rPr>
              <w:t>守との整合</w:t>
            </w:r>
          </w:p>
        </w:tc>
        <w:tc>
          <w:tcPr>
            <w:tcW w:type="dxa" w:w="4762"/>
          </w:tcPr>
          <w:p>
            <w:pPr>
              <w:spacing w:after="0"/>
              <w:ind w:firstLine="0" w:firstLineChars="0"/>
              <w:jc w:val="left"/>
            </w:pPr>
            <w:r>
              <w:rPr>
                <w:rFonts w:ascii="Times New Roman" w:hAnsi="Times New Roman" w:eastAsia="ＭＳ 明朝"/>
                <w:b w:val="0"/>
                <w:color w:val="000000"/>
                <w:sz w:val="20"/>
              </w:rPr>
              <w:t>守の5社が候補リストに含まれるか</w:t>
            </w:r>
          </w:p>
        </w:tc>
        <w:tc>
          <w:tcPr>
            <w:tcW w:type="dxa" w:w="3175"/>
          </w:tcPr>
          <w:p>
            <w:pPr>
              <w:spacing w:after="0"/>
              <w:ind w:firstLine="0" w:firstLineChars="0"/>
              <w:jc w:val="left"/>
            </w:pPr>
            <w:r>
              <w:rPr>
                <w:rFonts w:ascii="Times New Roman" w:hAnsi="Times New Roman" w:eastAsia="ＭＳ 明朝"/>
                <w:b w:val="0"/>
                <w:color w:val="000000"/>
                <w:sz w:val="20"/>
              </w:rPr>
              <w:t>5社すべてTop1200に含まれる</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図表Ⅱ-4　破のやり方 ― 式は変えず、使い方だけを調整する。出所：Phase2正典記録(manifest・4方式監査表)。</w:t>
      </w:r>
    </w:p>
    <w:p>
      <w:pPr>
        <w:spacing w:after="80" w:line="281" w:lineRule="auto"/>
        <w:jc w:val="both"/>
        <w:ind w:firstLineChars="100" w:firstLine="210"/>
      </w:pPr>
      <w:r>
        <w:rPr>
          <w:rFonts w:ascii="Times New Roman" w:hAnsi="Times New Roman" w:eastAsia="ＭＳ 明朝"/>
          <w:b w:val="0"/>
          <w:color w:val="000000"/>
          <w:sz w:val="21"/>
        </w:rPr>
        <w:t>最後に、破の限界も先に書いておく。時間を遡った完全な将来予測の検証(学習期間と検証期間の厳密な分割)は、使える年度数の制約で完了していない。代わりに、開示の提出日どおりに過去の各時点を再現した一覧表を作り、固定した設定を各年度の断面に当てはめる検証を行った。したがって私たちは、この候補づくりに将来のリターンを予測する力があるとは主張しない。候補を広く・壊れにくく作ること――それが破の役割である。</w:t>
      </w:r>
    </w:p>
    <w:p>
      <w:pPr>
        <w:keepNext/>
        <w:spacing w:before="100" w:after="40" w:line="298" w:lineRule="auto"/>
        <w:ind w:firstLine="0" w:firstLineChars="0"/>
      </w:pPr>
      <w:r>
        <w:rPr>
          <w:rFonts w:ascii="Arial" w:hAnsi="Arial" w:eastAsia="ＭＳ ゴシック"/>
          <w:b/>
          <w:color w:val="16324F"/>
          <w:sz w:val="21"/>
        </w:rPr>
        <w:t>図表Ⅱ-5　破 ― 候補リストの形成(Top1200を正式採用)</w:t>
      </w:r>
    </w:p>
    <w:p>
      <w:pPr>
        <w:jc w:val="center"/>
        <w:keepNext/>
        <w:ind w:firstLine="0" w:firstLineChars="0"/>
      </w:pPr>
      <w:r>
        <w:drawing>
          <wp:inline xmlns:a="http://schemas.openxmlformats.org/drawingml/2006/main" xmlns:pic="http://schemas.openxmlformats.org/drawingml/2006/picture">
            <wp:extent cx="5065775" cy="3031235"/>
            <wp:docPr id="4" name="Picture 4"/>
            <wp:cNvGraphicFramePr>
              <a:graphicFrameLocks noChangeAspect="1"/>
            </wp:cNvGraphicFramePr>
            <a:graphic>
              <a:graphicData uri="http://schemas.openxmlformats.org/drawingml/2006/picture">
                <pic:pic>
                  <pic:nvPicPr>
                    <pic:cNvPr id="0" name="fig2_ha_v5.png"/>
                    <pic:cNvPicPr/>
                  </pic:nvPicPr>
                  <pic:blipFill>
                    <a:blip r:embed="rId13"/>
                    <a:stretch>
                      <a:fillRect/>
                    </a:stretch>
                  </pic:blipFill>
                  <pic:spPr>
                    <a:xfrm>
                      <a:off x="0" y="0"/>
                      <a:ext cx="5065775" cy="3031235"/>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注：破の点数は候補選びの道具であり、最終選定には使わない。筆者作成。</w:t>
      </w:r>
    </w:p>
    <w:p>
      <w:pPr>
        <w:keepNext/>
        <w:spacing w:before="140" w:after="40" w:line="298" w:lineRule="auto"/>
        <w:ind w:firstLine="0" w:firstLineChars="0"/>
      </w:pPr>
      <w:r>
        <w:rPr>
          <w:rFonts w:ascii="Arial" w:hAnsi="Arial" w:eastAsia="ＭＳ ゴシック"/>
          <w:b/>
          <w:color w:val="FFFFFF"/>
          <w:sz w:val="21"/>
          <w:shd w:val="clear" w:color="auto" w:fill="16324F"/>
        </w:rPr>
        <w:t xml:space="preserve">　第３スクリーニング　</w:t>
      </w:r>
      <w:r>
        <w:rPr>
          <w:rFonts w:ascii="Arial" w:hAnsi="Arial" w:eastAsia="ＭＳ ゴシック"/>
          <w:b/>
          <w:color w:val="16324F"/>
          <w:sz w:val="23"/>
        </w:rPr>
        <w:t xml:space="preserve">　離 ― 変わる堀・生まれる堀を測り、20社を組む</w:t>
      </w:r>
    </w:p>
    <w:p>
      <w:pPr>
        <w:spacing w:after="80" w:line="281" w:lineRule="auto"/>
        <w:jc w:val="both"/>
        <w:ind w:firstLineChars="100" w:firstLine="210"/>
      </w:pPr>
      <w:r>
        <w:rPr>
          <w:rFonts w:ascii="Times New Roman" w:hAnsi="Times New Roman" w:eastAsia="ＭＳ 明朝"/>
          <w:b w:val="0"/>
          <w:color w:val="000000"/>
          <w:sz w:val="21"/>
        </w:rPr>
        <w:t>離で初めて、私たち独自の物差しを導入する。ただし新しい式を発明したのではない。守で使った先行研究の部品(割安・改善・利益の質)を、時間の方向へ組み替えた。変わる堀は式(10)、生まれる堀は式(11)で測り、点数の根拠の強さは式(12)の「証拠の強さ」として点数と分けて管理する。</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式（10）変わる堀の点数(選定に使用)</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T</m:t>
                    </m:r>
                    <m:r>
                      <m:rPr>
                        <m:sty m:val="p"/>
                      </m:rPr>
                      <m:t>r</m:t>
                    </m:r>
                    <m:r>
                      <m:rPr>
                        <m:sty m:val="p"/>
                      </m:rPr>
                      <m:t>a</m:t>
                    </m:r>
                    <m:r>
                      <m:rPr>
                        <m:sty m:val="p"/>
                      </m:rPr>
                      <m:t>n</m:t>
                    </m:r>
                    <m:r>
                      <m:rPr>
                        <m:sty m:val="p"/>
                      </m:rPr>
                      <m:t>s</m:t>
                    </m:r>
                  </m:sup>
                </m:sSubSup>
                <m:r>
                  <m:rPr>
                    <m:sty m:val="p"/>
                  </m:rPr>
                  <m:t>=</m:t>
                </m:r>
                <m:r>
                  <m:t>0.22</m:t>
                </m:r>
                <m:r>
                  <m:t> </m:t>
                </m:r>
                <m:sSub>
                  <m:e>
                    <m:r>
                      <m:t>V</m:t>
                    </m:r>
                  </m:e>
                  <m:sub>
                    <m:r>
                      <m:t>i</m:t>
                    </m:r>
                  </m:sub>
                </m:sSub>
                <m:r>
                  <m:rPr>
                    <m:sty m:val="p"/>
                  </m:rPr>
                  <m:t>+</m:t>
                </m:r>
                <m:r>
                  <m:t>0.24</m:t>
                </m:r>
                <m:r>
                  <m:t> </m:t>
                </m:r>
                <m:sSub>
                  <m:e>
                    <m:r>
                      <m:t>C</m:t>
                    </m:r>
                  </m:e>
                  <m:sub>
                    <m:r>
                      <m:t>i</m:t>
                    </m:r>
                  </m:sub>
                </m:sSub>
                <m:r>
                  <m:rPr>
                    <m:sty m:val="p"/>
                  </m:rPr>
                  <m:t>+</m:t>
                </m:r>
                <m:r>
                  <m:t>0.10</m:t>
                </m:r>
                <m:r>
                  <m:t> </m:t>
                </m:r>
                <m:sSub>
                  <m:e>
                    <m:r>
                      <m:t>F</m:t>
                    </m:r>
                  </m:e>
                  <m:sub>
                    <m:r>
                      <m:t>i</m:t>
                    </m:r>
                  </m:sub>
                </m:sSub>
                <m:r>
                  <m:rPr>
                    <m:sty m:val="p"/>
                  </m:rPr>
                  <m:t>+</m:t>
                </m:r>
                <m:r>
                  <m:t>0.18</m:t>
                </m:r>
                <m:r>
                  <m:t> </m:t>
                </m:r>
                <m:sSub>
                  <m:e>
                    <m:r>
                      <m:t>X</m:t>
                    </m:r>
                  </m:e>
                  <m:sub>
                    <m:r>
                      <m:t>i</m:t>
                    </m:r>
                  </m:sub>
                </m:sSub>
                <m:r>
                  <m:rPr>
                    <m:sty m:val="p"/>
                  </m:rPr>
                  <m:t>+</m:t>
                </m:r>
                <m:r>
                  <m:t>0.16</m:t>
                </m:r>
                <m:r>
                  <m:t> </m:t>
                </m:r>
                <m:sSub>
                  <m:e>
                    <m:r>
                      <m:t>Q</m:t>
                    </m:r>
                  </m:e>
                  <m:sub>
                    <m:r>
                      <m:t>i</m:t>
                    </m:r>
                  </m:sub>
                </m:sSub>
                <m:r>
                  <m:rPr>
                    <m:sty m:val="p"/>
                  </m:rPr>
                  <m:t>+</m:t>
                </m:r>
                <m:r>
                  <m:t>0.10</m:t>
                </m:r>
                <m:r>
                  <m:t> </m:t>
                </m:r>
                <m:sSub>
                  <m:e>
                    <m:r>
                      <m:rPr>
                        <m:sty m:val="p"/>
                      </m:rPr>
                      <m:t>Φ</m:t>
                    </m:r>
                  </m:e>
                  <m:sub>
                    <m:r>
                      <m:t>i</m:t>
                    </m:r>
                  </m:sub>
                </m:sSub>
                <m:r>
                  <m:rPr>
                    <m:sty m:val="p"/>
                  </m:rPr>
                  <m:t>−</m:t>
                </m:r>
                <m:sSubSup>
                  <m:e>
                    <m:r>
                      <m:t>P</m:t>
                    </m:r>
                  </m:e>
                  <m:sub>
                    <m:r>
                      <m:t>i</m:t>
                    </m:r>
                  </m:sub>
                  <m:sup>
                    <m:r>
                      <m:rPr>
                        <m:sty m:val="p"/>
                      </m:rPr>
                      <m:t>T</m:t>
                    </m:r>
                    <m:r>
                      <m:rPr>
                        <m:sty m:val="p"/>
                      </m:rPr>
                      <m:t>r</m:t>
                    </m:r>
                    <m:r>
                      <m:rPr>
                        <m:sty m:val="p"/>
                      </m:rPr>
                      <m:t>a</m:t>
                    </m:r>
                    <m:r>
                      <m:rPr>
                        <m:sty m:val="p"/>
                      </m:rPr>
                      <m:t>p</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Ｖ＝割安さ　Ｃ＝資本効率の改善　Ｆ＝還元の余力(本業の現金収入−設備投資)　Ｘ＝実行の裏づけ(改善が財務の質に表れているか)　Ｑ＝利益の質　Φ＝データの信頼度　Ｐ＝割安のワナ減点。</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よって、割安さに「変わる証拠」が重なる会社ほど高得点とし、変わる堀の上位5社を選ぶ。安いだけの15社は減点で弾いた。</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式（11）生まれる堀の点数(選定に使用)</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S</m:t>
                    </m:r>
                  </m:e>
                  <m:sub>
                    <m:r>
                      <m:t>i</m:t>
                    </m:r>
                  </m:sub>
                  <m:sup>
                    <m:r>
                      <m:rPr>
                        <m:sty m:val="p"/>
                      </m:rPr>
                      <m:t>E</m:t>
                    </m:r>
                    <m:r>
                      <m:rPr>
                        <m:sty m:val="p"/>
                      </m:rPr>
                      <m:t>m</m:t>
                    </m:r>
                    <m:r>
                      <m:rPr>
                        <m:sty m:val="p"/>
                      </m:rPr>
                      <m:t>e</m:t>
                    </m:r>
                    <m:r>
                      <m:rPr>
                        <m:sty m:val="p"/>
                      </m:rPr>
                      <m:t>r</m:t>
                    </m:r>
                    <m:r>
                      <m:rPr>
                        <m:sty m:val="p"/>
                      </m:rPr>
                      <m:t>g</m:t>
                    </m:r>
                  </m:sup>
                </m:sSubSup>
                <m:r>
                  <m:rPr>
                    <m:sty m:val="p"/>
                  </m:rPr>
                  <m:t>=</m:t>
                </m:r>
                <m:r>
                  <m:t>100</m:t>
                </m:r>
                <m:r>
                  <m:t> </m:t>
                </m:r>
                <m:r>
                  <m:rPr>
                    <m:sty m:val="p"/>
                  </m:rPr>
                  <m:t>(</m:t>
                </m:r>
                <m:sSub>
                  <m:e>
                    <m:r>
                      <m:t>w</m:t>
                    </m:r>
                  </m:e>
                  <m:sub>
                    <m:r>
                      <m:t>I</m:t>
                    </m:r>
                  </m:sub>
                </m:sSub>
                <m:sSub>
                  <m:e>
                    <m:r>
                      <m:t>I</m:t>
                    </m:r>
                  </m:e>
                  <m:sub>
                    <m:r>
                      <m:t>i</m:t>
                    </m:r>
                  </m:sub>
                </m:sSub>
                <m:r>
                  <m:rPr>
                    <m:sty m:val="p"/>
                  </m:rPr>
                  <m:t>+</m:t>
                </m:r>
                <m:sSub>
                  <m:e>
                    <m:r>
                      <m:t>w</m:t>
                    </m:r>
                  </m:e>
                  <m:sub>
                    <m:r>
                      <m:t>N</m:t>
                    </m:r>
                  </m:sub>
                </m:sSub>
                <m:sSub>
                  <m:e>
                    <m:r>
                      <m:t>N</m:t>
                    </m:r>
                  </m:e>
                  <m:sub>
                    <m:r>
                      <m:t>i</m:t>
                    </m:r>
                  </m:sub>
                </m:sSub>
                <m:r>
                  <m:rPr>
                    <m:sty m:val="p"/>
                  </m:rPr>
                  <m:t>+</m:t>
                </m:r>
                <m:sSub>
                  <m:e>
                    <m:r>
                      <m:t>w</m:t>
                    </m:r>
                  </m:e>
                  <m:sub>
                    <m:r>
                      <m:t>B</m:t>
                    </m:r>
                  </m:sub>
                </m:sSub>
                <m:sSub>
                  <m:e>
                    <m:r>
                      <m:t>B</m:t>
                    </m:r>
                  </m:e>
                  <m:sub>
                    <m:r>
                      <m:t>i</m:t>
                    </m:r>
                  </m:sub>
                </m:sSub>
                <m:r>
                  <m:rPr>
                    <m:sty m:val="p"/>
                  </m:rPr>
                  <m:t>+</m:t>
                </m:r>
                <m:sSub>
                  <m:e>
                    <m:r>
                      <m:t>w</m:t>
                    </m:r>
                  </m:e>
                  <m:sub>
                    <m:r>
                      <m:t>A</m:t>
                    </m:r>
                  </m:sub>
                </m:sSub>
                <m:sSub>
                  <m:e>
                    <m:r>
                      <m:t>A</m:t>
                    </m:r>
                  </m:e>
                  <m:sub>
                    <m:r>
                      <m:t>i</m:t>
                    </m:r>
                  </m:sub>
                </m:sSub>
                <m:r>
                  <m:rPr>
                    <m:sty m:val="p"/>
                  </m:rPr>
                  <m:t>+</m:t>
                </m:r>
                <m:sSub>
                  <m:e>
                    <m:r>
                      <m:t>w</m:t>
                    </m:r>
                  </m:e>
                  <m:sub>
                    <m:r>
                      <m:t>D</m:t>
                    </m:r>
                  </m:sub>
                </m:sSub>
                <m:sSub>
                  <m:e>
                    <m:r>
                      <m:t>D</m:t>
                    </m:r>
                  </m:e>
                  <m:sub>
                    <m:r>
                      <m:t>i</m:t>
                    </m:r>
                  </m:sub>
                </m:sSub>
                <m:r>
                  <m:rPr>
                    <m:sty m:val="p"/>
                  </m:rPr>
                  <m:t>+</m:t>
                </m:r>
                <m:sSub>
                  <m:e>
                    <m:r>
                      <m:t>w</m:t>
                    </m:r>
                  </m:e>
                  <m:sub>
                    <m:r>
                      <m:t>T</m:t>
                    </m:r>
                  </m:sub>
                </m:sSub>
                <m:sSub>
                  <m:e>
                    <m:r>
                      <m:t>T</m:t>
                    </m:r>
                  </m:e>
                  <m:sub>
                    <m:r>
                      <m:t>i</m:t>
                    </m:r>
                  </m:sub>
                </m:sSub>
                <m:r>
                  <m:rPr>
                    <m:sty m:val="p"/>
                  </m:rPr>
                  <m:t>)</m:t>
                </m:r>
                <m:r>
                  <m:rPr>
                    <m:sty m:val="p"/>
                  </m:rPr>
                  <m:t>+</m:t>
                </m:r>
                <m:sSubSup>
                  <m:e>
                    <m:r>
                      <m:t>B</m:t>
                    </m:r>
                  </m:e>
                  <m:sub>
                    <m:r>
                      <m:t>i</m:t>
                    </m:r>
                  </m:sub>
                  <m:sup>
                    <m:r>
                      <m:rPr>
                        <m:sty m:val="p"/>
                      </m:rPr>
                      <m:t>E</m:t>
                    </m:r>
                    <m:r>
                      <m:rPr>
                        <m:sty m:val="p"/>
                      </m:rPr>
                      <m:t>v</m:t>
                    </m:r>
                    <m:r>
                      <m:rPr>
                        <m:sty m:val="p"/>
                      </m:rPr>
                      <m:t>i</m:t>
                    </m:r>
                  </m:sup>
                </m:sSubSup>
                <m:r>
                  <m:rPr>
                    <m:sty m:val="p"/>
                  </m:rPr>
                  <m:t>−</m:t>
                </m:r>
                <m:sSubSup>
                  <m:e>
                    <m:r>
                      <m:t>P</m:t>
                    </m:r>
                  </m:e>
                  <m:sub>
                    <m:r>
                      <m:t>i</m:t>
                    </m:r>
                  </m:sub>
                  <m:sup>
                    <m:r>
                      <m:rPr>
                        <m:sty m:val="p"/>
                      </m:rPr>
                      <m:t>H</m:t>
                    </m:r>
                    <m:r>
                      <m:rPr>
                        <m:sty m:val="p"/>
                      </m:rPr>
                      <m:t>y</m:t>
                    </m:r>
                    <m:r>
                      <m:rPr>
                        <m:sty m:val="p"/>
                      </m:rPr>
                      <m:t>p</m:t>
                    </m:r>
                    <m:r>
                      <m:rPr>
                        <m:sty m:val="p"/>
                      </m:rPr>
                      <m:t>e</m:t>
                    </m:r>
                  </m:sup>
                </m:sSubSup>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Ｉ＝無形資産　Ｎ＝技術力　Ｂ＝急所を握る度合い　Ａ＝ＡＩ基盤への接続　Ｄ＝データ・顧客基盤　Ｔ＝信頼・安全の基盤　加点＝証拠(最大8点)　減点＝キーワードの接点のみ(18点)。</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よって、ＡＩ基盤への実需接続を証拠つきで示せる会社ほど高得点とし、生まれる堀の上位5社を選ぶ。接点だけの577社は除外した。</w:t>
      </w:r>
    </w:p>
    <w:p>
      <w:pPr>
        <w:spacing w:after="40" w:line="281" w:lineRule="auto"/>
        <w:jc w:val="both"/>
        <w:ind w:firstLineChars="100" w:firstLine="210"/>
      </w:pPr>
      <w:r>
        <w:rPr>
          <w:rFonts w:ascii="Times New Roman" w:hAnsi="Times New Roman" w:eastAsia="ＭＳ 明朝"/>
          <w:b w:val="0"/>
          <w:color w:val="000000"/>
          <w:sz w:val="21"/>
        </w:rPr>
        <w:t>最後の式(12)は、点数が高くても証拠が弱い会社を弾く「関所」である。点数(魅力の大きさ)と証拠(裏づけの強さ)を分けて管理するのが、この設計の背骨だ。</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式（12）証拠の強さ(点数と分けて管理)</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Sup>
                  <m:e>
                    <m:r>
                      <m:t>L</m:t>
                    </m:r>
                  </m:e>
                  <m:sub>
                    <m:r>
                      <m:t>i</m:t>
                    </m:r>
                  </m:sub>
                  <m:sup>
                    <m:r>
                      <m:rPr>
                        <m:sty m:val="p"/>
                      </m:rPr>
                      <m:t>f</m:t>
                    </m:r>
                    <m:r>
                      <m:rPr>
                        <m:sty m:val="p"/>
                      </m:rPr>
                      <m:t>i</m:t>
                    </m:r>
                    <m:r>
                      <m:rPr>
                        <m:sty m:val="p"/>
                      </m:rPr>
                      <m:t>n</m:t>
                    </m:r>
                    <m:r>
                      <m:rPr>
                        <m:sty m:val="p"/>
                      </m:rPr>
                      <m:t>a</m:t>
                    </m:r>
                    <m:r>
                      <m:rPr>
                        <m:sty m:val="p"/>
                      </m:rPr>
                      <m:t>l</m:t>
                    </m:r>
                  </m:sup>
                </m:sSubSup>
                <m:r>
                  <m:rPr>
                    <m:sty m:val="p"/>
                  </m:rPr>
                  <m:t>=</m:t>
                </m:r>
                <m:d>
                  <m:dPr>
                    <m:begChr m:val="{"/>
                    <m:sepChr m:val=""/>
                    <m:endChr m:val=""/>
                    <m:grow/>
                  </m:dPr>
                  <m:e>
                    <m:m>
                      <m:mPr>
                        <m:baseJc m:val="center"/>
                        <m:plcHide m:val="on"/>
                        <m:mcs>
                          <m:mc>
                            <m:mcPr>
                              <m:mcJc m:val="left"/>
                              <m:count m:val="1"/>
                            </m:mcPr>
                          </m:mc>
                          <m:mc>
                            <m:mcPr>
                              <m:mcJc m:val="left"/>
                              <m:count m:val="1"/>
                            </m:mcPr>
                          </m:mc>
                        </m:mcs>
                      </m:mPr>
                      <m:mr>
                        <m:e>
                          <m:r>
                            <m:rPr>
                              <m:sty m:val="p"/>
                            </m:rPr>
                            <m:t>min</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両立型</m:t>
                          </m:r>
                        </m:e>
                      </m:mr>
                      <m:mr>
                        <m:e>
                          <m:sSubSup>
                            <m:e>
                              <m:r>
                                <m:t>L</m:t>
                              </m:r>
                            </m:e>
                            <m:sub>
                              <m:r>
                                <m:t>i</m:t>
                              </m:r>
                            </m:sub>
                            <m:sup>
                              <m:r>
                                <m:t>E</m:t>
                              </m:r>
                              <m:r>
                                <m:t>M</m:t>
                              </m:r>
                            </m:sup>
                          </m:sSubSup>
                        </m:e>
                        <m:e>
                          <m:r>
                            <m:rPr>
                              <m:nor/>
                              <m:sty m:val="p"/>
                            </m:rPr>
                            <m:t>生まれる堀</m:t>
                          </m:r>
                        </m:e>
                      </m:mr>
                      <m:mr>
                        <m:e>
                          <m:r>
                            <m:rPr>
                              <m:sty m:val="p"/>
                            </m:rPr>
                            <m:t>max</m:t>
                          </m:r>
                          <m:r>
                            <m:rPr>
                              <m:sty m:val="p"/>
                            </m:rPr>
                            <m:t>(</m:t>
                          </m:r>
                          <m:sSubSup>
                            <m:e>
                              <m:r>
                                <m:t>L</m:t>
                              </m:r>
                            </m:e>
                            <m:sub>
                              <m:r>
                                <m:t>i</m:t>
                              </m:r>
                            </m:sub>
                            <m:sup>
                              <m:r>
                                <m:t>T</m:t>
                              </m:r>
                              <m:r>
                                <m:t>Q</m:t>
                              </m:r>
                            </m:sup>
                          </m:sSubSup>
                          <m:r>
                            <m:rPr>
                              <m:sty m:val="p"/>
                            </m:rPr>
                            <m:t>,</m:t>
                          </m:r>
                          <m:sSubSup>
                            <m:e>
                              <m:r>
                                <m:t>L</m:t>
                              </m:r>
                            </m:e>
                            <m:sub>
                              <m:r>
                                <m:t>i</m:t>
                              </m:r>
                            </m:sub>
                            <m:sup>
                              <m:r>
                                <m:t>T</m:t>
                              </m:r>
                              <m:r>
                                <m:t>S</m:t>
                              </m:r>
                            </m:sup>
                          </m:sSubSup>
                          <m:r>
                            <m:rPr>
                              <m:sty m:val="p"/>
                            </m:rPr>
                            <m:t>,</m:t>
                          </m:r>
                          <m:sSubSup>
                            <m:e>
                              <m:r>
                                <m:t>L</m:t>
                              </m:r>
                            </m:e>
                            <m:sub>
                              <m:r>
                                <m:t>i</m:t>
                              </m:r>
                            </m:sub>
                            <m:sup>
                              <m:r>
                                <m:t>T</m:t>
                              </m:r>
                              <m:r>
                                <m:t>R</m:t>
                              </m:r>
                            </m:sup>
                          </m:sSubSup>
                          <m:r>
                            <m:rPr>
                              <m:sty m:val="p"/>
                            </m:rPr>
                            <m:t>)</m:t>
                          </m:r>
                        </m:e>
                        <m:e>
                          <m:r>
                            <m:rPr>
                              <m:nor/>
                              <m:sty m:val="p"/>
                            </m:rPr>
                            <m:t>変わる堀</m:t>
                          </m:r>
                        </m:e>
                      </m:mr>
                      <m:mr>
                        <m:e>
                          <m:r>
                            <m:rPr>
                              <m:sty m:val="p"/>
                            </m:rPr>
                            <m:t>max</m:t>
                          </m:r>
                          <m:r>
                            <m:rPr>
                              <m:sty m:val="p"/>
                            </m:rPr>
                            <m:t>(</m:t>
                          </m:r>
                          <m:sSubSup>
                            <m:e>
                              <m:r>
                                <m:t>L</m:t>
                              </m:r>
                            </m:e>
                            <m:sub>
                              <m:r>
                                <m:t>i</m:t>
                              </m:r>
                            </m:sub>
                            <m:sup>
                              <m:r>
                                <m:t>T</m:t>
                              </m:r>
                              <m:r>
                                <m:t>Q</m:t>
                              </m:r>
                            </m:sup>
                          </m:sSubSup>
                          <m:r>
                            <m:rPr>
                              <m:sty m:val="p"/>
                            </m:rPr>
                            <m:t>,</m:t>
                          </m:r>
                          <m:sSubSup>
                            <m:e>
                              <m:r>
                                <m:t>L</m:t>
                              </m:r>
                            </m:e>
                            <m:sub>
                              <m:r>
                                <m:t>i</m:t>
                              </m:r>
                            </m:sub>
                            <m:sup>
                              <m:r>
                                <m:t>E</m:t>
                              </m:r>
                              <m:r>
                                <m:t>M</m:t>
                              </m:r>
                            </m:sup>
                          </m:sSubSup>
                          <m:r>
                            <m:rPr>
                              <m:sty m:val="p"/>
                            </m:rPr>
                            <m:t>)</m:t>
                          </m:r>
                        </m:e>
                        <m:e>
                          <m:r>
                            <m:rPr>
                              <m:nor/>
                              <m:sty m:val="p"/>
                            </m:rPr>
                            <m:t>その他</m:t>
                          </m:r>
                        </m:e>
                      </m:mr>
                    </m:m>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ＴＱ＝数字の改善で確認できる変わる証拠　ＴＳ＝株主還元の実行の証拠　ＴＲ＝改革の開示(計画文書)の証拠　ＥＭ＝新テーマ(生まれる堀)の開示証拠。読み方: min＝両方の証拠が必要(弱い方で判定)、max＝どれか一つ強ければ十分。水準1＝キーワードの接点のみ／水準2＝製品・顧客・投資計画の具体性を確認／水準3＝売上・受注・投資額の数字まで確認。なおＴＳ・ＴＲは今回のデータでは全社が同値となり判定に効いておらず、変わる堀の水準は実質ＴＱで決まる(技術補遺§B)。</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点数がどれほど高くても、証拠の水準が足りない会社は役割の候補から外す。最終20社の内訳は水準3が15社・水準2が4社・水準1が1社(水準1は守の固定枠4350メディカルシステムネットワーク。守の選定は証拠水準を使わない)。</w:t>
      </w:r>
    </w:p>
    <w:p>
      <w:pPr>
        <w:spacing w:after="80" w:line="281" w:lineRule="auto"/>
        <w:jc w:val="both"/>
        <w:ind w:firstLineChars="100" w:firstLine="210"/>
      </w:pPr>
      <w:r>
        <w:rPr>
          <w:rFonts w:ascii="Times New Roman" w:hAnsi="Times New Roman" w:eastAsia="ＭＳ 明朝"/>
          <w:b w:val="0"/>
          <w:color w:val="000000"/>
          <w:sz w:val="21"/>
        </w:rPr>
        <w:t>当てはめ例: 両立型のゼンリン(9474)は「変わる証拠」と「新テーマの証拠」の弱い方(min)で判定して水準3――どちらの裏づけも数字まで確認できた、という意味になる。</w:t>
      </w:r>
    </w:p>
    <w:p>
      <w:pPr>
        <w:spacing w:after="80" w:line="281" w:lineRule="auto"/>
        <w:jc w:val="both"/>
        <w:ind w:firstLineChars="100" w:firstLine="210"/>
      </w:pPr>
      <w:r>
        <w:rPr>
          <w:rFonts w:ascii="Times New Roman" w:hAnsi="Times New Roman" w:eastAsia="ＭＳ 明朝"/>
          <w:b w:val="0"/>
          <w:color w:val="000000"/>
          <w:sz w:val="21"/>
        </w:rPr>
        <w:t>候補1,200社から20社へ絞る過程で除外した1,180社は、理由別にすべて記録した。うち862社は個別に精査した5分類、残る318社は合成点が精査ラインに届かず一括の理由コードで記録した。選ばなかった理由を残すことが、選んだ理由の裏づけになる。</w:t>
      </w:r>
    </w:p>
    <w:p>
      <w:pPr>
        <w:spacing w:after="80" w:line="281" w:lineRule="auto"/>
        <w:jc w:val="both"/>
        <w:ind w:firstLineChars="100" w:firstLine="210"/>
      </w:pPr>
      <w:r>
        <w:rPr>
          <w:rFonts w:ascii="Times New Roman" w:hAnsi="Times New Roman" w:eastAsia="ＭＳ 明朝"/>
          <w:b w:val="0"/>
          <w:color w:val="000000"/>
          <w:sz w:val="21"/>
        </w:rPr>
        <w:t>生まれる堀の証拠は、確認できたものだけを数える保守設計である。ＩＲ資料・製品ページまで遡って証拠を確かめられた14社(水準2以上)だけを生まれる堀・両立型の候補に通し、キーワードの接点しか確認できない会社は――たとえ有望に見えても――一律で除外して監査記録した(疑わしきは除外)。</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除外の理由</w:t>
            </w:r>
          </w:p>
        </w:tc>
        <w:tc>
          <w:tcPr>
            <w:tcW w:type="dxa" w:w="1020"/>
            <w:shd w:val="clear" w:color="auto" w:fill="16324F"/>
          </w:tcPr>
          <w:p>
            <w:pPr>
              <w:spacing w:after="0"/>
              <w:ind w:firstLine="0" w:firstLineChars="0"/>
            </w:pPr>
            <w:r>
              <w:rPr>
                <w:rFonts w:ascii="Arial" w:hAnsi="Arial" w:eastAsia="ＭＳ ゴシック"/>
                <w:b/>
                <w:color w:val="FFFFFF"/>
                <w:sz w:val="20"/>
              </w:rPr>
              <w:t>社数</w:t>
            </w:r>
          </w:p>
        </w:tc>
        <w:tc>
          <w:tcPr>
            <w:tcW w:type="dxa" w:w="6236"/>
            <w:shd w:val="clear" w:color="auto" w:fill="16324F"/>
          </w:tcPr>
          <w:p>
            <w:pPr>
              <w:spacing w:after="0"/>
              <w:ind w:firstLine="0" w:firstLineChars="0"/>
            </w:pPr>
            <w:r>
              <w:rPr>
                <w:rFonts w:ascii="Arial" w:hAnsi="Arial" w:eastAsia="ＭＳ ゴシック"/>
                <w:b/>
                <w:color w:val="FFFFFF"/>
                <w:sz w:val="20"/>
              </w:rPr>
              <w:t>説明</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ＡＩ関連の接点がキーワードのみ</w:t>
            </w:r>
          </w:p>
        </w:tc>
        <w:tc>
          <w:tcPr>
            <w:tcW w:type="dxa" w:w="1020"/>
          </w:tcPr>
          <w:p>
            <w:pPr>
              <w:spacing w:after="0"/>
              <w:ind w:firstLine="0" w:firstLineChars="0"/>
              <w:jc w:val="left"/>
            </w:pPr>
            <w:r>
              <w:rPr>
                <w:rFonts w:ascii="Times New Roman" w:hAnsi="Times New Roman" w:eastAsia="ＭＳ 明朝"/>
                <w:b w:val="0"/>
                <w:color w:val="000000"/>
                <w:sz w:val="20"/>
              </w:rPr>
              <w:t>577社</w:t>
            </w:r>
          </w:p>
        </w:tc>
        <w:tc>
          <w:tcPr>
            <w:tcW w:type="dxa" w:w="6236"/>
          </w:tcPr>
          <w:p>
            <w:pPr>
              <w:spacing w:after="0"/>
              <w:ind w:firstLine="0" w:firstLineChars="0"/>
              <w:jc w:val="left"/>
            </w:pPr>
            <w:r>
              <w:rPr>
                <w:rFonts w:ascii="Times New Roman" w:hAnsi="Times New Roman" w:eastAsia="ＭＳ 明朝"/>
                <w:b w:val="0"/>
                <w:color w:val="000000"/>
                <w:sz w:val="20"/>
              </w:rPr>
              <w:t>機械的なキーワード照合でしか接点を確認できず、製品・顧客・数量まで遡れる開示証拠(水準2以上)を確認できなかった</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より良い類似候補あり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221社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同じ業種・テーマに、証拠も点数も上回る候補が存在する</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財務が危険</w:t>
            </w:r>
          </w:p>
        </w:tc>
        <w:tc>
          <w:tcPr>
            <w:tcW w:type="dxa" w:w="1020"/>
          </w:tcPr>
          <w:p>
            <w:pPr>
              <w:spacing w:after="0"/>
              <w:ind w:firstLine="0" w:firstLineChars="0"/>
              <w:jc w:val="left"/>
            </w:pPr>
            <w:r>
              <w:rPr>
                <w:rFonts w:ascii="Times New Roman" w:hAnsi="Times New Roman" w:eastAsia="ＭＳ 明朝"/>
                <w:b w:val="0"/>
                <w:color w:val="000000"/>
                <w:sz w:val="20"/>
              </w:rPr>
              <w:t>32社</w:t>
            </w:r>
          </w:p>
        </w:tc>
        <w:tc>
          <w:tcPr>
            <w:tcW w:type="dxa" w:w="6236"/>
          </w:tcPr>
          <w:p>
            <w:pPr>
              <w:spacing w:after="0"/>
              <w:ind w:firstLine="0" w:firstLineChars="0"/>
              <w:jc w:val="left"/>
            </w:pPr>
            <w:r>
              <w:rPr>
                <w:rFonts w:ascii="Times New Roman" w:hAnsi="Times New Roman" w:eastAsia="ＭＳ 明朝"/>
                <w:b w:val="0"/>
                <w:color w:val="000000"/>
                <w:sz w:val="20"/>
              </w:rPr>
              <w:t>債務超過・連続赤字など、長期保有に耐えない</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割安のワナ</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17社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安いだけで、改善の実行が伴わない</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安さの根拠のみ</w:t>
            </w:r>
          </w:p>
        </w:tc>
        <w:tc>
          <w:tcPr>
            <w:tcW w:type="dxa" w:w="1020"/>
          </w:tcPr>
          <w:p>
            <w:pPr>
              <w:spacing w:after="0"/>
              <w:ind w:firstLine="0" w:firstLineChars="0"/>
              <w:jc w:val="left"/>
            </w:pPr>
            <w:r>
              <w:rPr>
                <w:rFonts w:ascii="Times New Roman" w:hAnsi="Times New Roman" w:eastAsia="ＭＳ 明朝"/>
                <w:b w:val="0"/>
                <w:color w:val="000000"/>
                <w:sz w:val="20"/>
              </w:rPr>
              <w:t>15社</w:t>
            </w:r>
          </w:p>
        </w:tc>
        <w:tc>
          <w:tcPr>
            <w:tcW w:type="dxa" w:w="6236"/>
          </w:tcPr>
          <w:p>
            <w:pPr>
              <w:spacing w:after="0"/>
              <w:ind w:firstLine="0" w:firstLineChars="0"/>
              <w:jc w:val="left"/>
            </w:pPr>
            <w:r>
              <w:rPr>
                <w:rFonts w:ascii="Times New Roman" w:hAnsi="Times New Roman" w:eastAsia="ＭＳ 明朝"/>
                <w:b w:val="0"/>
                <w:color w:val="000000"/>
                <w:sz w:val="20"/>
              </w:rPr>
              <w:t>ＰＢＲの低さ以外に変わる証拠がない</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合成点が精査ラインに未達</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318社</w:t>
            </w:r>
          </w:p>
        </w:tc>
        <w:tc>
          <w:tcPr>
            <w:tcW w:type="dxa" w:w="6236"/>
            <w:shd w:val="clear" w:color="auto" w:fill="F2F6F4"/>
          </w:tcPr>
          <w:p>
            <w:pPr>
              <w:spacing w:after="0"/>
              <w:ind w:firstLine="0" w:firstLineChars="0"/>
              <w:jc w:val="left"/>
            </w:pPr>
            <w:r>
              <w:rPr>
                <w:rFonts w:ascii="Times New Roman" w:hAnsi="Times New Roman" w:eastAsia="ＭＳ 明朝"/>
                <w:b w:val="0"/>
                <w:color w:val="000000"/>
                <w:sz w:val="20"/>
              </w:rPr>
              <w:t>上の5分類の個別精査に進まず、一括の理由コードで記録</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図表Ⅱ-6　除外1,180社の内訳(全社を理由つきで記録)。出所：exclusion_record_v5.csv(除外記録の正典)。</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最終20社の構成 ― なぜ5・5・5・3・2なのか</w:t>
      </w:r>
    </w:p>
    <w:p>
      <w:pPr>
        <w:spacing w:after="80" w:line="281" w:lineRule="auto"/>
        <w:jc w:val="both"/>
        <w:ind w:firstLineChars="100" w:firstLine="210"/>
      </w:pPr>
      <w:r>
        <w:rPr>
          <w:rFonts w:ascii="Times New Roman" w:hAnsi="Times New Roman" w:eastAsia="ＭＳ 明朝"/>
          <w:b w:val="0"/>
          <w:color w:val="000000"/>
          <w:sz w:val="21"/>
        </w:rPr>
        <w:t>最終20社は、完成した堀5社(守の5社を固定)・変わる堀5社・生まれる堀5社・両立型3社・分散役2社で構成した。この構成は第Ⅰ章の「超える」の定義から導いている。</w:t>
      </w:r>
    </w:p>
    <w:p>
      <w:pPr>
        <w:spacing w:before="0" w:after="40" w:line="293" w:lineRule="auto"/>
        <w:ind w:firstLine="0" w:firstLineChars="0"/>
      </w:pPr>
      <w:r>
        <w:rPr>
          <w:rFonts w:ascii="Arial" w:hAnsi="Arial" w:eastAsia="ＭＳ ゴシック"/>
          <w:b/>
          <w:color w:val="16324F"/>
          <w:sz w:val="20"/>
        </w:rPr>
        <w:t xml:space="preserve">・完成した堀5社を持つ理由　</w:t>
      </w:r>
      <w:r>
        <w:rPr>
          <w:rFonts w:ascii="Times New Roman" w:hAnsi="Times New Roman" w:eastAsia="ＭＳ 明朝"/>
          <w:b w:val="0"/>
          <w:color w:val="000000"/>
          <w:sz w:val="20"/>
        </w:rPr>
        <w:t>条件①(同じ土俵)の実行である。この5社を持たなければ、「何を超えたのか」を測る比較相手がいなくなる。しかも三世代のうち、完成した堀だけが仮説ではなく現在の事実である。</w:t>
      </w:r>
    </w:p>
    <w:p>
      <w:pPr>
        <w:spacing w:before="0" w:after="40" w:line="293" w:lineRule="auto"/>
        <w:ind w:firstLine="0" w:firstLineChars="0"/>
      </w:pPr>
      <w:r>
        <w:rPr>
          <w:rFonts w:ascii="Arial" w:hAnsi="Arial" w:eastAsia="ＭＳ ゴシック"/>
          <w:b/>
          <w:color w:val="16324F"/>
          <w:sz w:val="20"/>
        </w:rPr>
        <w:t xml:space="preserve">・5・5・5の均等　</w:t>
      </w:r>
      <w:r>
        <w:rPr>
          <w:rFonts w:ascii="Times New Roman" w:hAnsi="Times New Roman" w:eastAsia="ＭＳ 明朝"/>
          <w:b w:val="0"/>
          <w:color w:val="000000"/>
          <w:sz w:val="20"/>
        </w:rPr>
        <w:t>三つの世代のどれか一つの未来に賭けない、という設計原理をそのまま数にした。</w:t>
      </w:r>
    </w:p>
    <w:p>
      <w:pPr>
        <w:spacing w:before="0" w:after="40" w:line="293" w:lineRule="auto"/>
        <w:ind w:firstLine="0" w:firstLineChars="0"/>
      </w:pPr>
      <w:r>
        <w:rPr>
          <w:rFonts w:ascii="Arial" w:hAnsi="Arial" w:eastAsia="ＭＳ ゴシック"/>
          <w:b/>
          <w:color w:val="16324F"/>
          <w:sz w:val="20"/>
        </w:rPr>
        <w:t xml:space="preserve">・3・2の少数枠　</w:t>
      </w:r>
      <w:r>
        <w:rPr>
          <w:rFonts w:ascii="Times New Roman" w:hAnsi="Times New Roman" w:eastAsia="ＭＳ 明朝"/>
          <w:b w:val="0"/>
          <w:color w:val="000000"/>
          <w:sz w:val="20"/>
        </w:rPr>
        <w:t>両立型は変わる堀と生まれる堀の橋渡し、分散役は業種・テーマの偏りの調整役。主役ではなく脇役なので少数にした。</w:t>
      </w:r>
    </w:p>
    <w:p>
      <w:pPr>
        <w:spacing w:after="80" w:line="281" w:lineRule="auto"/>
        <w:jc w:val="both"/>
        <w:ind w:firstLineChars="100" w:firstLine="210"/>
      </w:pPr>
      <w:r>
        <w:rPr>
          <w:rFonts w:ascii="Times New Roman" w:hAnsi="Times New Roman" w:eastAsia="ＭＳ 明朝"/>
          <w:b w:val="0"/>
          <w:color w:val="000000"/>
          <w:sz w:val="21"/>
        </w:rPr>
        <w:t>「バフェットが選ぶはずの5社は、本当に必要なのか」という問いには、検査で答える。基準線5社の固定を外して選び直す検査(後述のA11)では、最終20社のうち11社しか一致せず、完成した堀の5社は5社とも脱落する。つまりこの5社は、新しい物差しの高得点者だから残っているのではなく、比較相手として意図して固定している。隠すのではなく、それ自体を設計として明示する。なお、この構成が唯一の最適だという証明はできない。最適かどうかは未来の成績でしか分からないからだ。私たちが保証するのは、定義との整合と、次に示す壊れにくさである。</w:t>
      </w:r>
    </w:p>
    <w:p>
      <w:pPr>
        <w:keepNext/>
        <w:spacing w:before="100" w:after="40" w:line="298" w:lineRule="auto"/>
        <w:ind w:firstLine="0" w:firstLineChars="0"/>
      </w:pPr>
      <w:r>
        <w:rPr>
          <w:rFonts w:ascii="Arial" w:hAnsi="Arial" w:eastAsia="ＭＳ ゴシック"/>
          <w:b/>
          <w:color w:val="16324F"/>
          <w:sz w:val="21"/>
        </w:rPr>
        <w:t>図表Ⅱ-7　離 ― 三世代の堀から最終20社へ(矢印は1対1の対応)</w:t>
      </w:r>
    </w:p>
    <w:p>
      <w:pPr>
        <w:jc w:val="center"/>
        <w:keepNext/>
        <w:ind w:firstLine="0" w:firstLineChars="0"/>
      </w:pPr>
      <w:r>
        <w:drawing>
          <wp:inline xmlns:a="http://schemas.openxmlformats.org/drawingml/2006/main" xmlns:pic="http://schemas.openxmlformats.org/drawingml/2006/picture">
            <wp:extent cx="5079491" cy="2752343"/>
            <wp:docPr id="5" name="Picture 5"/>
            <wp:cNvGraphicFramePr>
              <a:graphicFrameLocks noChangeAspect="1"/>
            </wp:cNvGraphicFramePr>
            <a:graphic>
              <a:graphicData uri="http://schemas.openxmlformats.org/drawingml/2006/picture">
                <pic:pic>
                  <pic:nvPicPr>
                    <pic:cNvPr id="0" name="fig2_ri.png"/>
                    <pic:cNvPicPr/>
                  </pic:nvPicPr>
                  <pic:blipFill>
                    <a:blip r:embed="rId14"/>
                    <a:stretch>
                      <a:fillRect/>
                    </a:stretch>
                  </pic:blipFill>
                  <pic:spPr>
                    <a:xfrm>
                      <a:off x="0" y="0"/>
                      <a:ext cx="5079491" cy="275234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注：守の5社は証拠の関所を通らず固定。両立型は二つの点数の両立を、証拠は厳しい方で判定する。筆者作成。</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選定は壊れにくいか ― 条件を一つずつ変える16通りの検査</w:t>
      </w:r>
    </w:p>
    <w:p>
      <w:pPr>
        <w:spacing w:after="80" w:line="281" w:lineRule="auto"/>
        <w:jc w:val="both"/>
        <w:ind w:firstLineChars="100" w:firstLine="210"/>
      </w:pPr>
      <w:r>
        <w:rPr>
          <w:rFonts w:ascii="Times New Roman" w:hAnsi="Times New Roman" w:eastAsia="ＭＳ 明朝"/>
          <w:b w:val="0"/>
          <w:color w:val="000000"/>
          <w:sz w:val="21"/>
        </w:rPr>
        <w:t>ここまで読んだ読者は、当然こう疑うはずだ――「複雑なルールを後から調整して、結論ありきで20社を選んだのではないか?」。その疑いには、条件を一つずつ変えた16通りの選び直しで答える。橋の耐荷重試験のように、部品を一本ずつ抜いて、それでも崩れないかを確かめるのだ。検査は四つの家族に分かれる: 点数の部品を外す/減点・証拠の関所を外す/候補の広さを変える/役割の枠を外す。</w:t>
      </w:r>
    </w:p>
    <w:p>
      <w:pPr>
        <w:spacing w:after="80" w:line="281" w:lineRule="auto"/>
        <w:jc w:val="both"/>
        <w:ind w:firstLineChars="100" w:firstLine="210"/>
      </w:pPr>
      <w:r>
        <w:rPr>
          <w:rFonts w:ascii="Times New Roman" w:hAnsi="Times New Roman" w:eastAsia="ＭＳ 明朝"/>
          <w:b w:val="0"/>
          <w:color w:val="000000"/>
          <w:sz w:val="21"/>
        </w:rPr>
        <w:t>読み方の目盛りを先に決めておく。選び直した20社が元の20社と15社以上一致すれば、その条件を変えても中核は保たれる(頑健)。11〜14社なら構成に影響するが崩壊はしない。10社以下なら、その条件こそが選定の背骨だと分かる。</w:t>
      </w:r>
    </w:p>
    <w:p>
      <w:pPr>
        <w:spacing w:after="80" w:line="281" w:lineRule="auto"/>
        <w:jc w:val="both"/>
        <w:ind w:firstLineChars="100" w:firstLine="210"/>
      </w:pPr>
      <w:r>
        <w:rPr>
          <w:rFonts w:ascii="Times New Roman" w:hAnsi="Times New Roman" w:eastAsia="ＭＳ 明朝"/>
          <w:b w:val="0"/>
          <w:color w:val="000000"/>
          <w:sz w:val="21"/>
        </w:rPr>
        <w:t>結果、候補を100社に狭める検査A8だけが7社まで崩れ、残る15通りは11社以上を保った。どの減点・どの枠を一つ外しても選定は崩壊しない一方で、最も効くのは候補の広さ――破の章で語った「広く作って確認する」という判断の価値が、ここで数字として跳ね返ってくる。</w:t>
      </w:r>
    </w:p>
    <w:p>
      <w:pPr>
        <w:keepNext/>
        <w:spacing w:before="100" w:after="40" w:line="298" w:lineRule="auto"/>
        <w:ind w:firstLine="0" w:firstLineChars="0"/>
      </w:pPr>
      <w:r>
        <w:rPr>
          <w:rFonts w:ascii="Arial" w:hAnsi="Arial" w:eastAsia="ＭＳ ゴシック"/>
          <w:b/>
          <w:color w:val="16324F"/>
          <w:sz w:val="21"/>
        </w:rPr>
        <w:t>図表Ⅱ-8　条件を一つ変えて選び直したとき、最終20社のうち何社が残るか</w:t>
      </w:r>
    </w:p>
    <w:p>
      <w:pPr>
        <w:jc w:val="center"/>
        <w:keepNext/>
        <w:ind w:firstLine="0" w:firstLineChars="0"/>
      </w:pPr>
      <w:r>
        <w:drawing>
          <wp:inline xmlns:a="http://schemas.openxmlformats.org/drawingml/2006/main" xmlns:pic="http://schemas.openxmlformats.org/drawingml/2006/picture">
            <wp:extent cx="4392000" cy="3220585"/>
            <wp:docPr id="6" name="Picture 6"/>
            <wp:cNvGraphicFramePr>
              <a:graphicFrameLocks noChangeAspect="1"/>
            </wp:cNvGraphicFramePr>
            <a:graphic>
              <a:graphicData uri="http://schemas.openxmlformats.org/drawingml/2006/picture">
                <pic:pic>
                  <pic:nvPicPr>
                    <pic:cNvPr id="0" name="fig2_ablation.png"/>
                    <pic:cNvPicPr/>
                  </pic:nvPicPr>
                  <pic:blipFill>
                    <a:blip r:embed="rId15"/>
                    <a:stretch>
                      <a:fillRect/>
                    </a:stretch>
                  </pic:blipFill>
                  <pic:spPr>
                    <a:xfrm>
                      <a:off x="0" y="0"/>
                      <a:ext cx="4392000" cy="3220585"/>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注：過去データ上の構造の検査であり、成績の主張ではない。出所：検査結果の正典データ(ablation_results.csv)。</w:t>
      </w:r>
    </w:p>
    <w:tbl>
      <w:tblPr>
        <w:tblStyle w:val="TableGrid"/>
        <w:tblW w:type="auto" w:w="0"/>
        <w:jc w:val="center"/>
        <w:tblLook w:firstColumn="1" w:firstRow="1" w:lastColumn="0" w:lastRow="0" w:noHBand="0" w:noVBand="1" w:val="04A0"/>
      </w:tblPr>
      <w:tblGrid>
        <w:gridCol w:w="2466"/>
        <w:gridCol w:w="2466"/>
        <w:gridCol w:w="2466"/>
        <w:gridCol w:w="2466"/>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検査の家族</w:t>
            </w:r>
          </w:p>
        </w:tc>
        <w:tc>
          <w:tcPr>
            <w:tcW w:type="dxa" w:w="2381"/>
            <w:shd w:val="clear" w:color="auto" w:fill="16324F"/>
          </w:tcPr>
          <w:p>
            <w:pPr>
              <w:spacing w:after="0"/>
              <w:ind w:firstLine="0" w:firstLineChars="0"/>
            </w:pPr>
            <w:r>
              <w:rPr>
                <w:rFonts w:ascii="Arial" w:hAnsi="Arial" w:eastAsia="ＭＳ ゴシック"/>
                <w:b/>
                <w:color w:val="FFFFFF"/>
                <w:sz w:val="20"/>
              </w:rPr>
              <w:t>検査</w:t>
            </w:r>
          </w:p>
        </w:tc>
        <w:tc>
          <w:tcPr>
            <w:tcW w:type="dxa" w:w="1474"/>
            <w:shd w:val="clear" w:color="auto" w:fill="16324F"/>
          </w:tcPr>
          <w:p>
            <w:pPr>
              <w:spacing w:after="0"/>
              <w:ind w:firstLine="0" w:firstLineChars="0"/>
            </w:pPr>
            <w:r>
              <w:rPr>
                <w:rFonts w:ascii="Arial" w:hAnsi="Arial" w:eastAsia="ＭＳ ゴシック"/>
                <w:b/>
                <w:color w:val="FFFFFF"/>
                <w:sz w:val="20"/>
              </w:rPr>
              <w:t>一致の範囲</w:t>
            </w:r>
          </w:p>
        </w:tc>
        <w:tc>
          <w:tcPr>
            <w:tcW w:type="dxa" w:w="3628"/>
            <w:shd w:val="clear" w:color="auto" w:fill="16324F"/>
          </w:tcPr>
          <w:p>
            <w:pPr>
              <w:spacing w:after="0"/>
              <w:ind w:firstLine="0" w:firstLineChars="0"/>
            </w:pPr>
            <w:r>
              <w:rPr>
                <w:rFonts w:ascii="Arial" w:hAnsi="Arial" w:eastAsia="ＭＳ ゴシック"/>
                <w:b/>
                <w:color w:val="FFFFFF"/>
                <w:sz w:val="20"/>
              </w:rPr>
              <w:t>読み取り</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点数の部品を外す</w:t>
            </w:r>
          </w:p>
        </w:tc>
        <w:tc>
          <w:tcPr>
            <w:tcW w:type="dxa" w:w="2381"/>
          </w:tcPr>
          <w:p>
            <w:pPr>
              <w:spacing w:after="0"/>
              <w:ind w:firstLine="0" w:firstLineChars="0"/>
              <w:jc w:val="left"/>
            </w:pPr>
            <w:r>
              <w:rPr>
                <w:rFonts w:ascii="Times New Roman" w:hAnsi="Times New Roman" w:eastAsia="ＭＳ 明朝"/>
                <w:b w:val="0"/>
                <w:color w:val="000000"/>
                <w:sz w:val="20"/>
              </w:rPr>
              <w:t>A1・A2</w:t>
            </w:r>
          </w:p>
        </w:tc>
        <w:tc>
          <w:tcPr>
            <w:tcW w:type="dxa" w:w="1474"/>
          </w:tcPr>
          <w:p>
            <w:pPr>
              <w:spacing w:after="0"/>
              <w:ind w:firstLine="0" w:firstLineChars="0"/>
              <w:jc w:val="left"/>
            </w:pPr>
            <w:r>
              <w:rPr>
                <w:rFonts w:ascii="Times New Roman" w:hAnsi="Times New Roman" w:eastAsia="ＭＳ 明朝"/>
                <w:b w:val="0"/>
                <w:color w:val="000000"/>
                <w:sz w:val="20"/>
              </w:rPr>
              <w:t>12〜16/20</w:t>
            </w:r>
          </w:p>
        </w:tc>
        <w:tc>
          <w:tcPr>
            <w:tcW w:type="dxa" w:w="3628"/>
          </w:tcPr>
          <w:p>
            <w:pPr>
              <w:spacing w:after="0"/>
              <w:ind w:firstLine="0" w:firstLineChars="0"/>
              <w:jc w:val="left"/>
            </w:pPr>
            <w:r>
              <w:rPr>
                <w:rFonts w:ascii="Times New Roman" w:hAnsi="Times New Roman" w:eastAsia="ＭＳ 明朝"/>
                <w:b w:val="0"/>
                <w:color w:val="000000"/>
                <w:sz w:val="20"/>
              </w:rPr>
              <w:t>どちらか片方の点数だけでも中核は残る</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減点・証拠の関所を外す</w:t>
            </w:r>
          </w:p>
        </w:tc>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A3・A4・A5・A6・A14・A15・A16</w:t>
            </w:r>
          </w:p>
        </w:tc>
        <w:tc>
          <w:tcPr>
            <w:tcW w:type="dxa" w:w="1474"/>
            <w:shd w:val="clear" w:color="auto" w:fill="F2F6F4"/>
          </w:tcPr>
          <w:p>
            <w:pPr>
              <w:spacing w:after="0"/>
              <w:ind w:firstLine="0" w:firstLineChars="0"/>
              <w:jc w:val="left"/>
            </w:pPr>
            <w:r>
              <w:rPr>
                <w:rFonts w:ascii="Times New Roman" w:hAnsi="Times New Roman" w:eastAsia="ＭＳ 明朝"/>
                <w:b w:val="0"/>
                <w:color w:val="000000"/>
                <w:sz w:val="20"/>
              </w:rPr>
              <w:t>13〜16/20</w:t>
            </w:r>
          </w:p>
        </w:tc>
        <w:tc>
          <w:tcPr>
            <w:tcW w:type="dxa" w:w="3628"/>
            <w:shd w:val="clear" w:color="auto" w:fill="F2F6F4"/>
          </w:tcPr>
          <w:p>
            <w:pPr>
              <w:spacing w:after="0"/>
              <w:ind w:firstLine="0" w:firstLineChars="0"/>
              <w:jc w:val="left"/>
            </w:pPr>
            <w:r>
              <w:rPr>
                <w:rFonts w:ascii="Times New Roman" w:hAnsi="Times New Roman" w:eastAsia="ＭＳ 明朝"/>
                <w:b w:val="0"/>
                <w:color w:val="000000"/>
                <w:sz w:val="20"/>
              </w:rPr>
              <w:t>どの関所を一つ外しても崩壊しない(多層防御)</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候補の広さを変える</w:t>
            </w:r>
          </w:p>
        </w:tc>
        <w:tc>
          <w:tcPr>
            <w:tcW w:type="dxa" w:w="2381"/>
          </w:tcPr>
          <w:p>
            <w:pPr>
              <w:spacing w:after="0"/>
              <w:ind w:firstLine="0" w:firstLineChars="0"/>
              <w:jc w:val="left"/>
            </w:pPr>
            <w:r>
              <w:rPr>
                <w:rFonts w:ascii="Times New Roman" w:hAnsi="Times New Roman" w:eastAsia="ＭＳ 明朝"/>
                <w:b w:val="0"/>
                <w:color w:val="000000"/>
                <w:sz w:val="20"/>
              </w:rPr>
              <w:t>A8・A9・A10</w:t>
            </w:r>
          </w:p>
        </w:tc>
        <w:tc>
          <w:tcPr>
            <w:tcW w:type="dxa" w:w="1474"/>
          </w:tcPr>
          <w:p>
            <w:pPr>
              <w:spacing w:after="0"/>
              <w:ind w:firstLine="0" w:firstLineChars="0"/>
              <w:jc w:val="left"/>
            </w:pPr>
            <w:r>
              <w:rPr>
                <w:rFonts w:ascii="Times New Roman" w:hAnsi="Times New Roman" w:eastAsia="ＭＳ 明朝"/>
                <w:b w:val="0"/>
                <w:color w:val="000000"/>
                <w:sz w:val="20"/>
              </w:rPr>
              <w:t>7〜15/20</w:t>
            </w:r>
          </w:p>
        </w:tc>
        <w:tc>
          <w:tcPr>
            <w:tcW w:type="dxa" w:w="3628"/>
          </w:tcPr>
          <w:p>
            <w:pPr>
              <w:spacing w:after="0"/>
              <w:ind w:firstLine="0" w:firstLineChars="0"/>
              <w:jc w:val="left"/>
            </w:pPr>
            <w:r>
              <w:rPr>
                <w:rFonts w:ascii="Times New Roman" w:hAnsi="Times New Roman" w:eastAsia="ＭＳ 明朝"/>
                <w:b w:val="0"/>
                <w:color w:val="000000"/>
                <w:sz w:val="20"/>
              </w:rPr>
              <w:t>A8(100社に絞る)のみ大幅入替＝候補の広さが選定の背骨</w:t>
            </w:r>
          </w:p>
        </w:tc>
      </w:tr>
      <w:tr>
        <w:trPr>
          <w:cantSplit/>
        </w:trPr>
        <w:tc>
          <w:tcPr>
            <w:tcW w:type="dxa" w:w="2154"/>
            <w:shd w:val="clear" w:color="auto" w:fill="F2F6F4"/>
          </w:tcPr>
          <w:p>
            <w:pPr>
              <w:keepNext/>
              <w:spacing w:after="0"/>
              <w:ind w:firstLine="0" w:firstLineChars="0"/>
              <w:jc w:val="left"/>
            </w:pPr>
            <w:r>
              <w:rPr>
                <w:rFonts w:ascii="Times New Roman" w:hAnsi="Times New Roman" w:eastAsia="ＭＳ 明朝"/>
                <w:b w:val="0"/>
                <w:color w:val="000000"/>
                <w:sz w:val="20"/>
              </w:rPr>
              <w:t>役割の枠を外す</w:t>
            </w:r>
          </w:p>
        </w:tc>
        <w:tc>
          <w:tcPr>
            <w:tcW w:type="dxa" w:w="2381"/>
            <w:shd w:val="clear" w:color="auto" w:fill="F2F6F4"/>
          </w:tcPr>
          <w:p>
            <w:pPr>
              <w:keepNext/>
              <w:spacing w:after="0"/>
              <w:ind w:firstLine="0" w:firstLineChars="0"/>
              <w:jc w:val="left"/>
            </w:pPr>
            <w:r>
              <w:rPr>
                <w:rFonts w:ascii="Times New Roman" w:hAnsi="Times New Roman" w:eastAsia="ＭＳ 明朝"/>
                <w:b w:val="0"/>
                <w:color w:val="000000"/>
                <w:sz w:val="20"/>
              </w:rPr>
              <w:t>A7・A11・A12・A13</w:t>
            </w:r>
          </w:p>
        </w:tc>
        <w:tc>
          <w:tcPr>
            <w:tcW w:type="dxa" w:w="1474"/>
            <w:shd w:val="clear" w:color="auto" w:fill="F2F6F4"/>
          </w:tcPr>
          <w:p>
            <w:pPr>
              <w:keepNext/>
              <w:spacing w:after="0"/>
              <w:ind w:firstLine="0" w:firstLineChars="0"/>
              <w:jc w:val="left"/>
            </w:pPr>
            <w:r>
              <w:rPr>
                <w:rFonts w:ascii="Times New Roman" w:hAnsi="Times New Roman" w:eastAsia="ＭＳ 明朝"/>
                <w:b w:val="0"/>
                <w:color w:val="000000"/>
                <w:sz w:val="20"/>
              </w:rPr>
              <w:t>11〜16/20</w:t>
            </w:r>
          </w:p>
        </w:tc>
        <w:tc>
          <w:tcPr>
            <w:tcW w:type="dxa" w:w="3628"/>
            <w:shd w:val="clear" w:color="auto" w:fill="F2F6F4"/>
          </w:tcPr>
          <w:p>
            <w:pPr>
              <w:keepNext/>
              <w:spacing w:after="0"/>
              <w:ind w:firstLine="0" w:firstLineChars="0"/>
              <w:jc w:val="left"/>
            </w:pPr>
            <w:r>
              <w:rPr>
                <w:rFonts w:ascii="Times New Roman" w:hAnsi="Times New Roman" w:eastAsia="ＭＳ 明朝"/>
                <w:b w:val="0"/>
                <w:color w:val="000000"/>
                <w:sz w:val="20"/>
              </w:rPr>
              <w:t>基準線5社の固定(A11)は「意図した設計」だと確認できる</w:t>
            </w:r>
          </w:p>
        </w:tc>
      </w:tr>
    </w:tbl>
    <w:p>
      <w:pPr>
        <w:keepNext/>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図表Ⅱ-9　16通りの検査の4家族要約(各検査の個別値は図表Ⅱ-8に記載)。一致＝選び直しても最終20社と同じだった社数。――本章の要点: 守で基準線5社(条件①)、離で死角を補う15社(条件②)を選び、16通りの検査で壊れにくさ(条件③)を確かめた。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Ⅲ．ポートフォリオの決定・銘柄紹介・パフォーマンス</w:t>
      </w:r>
    </w:p>
    <w:p>
      <w:pPr>
        <w:spacing w:after="80" w:line="281" w:lineRule="auto"/>
        <w:jc w:val="both"/>
        <w:ind w:firstLineChars="100" w:firstLine="210"/>
      </w:pPr>
      <w:r>
        <w:rPr>
          <w:rFonts w:ascii="Times New Roman" w:hAnsi="Times New Roman" w:eastAsia="ＭＳ 明朝"/>
          <w:b w:val="0"/>
          <w:color w:val="000000"/>
          <w:sz w:val="21"/>
        </w:rPr>
        <w:t>前章で最終20社が決まった。本章では500万円の配分を決め、20社の顔ぶれを紹介し、最後に第Ⅰ章の条件④を対照群との比較で検証する。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1．500万円の配り方 ― 成績の予想を使わない配分</w:t>
      </w:r>
    </w:p>
    <w:p>
      <w:pPr>
        <w:spacing w:after="80" w:line="281" w:lineRule="auto"/>
        <w:jc w:val="both"/>
        <w:ind w:firstLineChars="100" w:firstLine="210"/>
      </w:pPr>
      <w:r>
        <w:rPr>
          <w:rFonts w:ascii="Times New Roman" w:hAnsi="Times New Roman" w:eastAsia="ＭＳ 明朝"/>
          <w:b w:val="0"/>
          <w:color w:val="000000"/>
          <w:sz w:val="21"/>
        </w:rPr>
        <w:t>どの銘柄が上がるかという予想は、一切使わない。予想を使えば、せっかく証拠で選んだ20社に、予想の当て推量が混ざってしまうからだ。配分は次の四段階で決めた。</w:t>
      </w:r>
    </w:p>
    <w:p>
      <w:pPr>
        <w:spacing w:before="0" w:after="40" w:line="293" w:lineRule="auto"/>
        <w:ind w:firstLine="0" w:firstLineChars="0"/>
      </w:pPr>
      <w:r>
        <w:rPr>
          <w:rFonts w:ascii="Arial" w:hAnsi="Arial" w:eastAsia="ＭＳ ゴシック"/>
          <w:b/>
          <w:color w:val="16324F"/>
          <w:sz w:val="20"/>
        </w:rPr>
        <w:t xml:space="preserve">・第一段階　</w:t>
      </w:r>
      <w:r>
        <w:rPr>
          <w:rFonts w:ascii="Times New Roman" w:hAnsi="Times New Roman" w:eastAsia="ＭＳ 明朝"/>
          <w:b w:val="0"/>
          <w:color w:val="000000"/>
          <w:sz w:val="20"/>
        </w:rPr>
        <w:t>20社を五つの役割に分ける(前章)。</w:t>
      </w:r>
    </w:p>
    <w:p>
      <w:pPr>
        <w:spacing w:before="0" w:after="40" w:line="293" w:lineRule="auto"/>
        <w:ind w:firstLine="0" w:firstLineChars="0"/>
      </w:pPr>
      <w:r>
        <w:rPr>
          <w:rFonts w:ascii="Arial" w:hAnsi="Arial" w:eastAsia="ＭＳ ゴシック"/>
          <w:b/>
          <w:color w:val="16324F"/>
          <w:sz w:val="20"/>
        </w:rPr>
        <w:t xml:space="preserve">・第二段階　</w:t>
      </w:r>
      <w:r>
        <w:rPr>
          <w:rFonts w:ascii="Times New Roman" w:hAnsi="Times New Roman" w:eastAsia="ＭＳ 明朝"/>
          <w:b w:val="0"/>
          <w:color w:val="000000"/>
          <w:sz w:val="20"/>
        </w:rPr>
        <w:t>役割ごとに予算を決める。完成・変化・新生に各25％、両立型15％、分散役10％。三世代へ同額を置くのは、どの未来にも賭けないという設計の続きである。</w:t>
      </w:r>
    </w:p>
    <w:p>
      <w:pPr>
        <w:spacing w:before="0" w:after="40" w:line="293" w:lineRule="auto"/>
        <w:ind w:firstLine="0" w:firstLineChars="0"/>
      </w:pPr>
      <w:r>
        <w:rPr>
          <w:rFonts w:ascii="Arial" w:hAnsi="Arial" w:eastAsia="ＭＳ ゴシック"/>
          <w:b/>
          <w:color w:val="16324F"/>
          <w:sz w:val="20"/>
        </w:rPr>
        <w:t xml:space="preserve">・第三段階　</w:t>
      </w:r>
      <w:r>
        <w:rPr>
          <w:rFonts w:ascii="Times New Roman" w:hAnsi="Times New Roman" w:eastAsia="ＭＳ 明朝"/>
          <w:b w:val="0"/>
          <w:color w:val="000000"/>
          <w:sz w:val="20"/>
        </w:rPr>
        <w:t>同じ役割の中では、値動きが穏やかで・売買しやすく・証拠が強く・データが信頼できる会社を厚くする(式13)。</w:t>
      </w:r>
    </w:p>
    <w:p>
      <w:pPr>
        <w:spacing w:before="0" w:after="40" w:line="293" w:lineRule="auto"/>
        <w:ind w:firstLine="0" w:firstLineChars="0"/>
      </w:pPr>
      <w:r>
        <w:rPr>
          <w:rFonts w:ascii="Arial" w:hAnsi="Arial" w:eastAsia="ＭＳ ゴシック"/>
          <w:b/>
          <w:color w:val="16324F"/>
          <w:sz w:val="20"/>
        </w:rPr>
        <w:t xml:space="preserve">・第四段階　</w:t>
      </w:r>
      <w:r>
        <w:rPr>
          <w:rFonts w:ascii="Times New Roman" w:hAnsi="Times New Roman" w:eastAsia="ＭＳ 明朝"/>
          <w:b w:val="0"/>
          <w:color w:val="000000"/>
          <w:sz w:val="20"/>
        </w:rPr>
        <w:t>1銘柄8％の上限をかけ、実際に買える株数へ丸める(式14)。</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式（13）役割予算つきの配分 ― 選定済み20社への配り方</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ω</m:t>
                    </m:r>
                  </m:e>
                  <m:sub>
                    <m:r>
                      <m:t>i</m:t>
                    </m:r>
                  </m:sub>
                </m:sSub>
                <m:r>
                  <m:rPr>
                    <m:sty m:val="p"/>
                  </m:rPr>
                  <m:t>=</m:t>
                </m:r>
                <m:sSub>
                  <m:e>
                    <m:r>
                      <m:t>B</m:t>
                    </m:r>
                  </m:e>
                  <m:sub>
                    <m:r>
                      <m:t>r</m:t>
                    </m:r>
                    <m:r>
                      <m:rPr>
                        <m:sty m:val="p"/>
                      </m:rPr>
                      <m:t>(</m:t>
                    </m:r>
                    <m:r>
                      <m:t>i</m:t>
                    </m:r>
                    <m:r>
                      <m:rPr>
                        <m:sty m:val="p"/>
                      </m:rPr>
                      <m:t>)</m:t>
                    </m:r>
                  </m:sub>
                </m:sSub>
                <m:r>
                  <m:rPr>
                    <m:sty m:val="p"/>
                  </m:rPr>
                  <m:t>⋅</m:t>
                </m:r>
                <m:f>
                  <m:fPr>
                    <m:type m:val="bar"/>
                  </m:fPr>
                  <m:num>
                    <m:sSub>
                      <m:e>
                        <m:r>
                          <m:t>ρ</m:t>
                        </m:r>
                      </m:e>
                      <m:sub>
                        <m:r>
                          <m:t>i</m:t>
                        </m:r>
                      </m:sub>
                    </m:sSub>
                  </m:num>
                  <m:den>
                    <m:nary>
                      <m:naryPr>
                        <m:chr m:val="∑"/>
                        <m:limLoc m:val="undOvr"/>
                        <m:subHide m:val="off"/>
                        <m:supHide m:val="on"/>
                      </m:naryPr>
                      <m:sub>
                        <m:r>
                          <m:t>j</m:t>
                        </m:r>
                        <m:r>
                          <m:rPr>
                            <m:sty m:val="p"/>
                          </m:rPr>
                          <m:t>:</m:t>
                        </m:r>
                        <m:r>
                          <m:t> </m:t>
                        </m:r>
                        <m:r>
                          <m:t>r</m:t>
                        </m:r>
                        <m:r>
                          <m:rPr>
                            <m:sty m:val="p"/>
                          </m:rPr>
                          <m:t>(</m:t>
                        </m:r>
                        <m:r>
                          <m:t>j</m:t>
                        </m:r>
                        <m:r>
                          <m:rPr>
                            <m:sty m:val="p"/>
                          </m:rPr>
                          <m:t>)</m:t>
                        </m:r>
                        <m:r>
                          <m:rPr>
                            <m:sty m:val="p"/>
                          </m:rPr>
                          <m:t>=</m:t>
                        </m:r>
                        <m:r>
                          <m:t>r</m:t>
                        </m:r>
                        <m:r>
                          <m:rPr>
                            <m:sty m:val="p"/>
                          </m:rPr>
                          <m:t>(</m:t>
                        </m:r>
                        <m:r>
                          <m:t>i</m:t>
                        </m:r>
                        <m:r>
                          <m:rPr>
                            <m:sty m:val="p"/>
                          </m:rPr>
                          <m:t>)</m:t>
                        </m:r>
                      </m:sub>
                      <m:sup>
                        <m:r>
                          <m:t>​</m:t>
                        </m:r>
                      </m:sup>
                      <m:e>
                        <m:sSub>
                          <m:e>
                            <m:r>
                              <m:t>ρ</m:t>
                            </m:r>
                          </m:e>
                          <m:sub>
                            <m:r>
                              <m:t>j</m:t>
                            </m:r>
                          </m:sub>
                        </m:sSub>
                      </m:e>
                    </m:nary>
                  </m:den>
                </m:f>
                <m:r>
                  <m:rPr>
                    <m:sty m:val="p"/>
                  </m:rPr>
                  <m:t>,</m:t>
                </m:r>
                <m:r>
                  <m:t>  </m:t>
                </m:r>
                <m:sSub>
                  <m:e>
                    <m:r>
                      <m:t>ρ</m:t>
                    </m:r>
                  </m:e>
                  <m:sub>
                    <m:r>
                      <m:t>i</m:t>
                    </m:r>
                  </m:sub>
                </m:sSub>
                <m:r>
                  <m:rPr>
                    <m:sty m:val="p"/>
                  </m:rPr>
                  <m:t>=</m:t>
                </m:r>
                <m:f>
                  <m:fPr>
                    <m:type m:val="bar"/>
                  </m:fPr>
                  <m:num>
                    <m:sSub>
                      <m:e>
                        <m:r>
                          <m:t>ℓ</m:t>
                        </m:r>
                      </m:e>
                      <m:sub>
                        <m:r>
                          <m:t>i</m:t>
                        </m:r>
                      </m:sub>
                    </m:sSub>
                    <m:r>
                      <m:t> </m:t>
                    </m:r>
                    <m:sSub>
                      <m:e>
                        <m:r>
                          <m:t>e</m:t>
                        </m:r>
                      </m:e>
                      <m:sub>
                        <m:r>
                          <m:t>i</m:t>
                        </m:r>
                      </m:sub>
                    </m:sSub>
                    <m:r>
                      <m:t> </m:t>
                    </m:r>
                    <m:sSub>
                      <m:e>
                        <m:r>
                          <m:t>c</m:t>
                        </m:r>
                      </m:e>
                      <m:sub>
                        <m:r>
                          <m:t>i</m:t>
                        </m:r>
                      </m:sub>
                    </m:sSub>
                  </m:num>
                  <m:den>
                    <m:r>
                      <m:rPr>
                        <m:sty m:val="p"/>
                      </m:rPr>
                      <m:t>max</m:t>
                    </m:r>
                    <m:r>
                      <m:rPr>
                        <m:sty m:val="p"/>
                      </m:rPr>
                      <m:t>(</m:t>
                    </m:r>
                    <m:sSub>
                      <m:e>
                        <m:r>
                          <m:t>σ</m:t>
                        </m:r>
                      </m:e>
                      <m:sub>
                        <m:r>
                          <m:t>i</m:t>
                        </m:r>
                      </m:sub>
                    </m:sSub>
                    <m:r>
                      <m:rPr>
                        <m:sty m:val="p"/>
                      </m:rPr>
                      <m:t>,</m:t>
                    </m:r>
                    <m:r>
                      <m:t> </m:t>
                    </m:r>
                    <m:r>
                      <m:t>0.10</m:t>
                    </m:r>
                    <m:r>
                      <m:rPr>
                        <m:sty m:val="p"/>
                      </m:rPr>
                      <m:t>)</m:t>
                    </m:r>
                  </m:den>
                </m:f>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Ｂ＝役割ごとの予算(25/25/25/15/10％)　ℓ＝売買のしやすさ　ｅ＝証拠の強さ　ｃ＝データの信頼度　σ＝1年の値動きの大きさ。8％を超えた分は同じ役割の中で配り直す。</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よって、同じ役割の中では「値動きが穏やかで・売買しやすく・証拠が強い」会社ほど厚く持つ。</w:t>
      </w:r>
    </w:p>
    <w:tbl>
      <w:tblPr>
        <w:tblW w:type="auto" w:w="0"/>
        <w:jc w:val="center"/>
        <w:tblLook w:firstColumn="1" w:firstRow="1" w:lastColumn="0" w:lastRow="0" w:noHBand="0" w:noVBand="1" w:val="04A0"/>
      </w:tblPr>
      <w:tblGrid>
        <w:gridCol w:w="9866"/>
      </w:tblGrid>
      <w:tr>
        <w:trPr>
          <w:cantSplit/>
        </w:trPr>
        <w:tc>
          <w:tcPr>
            <w:tcW w:type="dxa" w:w="9638"/>
            <w:shd w:val="clear" w:color="auto" w:fill="16324F"/>
            <w:tcBorders>
              <w:top w:val="single" w:sz="6" w:space="0" w:color="000000"/>
              <w:bottom w:val="single" w:sz="6" w:space="0" w:color="000000"/>
              <w:left w:val="single" w:sz="6" w:space="0" w:color="000000"/>
              <w:right w:val="single" w:sz="6" w:space="0" w:color="000000"/>
            </w:tcBorders>
          </w:tcPr>
          <w:p>
            <w:pPr>
              <w:keepNext/>
              <w:spacing w:after="0"/>
              <w:ind w:firstLine="0" w:firstLineChars="0"/>
            </w:pPr>
            <w:r>
              <w:rPr>
                <w:rFonts w:ascii="Arial" w:hAnsi="Arial" w:eastAsia="ＭＳ ゴシック"/>
                <w:b/>
                <w:color w:val="FFFFFF"/>
                <w:sz w:val="21"/>
              </w:rPr>
              <w:t xml:space="preserve">　式（14）単元株の調整 ― 実際に買える株数へ丸める</w:t>
            </w:r>
          </w:p>
        </w:tc>
      </w:tr>
      <w:tr>
        <w:trPr>
          <w:cantSplit/>
        </w:trPr>
        <w:tc>
          <w:tcPr>
            <w:tcW w:type="dxa" w:w="9638"/>
            <w:tcBorders>
              <w:bottom w:val="single" w:sz="6" w:space="0" w:color="000000"/>
              <w:left w:val="single" w:sz="6" w:space="0" w:color="000000"/>
              <w:right w:val="single" w:sz="6" w:space="0" w:color="000000"/>
            </w:tcBorders>
          </w:tcPr>
          <w:p>
            <w:pPr>
              <w:jc w:val="center"/>
              <w:keepNext/>
              <w:spacing w:before="80" w:after="80"/>
              <w:ind w:firstLine="0" w:firstLineChars="0"/>
            </w:pPr>
            <m:oMathPara>
              <m:oMathParaPr>
                <m:jc m:val="center"/>
              </m:oMathParaPr>
              <m:oMath>
                <m:sSub>
                  <m:e>
                    <m:r>
                      <m:t>q</m:t>
                    </m:r>
                  </m:e>
                  <m:sub>
                    <m:r>
                      <m:t>i</m:t>
                    </m:r>
                  </m:sub>
                </m:sSub>
                <m:r>
                  <m:rPr>
                    <m:sty m:val="p"/>
                  </m:rPr>
                  <m:t>=</m:t>
                </m:r>
                <m:sSub>
                  <m:e>
                    <m:r>
                      <m:t>L</m:t>
                    </m:r>
                  </m:e>
                  <m:sub>
                    <m:r>
                      <m:t>i</m:t>
                    </m:r>
                  </m:sub>
                </m:sSub>
                <m:r>
                  <m:rPr>
                    <m:sty m:val="p"/>
                  </m:rPr>
                  <m:t>⋅</m:t>
                </m:r>
                <m:r>
                  <m:rPr>
                    <m:sty m:val="p"/>
                  </m:rPr>
                  <m:t>floor</m:t>
                </m:r>
                <m:r>
                  <m:t>​</m:t>
                </m:r>
                <m:d>
                  <m:dPr>
                    <m:begChr m:val="("/>
                    <m:sepChr m:val=""/>
                    <m:endChr m:val=")"/>
                    <m:grow/>
                  </m:dPr>
                  <m:e>
                    <m:f>
                      <m:fPr>
                        <m:type m:val="bar"/>
                      </m:fPr>
                      <m:num>
                        <m:r>
                          <m:t>B</m:t>
                        </m:r>
                        <m:r>
                          <m:t> </m:t>
                        </m:r>
                        <m:sSub>
                          <m:e>
                            <m:r>
                              <m:t>ω</m:t>
                            </m:r>
                          </m:e>
                          <m:sub>
                            <m:r>
                              <m:t>i</m:t>
                            </m:r>
                          </m:sub>
                        </m:sSub>
                      </m:num>
                      <m:den>
                        <m:sSub>
                          <m:e>
                            <m:r>
                              <m:t>P</m:t>
                            </m:r>
                          </m:e>
                          <m:sub>
                            <m:r>
                              <m:t>i</m:t>
                            </m:r>
                          </m:sub>
                        </m:sSub>
                        <m:sSub>
                          <m:e>
                            <m:r>
                              <m:t>L</m:t>
                            </m:r>
                          </m:e>
                          <m:sub>
                            <m:r>
                              <m:t>i</m:t>
                            </m:r>
                          </m:sub>
                        </m:sSub>
                      </m:den>
                    </m:f>
                  </m:e>
                </m:d>
              </m:oMath>
            </m:oMathPara>
          </w:p>
        </w:tc>
      </w:tr>
      <w:tr>
        <w:trPr>
          <w:cantSplit/>
        </w:trPr>
        <w:tc>
          <w:tcPr>
            <w:tcW w:type="dxa" w:w="9638"/>
            <w:tcBorders>
              <w:bottom w:val="single" w:sz="6" w:space="0" w:color="000000"/>
              <w:left w:val="single" w:sz="6" w:space="0" w:color="000000"/>
              <w:right w:val="single" w:sz="6" w:space="0" w:color="000000"/>
            </w:tcBorders>
          </w:tcPr>
          <w:p>
            <w:pPr>
              <w:spacing w:before="40" w:after="40"/>
              <w:ind w:firstLine="0" w:firstLineChars="0"/>
            </w:pPr>
            <w:r>
              <w:rPr>
                <w:rFonts w:ascii="Times New Roman" w:hAnsi="Times New Roman" w:eastAsia="ＭＳ 明朝"/>
                <w:b w:val="0"/>
                <w:color w:val="000000"/>
                <w:sz w:val="20"/>
              </w:rPr>
              <w:t>ｑ＝購入株数　Ｌ＝売買単位(基準1株)　Ｂ＝総予算500万円　ω＝目標比率　Ｐ＝株価　floor＝切り捨て。</w:t>
            </w:r>
          </w:p>
        </w:tc>
      </w:tr>
    </w:tbl>
    <w:p>
      <w:pPr>
        <w:spacing w:before="0" w:after="60" w:line="298" w:lineRule="auto"/>
        <w:ind w:firstLine="0" w:firstLineChars="0"/>
      </w:pPr>
    </w:p>
    <w:p>
      <w:pPr>
        <w:spacing w:before="0" w:after="120" w:line="298" w:lineRule="auto"/>
        <w:ind w:firstLine="0" w:firstLineChars="0"/>
      </w:pPr>
      <w:r>
        <w:rPr>
          <w:rFonts w:ascii="Arial" w:hAnsi="Arial" w:eastAsia="ＭＳ ゴシック"/>
          <w:b/>
          <w:color w:val="2F6D5F"/>
          <w:sz w:val="21"/>
        </w:rPr>
        <w:t xml:space="preserve">→ 判定　</w:t>
      </w:r>
      <w:r>
        <w:rPr>
          <w:rFonts w:ascii="Times New Roman" w:hAnsi="Times New Roman" w:eastAsia="ＭＳ 明朝"/>
          <w:b/>
          <w:color w:val="000000"/>
          <w:sz w:val="21"/>
        </w:rPr>
        <w:t>よって、目標比率を実際に買える株数へ丸め、総予算500万円のうち4,949,198円(使用率99.0%)を投資に充てた。</w:t>
      </w:r>
    </w:p>
    <w:p>
      <w:pPr>
        <w:spacing w:after="80" w:line="281" w:lineRule="auto"/>
        <w:jc w:val="both"/>
        <w:ind w:firstLineChars="100" w:firstLine="210"/>
      </w:pPr>
      <w:r>
        <w:rPr>
          <w:rFonts w:ascii="Times New Roman" w:hAnsi="Times New Roman" w:eastAsia="ＭＳ 明朝"/>
          <w:b w:val="0"/>
          <w:color w:val="000000"/>
          <w:sz w:val="21"/>
        </w:rPr>
        <w:t>最終配分を図表Ⅲ-1に示す。最大の保有はゼンリンの7.46％、役割の合計は25/25/25/15/10％で、すべて決めた範囲の中にある。実際の売買単位(100株)では株価の高い銘柄が買えないため、1株から買える単元未満株の利用を前提とした。</w:t>
      </w:r>
    </w:p>
    <w:tbl>
      <w:tblPr>
        <w:tblStyle w:val="TableGrid"/>
        <w:tblW w:type="auto" w:w="0"/>
        <w:jc w:val="center"/>
        <w:tblLook w:firstColumn="1" w:firstRow="1" w:lastColumn="0" w:lastRow="0" w:noHBand="0" w:noVBand="1" w:val="04A0"/>
      </w:tblPr>
      <w:tblGrid>
        <w:gridCol w:w="1409"/>
        <w:gridCol w:w="1409"/>
        <w:gridCol w:w="1409"/>
        <w:gridCol w:w="1409"/>
        <w:gridCol w:w="1409"/>
        <w:gridCol w:w="1409"/>
        <w:gridCol w:w="1409"/>
      </w:tblGrid>
      <w:tr>
        <w:trPr>
          <w:cantSplit/>
        </w:trPr>
        <w:tc>
          <w:tcPr>
            <w:tcW w:type="dxa" w:w="794"/>
            <w:shd w:val="clear" w:color="auto" w:fill="16324F"/>
          </w:tcPr>
          <w:p>
            <w:pPr>
              <w:spacing w:after="0"/>
              <w:ind w:firstLine="0" w:firstLineChars="0"/>
            </w:pPr>
            <w:r>
              <w:rPr>
                <w:rFonts w:ascii="Arial" w:hAnsi="Arial" w:eastAsia="ＭＳ ゴシック"/>
                <w:b/>
                <w:color w:val="FFFFFF"/>
                <w:sz w:val="20"/>
              </w:rPr>
              <w:t>コード</w:t>
            </w:r>
          </w:p>
        </w:tc>
        <w:tc>
          <w:tcPr>
            <w:tcW w:type="dxa" w:w="2608"/>
            <w:shd w:val="clear" w:color="auto" w:fill="16324F"/>
          </w:tcPr>
          <w:p>
            <w:pPr>
              <w:spacing w:after="0"/>
              <w:ind w:firstLine="0" w:firstLineChars="0"/>
            </w:pPr>
            <w:r>
              <w:rPr>
                <w:rFonts w:ascii="Arial" w:hAnsi="Arial" w:eastAsia="ＭＳ ゴシック"/>
                <w:b/>
                <w:color w:val="FFFFFF"/>
                <w:sz w:val="20"/>
              </w:rPr>
              <w:t>企業名</w:t>
            </w:r>
          </w:p>
        </w:tc>
        <w:tc>
          <w:tcPr>
            <w:tcW w:type="dxa" w:w="1020"/>
            <w:shd w:val="clear" w:color="auto" w:fill="16324F"/>
          </w:tcPr>
          <w:p>
            <w:pPr>
              <w:spacing w:after="0"/>
              <w:ind w:firstLine="0" w:firstLineChars="0"/>
            </w:pPr>
            <w:r>
              <w:rPr>
                <w:rFonts w:ascii="Arial" w:hAnsi="Arial" w:eastAsia="ＭＳ ゴシック"/>
                <w:b/>
                <w:color w:val="FFFFFF"/>
                <w:sz w:val="20"/>
              </w:rPr>
              <w:t>役割</w:t>
            </w:r>
          </w:p>
        </w:tc>
        <w:tc>
          <w:tcPr>
            <w:tcW w:type="dxa" w:w="1701"/>
            <w:shd w:val="clear" w:color="auto" w:fill="16324F"/>
          </w:tcPr>
          <w:p>
            <w:pPr>
              <w:spacing w:after="0"/>
              <w:ind w:firstLine="0" w:firstLineChars="0"/>
            </w:pPr>
            <w:r>
              <w:rPr>
                <w:rFonts w:ascii="Arial" w:hAnsi="Arial" w:eastAsia="ＭＳ ゴシック"/>
                <w:b/>
                <w:color w:val="FFFFFF"/>
                <w:sz w:val="20"/>
              </w:rPr>
              <w:t>テーマ</w:t>
            </w:r>
          </w:p>
        </w:tc>
        <w:tc>
          <w:tcPr>
            <w:tcW w:type="dxa" w:w="850"/>
            <w:shd w:val="clear" w:color="auto" w:fill="16324F"/>
          </w:tcPr>
          <w:p>
            <w:pPr>
              <w:spacing w:after="0"/>
              <w:ind w:firstLine="0" w:firstLineChars="0"/>
            </w:pPr>
            <w:r>
              <w:rPr>
                <w:rFonts w:ascii="Arial" w:hAnsi="Arial" w:eastAsia="ＭＳ ゴシック"/>
                <w:b/>
                <w:color w:val="FFFFFF"/>
                <w:sz w:val="20"/>
              </w:rPr>
              <w:t>比率</w:t>
            </w:r>
          </w:p>
        </w:tc>
        <w:tc>
          <w:tcPr>
            <w:tcW w:type="dxa" w:w="737"/>
            <w:shd w:val="clear" w:color="auto" w:fill="16324F"/>
          </w:tcPr>
          <w:p>
            <w:pPr>
              <w:spacing w:after="0"/>
              <w:ind w:firstLine="0" w:firstLineChars="0"/>
            </w:pPr>
            <w:r>
              <w:rPr>
                <w:rFonts w:ascii="Arial" w:hAnsi="Arial" w:eastAsia="ＭＳ ゴシック"/>
                <w:b/>
                <w:color w:val="FFFFFF"/>
                <w:sz w:val="20"/>
              </w:rPr>
              <w:t>株数</w:t>
            </w:r>
          </w:p>
        </w:tc>
        <w:tc>
          <w:tcPr>
            <w:tcW w:type="dxa" w:w="1247"/>
            <w:shd w:val="clear" w:color="auto" w:fill="16324F"/>
          </w:tcPr>
          <w:p>
            <w:pPr>
              <w:spacing w:after="0"/>
              <w:ind w:firstLine="0" w:firstLineChars="0"/>
            </w:pPr>
            <w:r>
              <w:rPr>
                <w:rFonts w:ascii="Arial" w:hAnsi="Arial" w:eastAsia="ＭＳ ゴシック"/>
                <w:b/>
                <w:color w:val="FFFFFF"/>
                <w:sz w:val="20"/>
              </w:rPr>
              <w:t>金額</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9470</w:t>
            </w:r>
          </w:p>
        </w:tc>
        <w:tc>
          <w:tcPr>
            <w:tcW w:type="dxa" w:w="2608"/>
          </w:tcPr>
          <w:p>
            <w:pPr>
              <w:spacing w:after="0"/>
              <w:ind w:firstLine="0" w:firstLineChars="0"/>
              <w:jc w:val="left"/>
            </w:pPr>
            <w:r>
              <w:rPr>
                <w:rFonts w:ascii="Times New Roman" w:hAnsi="Times New Roman" w:eastAsia="ＭＳ 明朝"/>
                <w:b w:val="0"/>
                <w:color w:val="000000"/>
                <w:sz w:val="20"/>
              </w:rPr>
              <w:t>学研ホールディングス</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6.88％</w:t>
            </w:r>
          </w:p>
        </w:tc>
        <w:tc>
          <w:tcPr>
            <w:tcW w:type="dxa" w:w="737"/>
          </w:tcPr>
          <w:p>
            <w:pPr>
              <w:spacing w:after="0"/>
              <w:ind w:firstLine="0" w:firstLineChars="0"/>
              <w:jc w:val="left"/>
            </w:pPr>
            <w:r>
              <w:rPr>
                <w:rFonts w:ascii="Times New Roman" w:hAnsi="Times New Roman" w:eastAsia="ＭＳ 明朝"/>
                <w:b w:val="0"/>
                <w:color w:val="000000"/>
                <w:sz w:val="20"/>
              </w:rPr>
              <w:t>365</w:t>
            </w:r>
          </w:p>
        </w:tc>
        <w:tc>
          <w:tcPr>
            <w:tcW w:type="dxa" w:w="1247"/>
          </w:tcPr>
          <w:p>
            <w:pPr>
              <w:spacing w:after="0"/>
              <w:ind w:firstLine="0" w:firstLineChars="0"/>
              <w:jc w:val="left"/>
            </w:pPr>
            <w:r>
              <w:rPr>
                <w:rFonts w:ascii="Times New Roman" w:hAnsi="Times New Roman" w:eastAsia="ＭＳ 明朝"/>
                <w:b w:val="0"/>
                <w:color w:val="000000"/>
                <w:sz w:val="20"/>
              </w:rPr>
              <w:t>343,465円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3539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ＪＭホールディングス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5.58％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223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278,304円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6430</w:t>
            </w:r>
          </w:p>
        </w:tc>
        <w:tc>
          <w:tcPr>
            <w:tcW w:type="dxa" w:w="2608"/>
          </w:tcPr>
          <w:p>
            <w:pPr>
              <w:spacing w:after="0"/>
              <w:ind w:firstLine="0" w:firstLineChars="0"/>
              <w:jc w:val="left"/>
            </w:pPr>
            <w:r>
              <w:rPr>
                <w:rFonts w:ascii="Times New Roman" w:hAnsi="Times New Roman" w:eastAsia="ＭＳ 明朝"/>
                <w:b w:val="0"/>
                <w:color w:val="000000"/>
                <w:sz w:val="20"/>
              </w:rPr>
              <w:t>ダイコク電機</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5.43％</w:t>
            </w:r>
          </w:p>
        </w:tc>
        <w:tc>
          <w:tcPr>
            <w:tcW w:type="dxa" w:w="737"/>
          </w:tcPr>
          <w:p>
            <w:pPr>
              <w:spacing w:after="0"/>
              <w:ind w:firstLine="0" w:firstLineChars="0"/>
              <w:jc w:val="left"/>
            </w:pPr>
            <w:r>
              <w:rPr>
                <w:rFonts w:ascii="Times New Roman" w:hAnsi="Times New Roman" w:eastAsia="ＭＳ 明朝"/>
                <w:b w:val="0"/>
                <w:color w:val="000000"/>
                <w:sz w:val="20"/>
              </w:rPr>
              <w:t>130</w:t>
            </w:r>
          </w:p>
        </w:tc>
        <w:tc>
          <w:tcPr>
            <w:tcW w:type="dxa" w:w="1247"/>
          </w:tcPr>
          <w:p>
            <w:pPr>
              <w:spacing w:after="0"/>
              <w:ind w:firstLine="0" w:firstLineChars="0"/>
              <w:jc w:val="left"/>
            </w:pPr>
            <w:r>
              <w:rPr>
                <w:rFonts w:ascii="Times New Roman" w:hAnsi="Times New Roman" w:eastAsia="ＭＳ 明朝"/>
                <w:b w:val="0"/>
                <w:color w:val="000000"/>
                <w:sz w:val="20"/>
              </w:rPr>
              <w:t>271,050円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4350</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メディカルシステムネットワーク</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完成した堀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4.21％</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409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210,226円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7803</w:t>
            </w:r>
          </w:p>
        </w:tc>
        <w:tc>
          <w:tcPr>
            <w:tcW w:type="dxa" w:w="2608"/>
          </w:tcPr>
          <w:p>
            <w:pPr>
              <w:spacing w:after="0"/>
              <w:ind w:firstLine="0" w:firstLineChars="0"/>
              <w:jc w:val="left"/>
            </w:pPr>
            <w:r>
              <w:rPr>
                <w:rFonts w:ascii="Times New Roman" w:hAnsi="Times New Roman" w:eastAsia="ＭＳ 明朝"/>
                <w:b w:val="0"/>
                <w:color w:val="000000"/>
                <w:sz w:val="20"/>
              </w:rPr>
              <w:t>ブシロード</w:t>
            </w:r>
          </w:p>
        </w:tc>
        <w:tc>
          <w:tcPr>
            <w:tcW w:type="dxa" w:w="1020"/>
          </w:tcPr>
          <w:p>
            <w:pPr>
              <w:spacing w:after="0"/>
              <w:ind w:firstLine="0" w:firstLineChars="0"/>
              <w:jc w:val="left"/>
            </w:pPr>
            <w:r>
              <w:rPr>
                <w:rFonts w:ascii="Times New Roman" w:hAnsi="Times New Roman" w:eastAsia="ＭＳ 明朝"/>
                <w:b w:val="0"/>
                <w:color w:val="000000"/>
                <w:sz w:val="20"/>
              </w:rPr>
              <w:t>完成した堀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2.90％</w:t>
            </w:r>
          </w:p>
        </w:tc>
        <w:tc>
          <w:tcPr>
            <w:tcW w:type="dxa" w:w="737"/>
          </w:tcPr>
          <w:p>
            <w:pPr>
              <w:spacing w:after="0"/>
              <w:ind w:firstLine="0" w:firstLineChars="0"/>
              <w:jc w:val="left"/>
            </w:pPr>
            <w:r>
              <w:rPr>
                <w:rFonts w:ascii="Times New Roman" w:hAnsi="Times New Roman" w:eastAsia="ＭＳ 明朝"/>
                <w:b w:val="0"/>
                <w:color w:val="000000"/>
                <w:sz w:val="20"/>
              </w:rPr>
              <w:t>562</w:t>
            </w:r>
          </w:p>
        </w:tc>
        <w:tc>
          <w:tcPr>
            <w:tcW w:type="dxa" w:w="1247"/>
          </w:tcPr>
          <w:p>
            <w:pPr>
              <w:spacing w:after="0"/>
              <w:ind w:firstLine="0" w:firstLineChars="0"/>
              <w:jc w:val="left"/>
            </w:pPr>
            <w:r>
              <w:rPr>
                <w:rFonts w:ascii="Times New Roman" w:hAnsi="Times New Roman" w:eastAsia="ＭＳ 明朝"/>
                <w:b w:val="0"/>
                <w:color w:val="000000"/>
                <w:sz w:val="20"/>
              </w:rPr>
              <w:t>144,996円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5902</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ホッカンホールディングス</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6.70％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150</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333,000円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9828</w:t>
            </w:r>
          </w:p>
        </w:tc>
        <w:tc>
          <w:tcPr>
            <w:tcW w:type="dxa" w:w="2608"/>
          </w:tcPr>
          <w:p>
            <w:pPr>
              <w:spacing w:after="0"/>
              <w:ind w:firstLine="0" w:firstLineChars="0"/>
              <w:jc w:val="left"/>
            </w:pPr>
            <w:r>
              <w:rPr>
                <w:rFonts w:ascii="Times New Roman" w:hAnsi="Times New Roman" w:eastAsia="ＭＳ 明朝"/>
                <w:b w:val="0"/>
                <w:color w:val="000000"/>
                <w:sz w:val="20"/>
              </w:rPr>
              <w:t>Genki Global Dining Concepts</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5.50％</w:t>
            </w:r>
          </w:p>
        </w:tc>
        <w:tc>
          <w:tcPr>
            <w:tcW w:type="dxa" w:w="737"/>
          </w:tcPr>
          <w:p>
            <w:pPr>
              <w:spacing w:after="0"/>
              <w:ind w:firstLine="0" w:firstLineChars="0"/>
              <w:jc w:val="left"/>
            </w:pPr>
            <w:r>
              <w:rPr>
                <w:rFonts w:ascii="Times New Roman" w:hAnsi="Times New Roman" w:eastAsia="ＭＳ 明朝"/>
                <w:b w:val="0"/>
                <w:color w:val="000000"/>
                <w:sz w:val="20"/>
              </w:rPr>
              <w:t>99</w:t>
            </w:r>
          </w:p>
        </w:tc>
        <w:tc>
          <w:tcPr>
            <w:tcW w:type="dxa" w:w="1247"/>
          </w:tcPr>
          <w:p>
            <w:pPr>
              <w:spacing w:after="0"/>
              <w:ind w:firstLine="0" w:firstLineChars="0"/>
              <w:jc w:val="left"/>
            </w:pPr>
            <w:r>
              <w:rPr>
                <w:rFonts w:ascii="Times New Roman" w:hAnsi="Times New Roman" w:eastAsia="ＭＳ 明朝"/>
                <w:b w:val="0"/>
                <w:color w:val="000000"/>
                <w:sz w:val="20"/>
              </w:rPr>
              <w:t>272,646円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8037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カメイ</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4.84％</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69</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238,740円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3863</w:t>
            </w:r>
          </w:p>
        </w:tc>
        <w:tc>
          <w:tcPr>
            <w:tcW w:type="dxa" w:w="2608"/>
          </w:tcPr>
          <w:p>
            <w:pPr>
              <w:spacing w:after="0"/>
              <w:ind w:firstLine="0" w:firstLineChars="0"/>
              <w:jc w:val="left"/>
            </w:pPr>
            <w:r>
              <w:rPr>
                <w:rFonts w:ascii="Times New Roman" w:hAnsi="Times New Roman" w:eastAsia="ＭＳ 明朝"/>
                <w:b w:val="0"/>
                <w:color w:val="000000"/>
                <w:sz w:val="20"/>
              </w:rPr>
              <w:t>日本製紙</w:t>
            </w:r>
          </w:p>
        </w:tc>
        <w:tc>
          <w:tcPr>
            <w:tcW w:type="dxa" w:w="1020"/>
          </w:tcPr>
          <w:p>
            <w:pPr>
              <w:spacing w:after="0"/>
              <w:ind w:firstLine="0" w:firstLineChars="0"/>
              <w:jc w:val="left"/>
            </w:pPr>
            <w:r>
              <w:rPr>
                <w:rFonts w:ascii="Times New Roman" w:hAnsi="Times New Roman" w:eastAsia="ＭＳ 明朝"/>
                <w:b w:val="0"/>
                <w:color w:val="000000"/>
                <w:sz w:val="20"/>
              </w:rPr>
              <w:t>変わる堀</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4.28％</w:t>
            </w:r>
          </w:p>
        </w:tc>
        <w:tc>
          <w:tcPr>
            <w:tcW w:type="dxa" w:w="737"/>
          </w:tcPr>
          <w:p>
            <w:pPr>
              <w:spacing w:after="0"/>
              <w:ind w:firstLine="0" w:firstLineChars="0"/>
              <w:jc w:val="left"/>
            </w:pPr>
            <w:r>
              <w:rPr>
                <w:rFonts w:ascii="Times New Roman" w:hAnsi="Times New Roman" w:eastAsia="ＭＳ 明朝"/>
                <w:b w:val="0"/>
                <w:color w:val="000000"/>
                <w:sz w:val="20"/>
              </w:rPr>
              <w:t>174</w:t>
            </w:r>
          </w:p>
        </w:tc>
        <w:tc>
          <w:tcPr>
            <w:tcW w:type="dxa" w:w="1247"/>
          </w:tcPr>
          <w:p>
            <w:pPr>
              <w:spacing w:after="0"/>
              <w:ind w:firstLine="0" w:firstLineChars="0"/>
              <w:jc w:val="left"/>
            </w:pPr>
            <w:r>
              <w:rPr>
                <w:rFonts w:ascii="Times New Roman" w:hAnsi="Times New Roman" w:eastAsia="ＭＳ 明朝"/>
                <w:b w:val="0"/>
                <w:color w:val="000000"/>
                <w:sz w:val="20"/>
              </w:rPr>
              <w:t>212,976円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5233</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太平洋セメント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変わる堀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3.68％</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41</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182,778円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6368</w:t>
            </w:r>
          </w:p>
        </w:tc>
        <w:tc>
          <w:tcPr>
            <w:tcW w:type="dxa" w:w="2608"/>
          </w:tcPr>
          <w:p>
            <w:pPr>
              <w:spacing w:after="0"/>
              <w:ind w:firstLine="0" w:firstLineChars="0"/>
              <w:jc w:val="left"/>
            </w:pPr>
            <w:r>
              <w:rPr>
                <w:rFonts w:ascii="Times New Roman" w:hAnsi="Times New Roman" w:eastAsia="ＭＳ 明朝"/>
                <w:b w:val="0"/>
                <w:color w:val="000000"/>
                <w:sz w:val="20"/>
              </w:rPr>
              <w:t>オルガノ</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半導体</w:t>
            </w:r>
          </w:p>
        </w:tc>
        <w:tc>
          <w:tcPr>
            <w:tcW w:type="dxa" w:w="850"/>
          </w:tcPr>
          <w:p>
            <w:pPr>
              <w:spacing w:after="0"/>
              <w:ind w:firstLine="0" w:firstLineChars="0"/>
              <w:jc w:val="left"/>
            </w:pPr>
            <w:r>
              <w:rPr>
                <w:rFonts w:ascii="Times New Roman" w:hAnsi="Times New Roman" w:eastAsia="ＭＳ 明朝"/>
                <w:b w:val="0"/>
                <w:color w:val="000000"/>
                <w:sz w:val="20"/>
              </w:rPr>
              <w:t>6.91％</w:t>
            </w:r>
          </w:p>
        </w:tc>
        <w:tc>
          <w:tcPr>
            <w:tcW w:type="dxa" w:w="737"/>
          </w:tcPr>
          <w:p>
            <w:pPr>
              <w:spacing w:after="0"/>
              <w:ind w:firstLine="0" w:firstLineChars="0"/>
              <w:jc w:val="left"/>
            </w:pPr>
            <w:r>
              <w:rPr>
                <w:rFonts w:ascii="Times New Roman" w:hAnsi="Times New Roman" w:eastAsia="ＭＳ 明朝"/>
                <w:b w:val="0"/>
                <w:color w:val="000000"/>
                <w:sz w:val="20"/>
              </w:rPr>
              <w:t>21</w:t>
            </w:r>
          </w:p>
        </w:tc>
        <w:tc>
          <w:tcPr>
            <w:tcW w:type="dxa" w:w="1247"/>
          </w:tcPr>
          <w:p>
            <w:pPr>
              <w:spacing w:after="0"/>
              <w:ind w:firstLine="0" w:firstLineChars="0"/>
              <w:jc w:val="left"/>
            </w:pPr>
            <w:r>
              <w:rPr>
                <w:rFonts w:ascii="Times New Roman" w:hAnsi="Times New Roman" w:eastAsia="ＭＳ 明朝"/>
                <w:b w:val="0"/>
                <w:color w:val="000000"/>
                <w:sz w:val="20"/>
              </w:rPr>
              <w:t>330,750円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6526</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ソシオネクスト</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4.90％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85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243,270円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6920</w:t>
            </w:r>
          </w:p>
        </w:tc>
        <w:tc>
          <w:tcPr>
            <w:tcW w:type="dxa" w:w="2608"/>
          </w:tcPr>
          <w:p>
            <w:pPr>
              <w:spacing w:after="0"/>
              <w:ind w:firstLine="0" w:firstLineChars="0"/>
              <w:jc w:val="left"/>
            </w:pPr>
            <w:r>
              <w:rPr>
                <w:rFonts w:ascii="Times New Roman" w:hAnsi="Times New Roman" w:eastAsia="ＭＳ 明朝"/>
                <w:b w:val="0"/>
                <w:color w:val="000000"/>
                <w:sz w:val="20"/>
              </w:rPr>
              <w:t>レーザーテック</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品質保証</w:t>
            </w:r>
          </w:p>
        </w:tc>
        <w:tc>
          <w:tcPr>
            <w:tcW w:type="dxa" w:w="850"/>
          </w:tcPr>
          <w:p>
            <w:pPr>
              <w:spacing w:after="0"/>
              <w:ind w:firstLine="0" w:firstLineChars="0"/>
              <w:jc w:val="left"/>
            </w:pPr>
            <w:r>
              <w:rPr>
                <w:rFonts w:ascii="Times New Roman" w:hAnsi="Times New Roman" w:eastAsia="ＭＳ 明朝"/>
                <w:b w:val="0"/>
                <w:color w:val="000000"/>
                <w:sz w:val="20"/>
              </w:rPr>
              <w:t>4.82％</w:t>
            </w:r>
          </w:p>
        </w:tc>
        <w:tc>
          <w:tcPr>
            <w:tcW w:type="dxa" w:w="737"/>
          </w:tcPr>
          <w:p>
            <w:pPr>
              <w:spacing w:after="0"/>
              <w:ind w:firstLine="0" w:firstLineChars="0"/>
              <w:jc w:val="left"/>
            </w:pPr>
            <w:r>
              <w:rPr>
                <w:rFonts w:ascii="Times New Roman" w:hAnsi="Times New Roman" w:eastAsia="ＭＳ 明朝"/>
                <w:b w:val="0"/>
                <w:color w:val="000000"/>
                <w:sz w:val="20"/>
              </w:rPr>
              <w:t>6</w:t>
            </w:r>
          </w:p>
        </w:tc>
        <w:tc>
          <w:tcPr>
            <w:tcW w:type="dxa" w:w="1247"/>
          </w:tcPr>
          <w:p>
            <w:pPr>
              <w:spacing w:after="0"/>
              <w:ind w:firstLine="0" w:firstLineChars="0"/>
              <w:jc w:val="left"/>
            </w:pPr>
            <w:r>
              <w:rPr>
                <w:rFonts w:ascii="Times New Roman" w:hAnsi="Times New Roman" w:eastAsia="ＭＳ 明朝"/>
                <w:b w:val="0"/>
                <w:color w:val="000000"/>
                <w:sz w:val="20"/>
              </w:rPr>
              <w:t>230,280円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6315</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ＴＯＷＡ</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生まれる堀</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半導体</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4.35％</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75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216,600円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5803</w:t>
            </w:r>
          </w:p>
        </w:tc>
        <w:tc>
          <w:tcPr>
            <w:tcW w:type="dxa" w:w="2608"/>
          </w:tcPr>
          <w:p>
            <w:pPr>
              <w:spacing w:after="0"/>
              <w:ind w:firstLine="0" w:firstLineChars="0"/>
              <w:jc w:val="left"/>
            </w:pPr>
            <w:r>
              <w:rPr>
                <w:rFonts w:ascii="Times New Roman" w:hAnsi="Times New Roman" w:eastAsia="ＭＳ 明朝"/>
                <w:b w:val="0"/>
                <w:color w:val="000000"/>
                <w:sz w:val="20"/>
              </w:rPr>
              <w:t>フジクラ</w:t>
            </w:r>
          </w:p>
        </w:tc>
        <w:tc>
          <w:tcPr>
            <w:tcW w:type="dxa" w:w="1020"/>
          </w:tcPr>
          <w:p>
            <w:pPr>
              <w:spacing w:after="0"/>
              <w:ind w:firstLine="0" w:firstLineChars="0"/>
              <w:jc w:val="left"/>
            </w:pPr>
            <w:r>
              <w:rPr>
                <w:rFonts w:ascii="Times New Roman" w:hAnsi="Times New Roman" w:eastAsia="ＭＳ 明朝"/>
                <w:b w:val="0"/>
                <w:color w:val="000000"/>
                <w:sz w:val="20"/>
              </w:rPr>
              <w:t>生まれる堀</w:t>
            </w:r>
          </w:p>
        </w:tc>
        <w:tc>
          <w:tcPr>
            <w:tcW w:type="dxa" w:w="1701"/>
          </w:tcPr>
          <w:p>
            <w:pPr>
              <w:spacing w:after="0"/>
              <w:ind w:firstLine="0" w:firstLineChars="0"/>
              <w:jc w:val="left"/>
            </w:pPr>
            <w:r>
              <w:rPr>
                <w:rFonts w:ascii="Times New Roman" w:hAnsi="Times New Roman" w:eastAsia="ＭＳ 明朝"/>
                <w:b w:val="0"/>
                <w:color w:val="000000"/>
                <w:sz w:val="20"/>
              </w:rPr>
              <w:t>光通信</w:t>
            </w:r>
          </w:p>
        </w:tc>
        <w:tc>
          <w:tcPr>
            <w:tcW w:type="dxa" w:w="850"/>
          </w:tcPr>
          <w:p>
            <w:pPr>
              <w:spacing w:after="0"/>
              <w:ind w:firstLine="0" w:firstLineChars="0"/>
              <w:jc w:val="left"/>
            </w:pPr>
            <w:r>
              <w:rPr>
                <w:rFonts w:ascii="Times New Roman" w:hAnsi="Times New Roman" w:eastAsia="ＭＳ 明朝"/>
                <w:b w:val="0"/>
                <w:color w:val="000000"/>
                <w:sz w:val="20"/>
              </w:rPr>
              <w:t>4.02％</w:t>
            </w:r>
          </w:p>
        </w:tc>
        <w:tc>
          <w:tcPr>
            <w:tcW w:type="dxa" w:w="737"/>
          </w:tcPr>
          <w:p>
            <w:pPr>
              <w:spacing w:after="0"/>
              <w:ind w:firstLine="0" w:firstLineChars="0"/>
              <w:jc w:val="left"/>
            </w:pPr>
            <w:r>
              <w:rPr>
                <w:rFonts w:ascii="Times New Roman" w:hAnsi="Times New Roman" w:eastAsia="ＭＳ 明朝"/>
                <w:b w:val="0"/>
                <w:color w:val="000000"/>
                <w:sz w:val="20"/>
              </w:rPr>
              <w:t>42</w:t>
            </w:r>
          </w:p>
        </w:tc>
        <w:tc>
          <w:tcPr>
            <w:tcW w:type="dxa" w:w="1247"/>
          </w:tcPr>
          <w:p>
            <w:pPr>
              <w:spacing w:after="0"/>
              <w:ind w:firstLine="0" w:firstLineChars="0"/>
              <w:jc w:val="left"/>
            </w:pPr>
            <w:r>
              <w:rPr>
                <w:rFonts w:ascii="Times New Roman" w:hAnsi="Times New Roman" w:eastAsia="ＭＳ 明朝"/>
                <w:b w:val="0"/>
                <w:color w:val="000000"/>
                <w:sz w:val="20"/>
              </w:rPr>
              <w:t>196,434円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9474</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ゼンリン</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業務データ</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7.46％</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428</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372,360円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6841</w:t>
            </w:r>
          </w:p>
        </w:tc>
        <w:tc>
          <w:tcPr>
            <w:tcW w:type="dxa" w:w="2608"/>
          </w:tcPr>
          <w:p>
            <w:pPr>
              <w:spacing w:after="0"/>
              <w:ind w:firstLine="0" w:firstLineChars="0"/>
              <w:jc w:val="left"/>
            </w:pPr>
            <w:r>
              <w:rPr>
                <w:rFonts w:ascii="Times New Roman" w:hAnsi="Times New Roman" w:eastAsia="ＭＳ 明朝"/>
                <w:b w:val="0"/>
                <w:color w:val="000000"/>
                <w:sz w:val="20"/>
              </w:rPr>
              <w:t>横河電機</w:t>
            </w:r>
          </w:p>
        </w:tc>
        <w:tc>
          <w:tcPr>
            <w:tcW w:type="dxa" w:w="1020"/>
          </w:tcPr>
          <w:p>
            <w:pPr>
              <w:spacing w:after="0"/>
              <w:ind w:firstLine="0" w:firstLineChars="0"/>
              <w:jc w:val="left"/>
            </w:pPr>
            <w:r>
              <w:rPr>
                <w:rFonts w:ascii="Times New Roman" w:hAnsi="Times New Roman" w:eastAsia="ＭＳ 明朝"/>
                <w:b w:val="0"/>
                <w:color w:val="000000"/>
                <w:sz w:val="20"/>
              </w:rPr>
              <w:t>両立型</w:t>
            </w:r>
          </w:p>
        </w:tc>
        <w:tc>
          <w:tcPr>
            <w:tcW w:type="dxa" w:w="1701"/>
          </w:tcPr>
          <w:p>
            <w:pPr>
              <w:spacing w:after="0"/>
              <w:ind w:firstLine="0" w:firstLineChars="0"/>
              <w:jc w:val="left"/>
            </w:pPr>
            <w:r>
              <w:rPr>
                <w:rFonts w:ascii="Times New Roman" w:hAnsi="Times New Roman" w:eastAsia="ＭＳ 明朝"/>
                <w:b w:val="0"/>
                <w:color w:val="000000"/>
                <w:sz w:val="20"/>
              </w:rPr>
              <w:t>工場の自動化</w:t>
            </w:r>
          </w:p>
        </w:tc>
        <w:tc>
          <w:tcPr>
            <w:tcW w:type="dxa" w:w="850"/>
          </w:tcPr>
          <w:p>
            <w:pPr>
              <w:spacing w:after="0"/>
              <w:ind w:firstLine="0" w:firstLineChars="0"/>
              <w:jc w:val="left"/>
            </w:pPr>
            <w:r>
              <w:rPr>
                <w:rFonts w:ascii="Times New Roman" w:hAnsi="Times New Roman" w:eastAsia="ＭＳ 明朝"/>
                <w:b w:val="0"/>
                <w:color w:val="000000"/>
                <w:sz w:val="20"/>
              </w:rPr>
              <w:t>4.55％</w:t>
            </w:r>
          </w:p>
        </w:tc>
        <w:tc>
          <w:tcPr>
            <w:tcW w:type="dxa" w:w="737"/>
          </w:tcPr>
          <w:p>
            <w:pPr>
              <w:spacing w:after="0"/>
              <w:ind w:firstLine="0" w:firstLineChars="0"/>
              <w:jc w:val="left"/>
            </w:pPr>
            <w:r>
              <w:rPr>
                <w:rFonts w:ascii="Times New Roman" w:hAnsi="Times New Roman" w:eastAsia="ＭＳ 明朝"/>
                <w:b w:val="0"/>
                <w:color w:val="000000"/>
                <w:sz w:val="20"/>
              </w:rPr>
              <w:t>44</w:t>
            </w:r>
          </w:p>
        </w:tc>
        <w:tc>
          <w:tcPr>
            <w:tcW w:type="dxa" w:w="1247"/>
          </w:tcPr>
          <w:p>
            <w:pPr>
              <w:spacing w:after="0"/>
              <w:ind w:firstLine="0" w:firstLineChars="0"/>
              <w:jc w:val="left"/>
            </w:pPr>
            <w:r>
              <w:rPr>
                <w:rFonts w:ascii="Times New Roman" w:hAnsi="Times New Roman" w:eastAsia="ＭＳ 明朝"/>
                <w:b w:val="0"/>
                <w:color w:val="000000"/>
                <w:sz w:val="20"/>
              </w:rPr>
              <w:t>223,388円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3697</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ＳＨＩＦＴ</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両立型</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品質保証</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2.99％</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205</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149,076円</w:t>
            </w:r>
          </w:p>
        </w:tc>
      </w:tr>
      <w:tr>
        <w:trPr>
          <w:cantSplit/>
        </w:trPr>
        <w:tc>
          <w:tcPr>
            <w:tcW w:type="dxa" w:w="794"/>
          </w:tcPr>
          <w:p>
            <w:pPr>
              <w:spacing w:after="0"/>
              <w:ind w:firstLine="0" w:firstLineChars="0"/>
              <w:jc w:val="left"/>
            </w:pPr>
            <w:r>
              <w:rPr>
                <w:rFonts w:ascii="Times New Roman" w:hAnsi="Times New Roman" w:eastAsia="ＭＳ 明朝"/>
                <w:b w:val="0"/>
                <w:color w:val="000000"/>
                <w:sz w:val="20"/>
              </w:rPr>
              <w:t>2112</w:t>
            </w:r>
          </w:p>
        </w:tc>
        <w:tc>
          <w:tcPr>
            <w:tcW w:type="dxa" w:w="2608"/>
          </w:tcPr>
          <w:p>
            <w:pPr>
              <w:spacing w:after="0"/>
              <w:ind w:firstLine="0" w:firstLineChars="0"/>
              <w:jc w:val="left"/>
            </w:pPr>
            <w:r>
              <w:rPr>
                <w:rFonts w:ascii="Times New Roman" w:hAnsi="Times New Roman" w:eastAsia="ＭＳ 明朝"/>
                <w:b w:val="0"/>
                <w:color w:val="000000"/>
                <w:sz w:val="20"/>
              </w:rPr>
              <w:t>塩水港精糖</w:t>
            </w:r>
          </w:p>
        </w:tc>
        <w:tc>
          <w:tcPr>
            <w:tcW w:type="dxa" w:w="1020"/>
          </w:tcPr>
          <w:p>
            <w:pPr>
              <w:spacing w:after="0"/>
              <w:ind w:firstLine="0" w:firstLineChars="0"/>
              <w:jc w:val="left"/>
            </w:pPr>
            <w:r>
              <w:rPr>
                <w:rFonts w:ascii="Times New Roman" w:hAnsi="Times New Roman" w:eastAsia="ＭＳ 明朝"/>
                <w:b w:val="0"/>
                <w:color w:val="000000"/>
                <w:sz w:val="20"/>
              </w:rPr>
              <w:t>分散役</w:t>
            </w:r>
          </w:p>
        </w:tc>
        <w:tc>
          <w:tcPr>
            <w:tcW w:type="dxa" w:w="1701"/>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tcPr>
          <w:p>
            <w:pPr>
              <w:spacing w:after="0"/>
              <w:ind w:firstLine="0" w:firstLineChars="0"/>
              <w:jc w:val="left"/>
            </w:pPr>
            <w:r>
              <w:rPr>
                <w:rFonts w:ascii="Times New Roman" w:hAnsi="Times New Roman" w:eastAsia="ＭＳ 明朝"/>
                <w:b w:val="0"/>
                <w:color w:val="000000"/>
                <w:sz w:val="20"/>
              </w:rPr>
              <w:t>6.40％</w:t>
            </w:r>
          </w:p>
        </w:tc>
        <w:tc>
          <w:tcPr>
            <w:tcW w:type="dxa" w:w="737"/>
          </w:tcPr>
          <w:p>
            <w:pPr>
              <w:spacing w:after="0"/>
              <w:ind w:firstLine="0" w:firstLineChars="0"/>
              <w:jc w:val="left"/>
            </w:pPr>
            <w:r>
              <w:rPr>
                <w:rFonts w:ascii="Times New Roman" w:hAnsi="Times New Roman" w:eastAsia="ＭＳ 明朝"/>
                <w:b w:val="0"/>
                <w:color w:val="000000"/>
                <w:sz w:val="20"/>
              </w:rPr>
              <w:t>749</w:t>
            </w:r>
          </w:p>
        </w:tc>
        <w:tc>
          <w:tcPr>
            <w:tcW w:type="dxa" w:w="1247"/>
          </w:tcPr>
          <w:p>
            <w:pPr>
              <w:spacing w:after="0"/>
              <w:ind w:firstLine="0" w:firstLineChars="0"/>
              <w:jc w:val="left"/>
            </w:pPr>
            <w:r>
              <w:rPr>
                <w:rFonts w:ascii="Times New Roman" w:hAnsi="Times New Roman" w:eastAsia="ＭＳ 明朝"/>
                <w:b w:val="0"/>
                <w:color w:val="000000"/>
                <w:sz w:val="20"/>
              </w:rPr>
              <w:t>319,823円</w:t>
            </w:r>
          </w:p>
        </w:tc>
      </w:tr>
      <w:tr>
        <w:trPr>
          <w:cantSplit/>
        </w:trPr>
        <w:tc>
          <w:tcPr>
            <w:tcW w:type="dxa" w:w="794"/>
            <w:shd w:val="clear" w:color="auto" w:fill="F2F6F4"/>
          </w:tcPr>
          <w:p>
            <w:pPr>
              <w:spacing w:after="0"/>
              <w:ind w:firstLine="0" w:firstLineChars="0"/>
              <w:jc w:val="left"/>
            </w:pPr>
            <w:r>
              <w:rPr>
                <w:rFonts w:ascii="Times New Roman" w:hAnsi="Times New Roman" w:eastAsia="ＭＳ 明朝"/>
                <w:b w:val="0"/>
                <w:color w:val="000000"/>
                <w:sz w:val="20"/>
              </w:rPr>
              <w:t>3089</w:t>
            </w:r>
          </w:p>
        </w:tc>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テクノアルファ</w:t>
            </w:r>
          </w:p>
        </w:tc>
        <w:tc>
          <w:tcPr>
            <w:tcW w:type="dxa" w:w="1020"/>
            <w:shd w:val="clear" w:color="auto" w:fill="F2F6F4"/>
          </w:tcPr>
          <w:p>
            <w:pPr>
              <w:spacing w:after="0"/>
              <w:ind w:firstLine="0" w:firstLineChars="0"/>
              <w:jc w:val="left"/>
            </w:pPr>
            <w:r>
              <w:rPr>
                <w:rFonts w:ascii="Times New Roman" w:hAnsi="Times New Roman" w:eastAsia="ＭＳ 明朝"/>
                <w:b w:val="0"/>
                <w:color w:val="000000"/>
                <w:sz w:val="20"/>
              </w:rPr>
              <w:t>分散役</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ＡＩ以外の堅実分野</w:t>
            </w:r>
          </w:p>
        </w:tc>
        <w:tc>
          <w:tcPr>
            <w:tcW w:type="dxa" w:w="850"/>
            <w:shd w:val="clear" w:color="auto" w:fill="F2F6F4"/>
          </w:tcPr>
          <w:p>
            <w:pPr>
              <w:spacing w:after="0"/>
              <w:ind w:firstLine="0" w:firstLineChars="0"/>
              <w:jc w:val="left"/>
            </w:pPr>
            <w:r>
              <w:rPr>
                <w:rFonts w:ascii="Times New Roman" w:hAnsi="Times New Roman" w:eastAsia="ＭＳ 明朝"/>
                <w:b w:val="0"/>
                <w:color w:val="000000"/>
                <w:sz w:val="20"/>
              </w:rPr>
              <w:t>3.60％</w:t>
            </w:r>
          </w:p>
        </w:tc>
        <w:tc>
          <w:tcPr>
            <w:tcW w:type="dxa" w:w="737"/>
            <w:shd w:val="clear" w:color="auto" w:fill="F2F6F4"/>
          </w:tcPr>
          <w:p>
            <w:pPr>
              <w:spacing w:after="0"/>
              <w:ind w:firstLine="0" w:firstLineChars="0"/>
              <w:jc w:val="left"/>
            </w:pPr>
            <w:r>
              <w:rPr>
                <w:rFonts w:ascii="Times New Roman" w:hAnsi="Times New Roman" w:eastAsia="ＭＳ 明朝"/>
                <w:b w:val="0"/>
                <w:color w:val="000000"/>
                <w:sz w:val="20"/>
              </w:rPr>
              <w:t>143</w:t>
            </w:r>
          </w:p>
        </w:tc>
        <w:tc>
          <w:tcPr>
            <w:tcW w:type="dxa" w:w="1247"/>
            <w:shd w:val="clear" w:color="auto" w:fill="F2F6F4"/>
          </w:tcPr>
          <w:p>
            <w:pPr>
              <w:spacing w:after="0"/>
              <w:ind w:firstLine="0" w:firstLineChars="0"/>
              <w:jc w:val="left"/>
            </w:pPr>
            <w:r>
              <w:rPr>
                <w:rFonts w:ascii="Times New Roman" w:hAnsi="Times New Roman" w:eastAsia="ＭＳ 明朝"/>
                <w:b w:val="0"/>
                <w:color w:val="000000"/>
                <w:sz w:val="20"/>
              </w:rPr>
              <w:t>179,036円</w:t>
            </w:r>
          </w:p>
        </w:tc>
      </w:tr>
    </w:tbl>
    <w:p>
      <w:pPr>
        <w:spacing w:before="0" w:after="60" w:line="298" w:lineRule="auto"/>
        <w:ind w:firstLine="0" w:firstLineChars="0"/>
      </w:pPr>
    </w:p>
    <w:p>
      <w:pPr>
        <w:spacing w:before="0" w:after="140" w:line="298" w:lineRule="auto"/>
        <w:ind w:firstLine="0" w:firstLineChars="0"/>
      </w:pPr>
      <w:r>
        <w:rPr>
          <w:rFonts w:ascii="Times New Roman" w:hAnsi="Times New Roman" w:eastAsia="ＭＳ 明朝"/>
          <w:b w:val="0"/>
          <w:color w:val="000000"/>
          <w:sz w:val="20"/>
        </w:rPr>
        <w:t>図表Ⅲ-1　最終ポートフォリオ(総予算500万円・単元未満株基準)。出所：配分の正典データ(allocation_final.csv)。</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2．銘柄紹介 ― 三世代の堀、20社の顔ぶれ</w:t>
      </w:r>
    </w:p>
    <w:p>
      <w:pPr>
        <w:spacing w:after="80" w:line="281" w:lineRule="auto"/>
        <w:jc w:val="both"/>
        <w:ind w:firstLineChars="100" w:firstLine="210"/>
      </w:pPr>
      <w:r>
        <w:rPr>
          <w:rFonts w:ascii="Times New Roman" w:hAnsi="Times New Roman" w:eastAsia="ＭＳ 明朝"/>
          <w:b w:val="0"/>
          <w:color w:val="000000"/>
          <w:sz w:val="21"/>
        </w:rPr>
        <w:t>各社の「選定データが語る事実」は、第Ⅱ章の点数と証拠から自動的に書ける。一方、事業の中身と堀の背景は、各社のＩＲ資料・有価証券報告書で確かめてから書くべきものなので、確認欄として残した(創作はしない)。</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完成した堀 ― 守の式だけで選んだ基準線。この5社を上回れるかが「超える」の物差しになる。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9470 学研ホールディングス</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守の七関門をすべて通過。純資産比1.53倍の割安・粗利÷総資産0.40・財務6項目の合格割合100%。完成した堀を割安に持つ基準線。比率6.9％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3539 ＪＭホールディングス</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守の七関門をすべて通過。純資産比1.43倍の割安・粗利÷総資産0.73・財務6項目の合格割合100%。完成した堀を割安に持つ基準線。比率5.6％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6430 ダイコク電機</w:t>
              <w:br/>
              <w:t>(機械)</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守の七関門をすべて通過。純資産比1.47倍の割安・粗利÷総資産0.47・財務6項目の合格割合67%。完成した堀を割安に持つ基準線。比率5.4％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4350 メディカルシステムネットワーク</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守の七関門をすべて通過。純資産比1.44倍の割安・粗利÷総資産0.72・財務6項目の合格割合100%。完成した堀を割安に持つ基準線。比率4.2％</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7803 ブシロード</w:t>
              <w:br/>
              <w:t>(その他製品)</w:t>
            </w:r>
          </w:p>
        </w:tc>
        <w:tc>
          <w:tcPr>
            <w:tcW w:type="dxa" w:w="4422"/>
          </w:tcPr>
          <w:p>
            <w:pPr>
              <w:spacing w:after="0"/>
              <w:ind w:firstLine="0" w:firstLineChars="0"/>
              <w:jc w:val="left"/>
            </w:pPr>
            <w:r>
              <w:rPr>
                <w:rFonts w:ascii="Times New Roman" w:hAnsi="Times New Roman" w:eastAsia="ＭＳ 明朝"/>
                <w:b w:val="0"/>
                <w:color w:val="000000"/>
                <w:sz w:val="20"/>
              </w:rPr>
              <w:t>守の七関門をすべて通過。純資産比1.44倍の割安・粗利÷総資産0.40・財務6項目の合格割合100%。完成した堀を割安に持つ基準線。比率2.9％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図表Ⅲ-2　銘柄紹介：完成した堀(左2列は正典データから自動記載)。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変わる堀 ― 割安×改善の証拠で選んだ、これから変わる会社。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5902 ホッカンホールディングス</w:t>
              <w:br/>
              <w:t>(金属製品)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変わる堀の点数82点(20社中の変わる堀5社)。改善・還元の証拠(証拠の強さ 水準3)を持つ(純資産比2.21倍)。比率6.7％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9828 Genki Global Dining Concepts</w:t>
              <w:br/>
              <w:t>(小売業)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変わる堀の点数80点(20社中の変わる堀5社)。改善・還元の証拠(証拠の強さ 水準3)を持つ(純資産比0.35倍)。比率5.5％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8037 カメイ</w:t>
              <w:br/>
              <w:t>(卸売業)</w:t>
            </w:r>
          </w:p>
        </w:tc>
        <w:tc>
          <w:tcPr>
            <w:tcW w:type="dxa" w:w="4422"/>
          </w:tcPr>
          <w:p>
            <w:pPr>
              <w:spacing w:after="0"/>
              <w:ind w:firstLine="0" w:firstLineChars="0"/>
              <w:jc w:val="left"/>
            </w:pPr>
            <w:r>
              <w:rPr>
                <w:rFonts w:ascii="Times New Roman" w:hAnsi="Times New Roman" w:eastAsia="ＭＳ 明朝"/>
                <w:b w:val="0"/>
                <w:color w:val="000000"/>
                <w:sz w:val="20"/>
              </w:rPr>
              <w:t>変わる堀の点数79点(20社中の変わる堀5社)。改善・還元の証拠(証拠の強さ 水準3)を持つ(純資産比1.57倍)。比率4.8％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3863 日本製紙</w:t>
              <w:br/>
              <w:t>(パルプ・紙)</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変わる堀の点数79点(20社中の変わる堀5社)。改善・還元の証拠(証拠の強さ 水準3)を持つ(純資産比3.61倍)。比率4.3％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5233 太平洋セメント</w:t>
              <w:br/>
              <w:t>(ガラス・土石製品)</w:t>
            </w:r>
          </w:p>
        </w:tc>
        <w:tc>
          <w:tcPr>
            <w:tcW w:type="dxa" w:w="4422"/>
          </w:tcPr>
          <w:p>
            <w:pPr>
              <w:spacing w:after="0"/>
              <w:ind w:firstLine="0" w:firstLineChars="0"/>
              <w:jc w:val="left"/>
            </w:pPr>
            <w:r>
              <w:rPr>
                <w:rFonts w:ascii="Times New Roman" w:hAnsi="Times New Roman" w:eastAsia="ＭＳ 明朝"/>
                <w:b w:val="0"/>
                <w:color w:val="000000"/>
                <w:sz w:val="20"/>
              </w:rPr>
              <w:t>変わる堀の点数80点(20社中の変わる堀5社)。改善・還元の証拠(証拠の強さ 水準3)を持つ(純資産比1.36倍)。比率3.7％</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図表Ⅲ-3　銘柄紹介：変わる堀(左2列は正典データから自動記載)。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生まれる堀 ― ＡＩ基盤への実需接続を証拠で確かめた、新しい堀が生まれる会社。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6368 オルガノ</w:t>
              <w:br/>
              <w:t>(機械)</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生まれる堀の点数74点・証拠の強さ 水準3。テーマは半導体。キーワード頼みを弾く減点を通過した実需接続。比率6.9％</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6526 ソシオネクスト</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生まれる堀の点数64点・証拠の強さ 水準2。テーマは半導体。キーワード頼みを弾く減点を通過した実需接続。比率4.9％</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6920 レーザーテック</w:t>
              <w:br/>
              <w:t>(電気機器)</w:t>
            </w:r>
          </w:p>
        </w:tc>
        <w:tc>
          <w:tcPr>
            <w:tcW w:type="dxa" w:w="4422"/>
          </w:tcPr>
          <w:p>
            <w:pPr>
              <w:spacing w:after="0"/>
              <w:ind w:firstLine="0" w:firstLineChars="0"/>
              <w:jc w:val="left"/>
            </w:pPr>
            <w:r>
              <w:rPr>
                <w:rFonts w:ascii="Times New Roman" w:hAnsi="Times New Roman" w:eastAsia="ＭＳ 明朝"/>
                <w:b w:val="0"/>
                <w:color w:val="000000"/>
                <w:sz w:val="20"/>
              </w:rPr>
              <w:t>生まれる堀の点数73点・証拠の強さ 水準2。テーマは品質保証。キーワード頼みを弾く減点を通過した実需接続。比率4.8％</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6315 ＴＯＷＡ</w:t>
              <w:br/>
              <w:t>(機械)</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生まれる堀の点数73点・証拠の強さ 水準3。テーマは半導体。キーワード頼みを弾く減点を通過した実需接続。比率4.3％</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5803 フジクラ</w:t>
              <w:br/>
              <w:t>(非鉄金属)</w:t>
            </w:r>
          </w:p>
        </w:tc>
        <w:tc>
          <w:tcPr>
            <w:tcW w:type="dxa" w:w="4422"/>
          </w:tcPr>
          <w:p>
            <w:pPr>
              <w:spacing w:after="0"/>
              <w:ind w:firstLine="0" w:firstLineChars="0"/>
              <w:jc w:val="left"/>
            </w:pPr>
            <w:r>
              <w:rPr>
                <w:rFonts w:ascii="Times New Roman" w:hAnsi="Times New Roman" w:eastAsia="ＭＳ 明朝"/>
                <w:b w:val="0"/>
                <w:color w:val="000000"/>
                <w:sz w:val="20"/>
              </w:rPr>
              <w:t>生まれる堀の点数52点・証拠の強さ 水準2。テーマは光通信。キーワード頼みを弾く減点を通過した実需接続。比率4.0％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図表Ⅲ-4　銘柄紹介：生まれる堀(左2列は正典データから自動記載)。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両立型 ― 変わる堀と生まれる堀、二つの点数がともに高い会社。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9474 ゼンリン</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変わる堀68点×生まれる堀78点の両立。証拠は厳しい方で判定して水準3。二つの未来の橋渡し役。比率7.5％</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6841 横河電機</w:t>
              <w:br/>
              <w:t>(電気機器)</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変わる堀73点×生まれる堀79点の両立。証拠は厳しい方で判定して水準3。二つの未来の橋渡し役。比率4.5％</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3697 ＳＨＩＦＴ</w:t>
              <w:br/>
              <w:t>(情報・通信業)</w:t>
            </w:r>
          </w:p>
        </w:tc>
        <w:tc>
          <w:tcPr>
            <w:tcW w:type="dxa" w:w="4422"/>
          </w:tcPr>
          <w:p>
            <w:pPr>
              <w:spacing w:after="0"/>
              <w:ind w:firstLine="0" w:firstLineChars="0"/>
              <w:jc w:val="left"/>
            </w:pPr>
            <w:r>
              <w:rPr>
                <w:rFonts w:ascii="Times New Roman" w:hAnsi="Times New Roman" w:eastAsia="ＭＳ 明朝"/>
                <w:b w:val="0"/>
                <w:color w:val="000000"/>
                <w:sz w:val="20"/>
              </w:rPr>
              <w:t>変わる堀61点×生まれる堀92点の両立。証拠は厳しい方で判定して水準2。二つの未来の橋渡し役。比率3.0％</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図表Ⅲ-5　銘柄紹介：両立型(左2列は正典データから自動記載)。</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分散役 ― 業種・テーマの偏りを整え、ポートフォリオ全体を安定させる会社。</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381"/>
            <w:shd w:val="clear" w:color="auto" w:fill="16324F"/>
          </w:tcPr>
          <w:p>
            <w:pPr>
              <w:spacing w:after="0"/>
              <w:ind w:firstLine="0" w:firstLineChars="0"/>
            </w:pPr>
            <w:r>
              <w:rPr>
                <w:rFonts w:ascii="Arial" w:hAnsi="Arial" w:eastAsia="ＭＳ ゴシック"/>
                <w:b/>
                <w:color w:val="FFFFFF"/>
                <w:sz w:val="20"/>
              </w:rPr>
              <w:t>企業(業種)</w:t>
            </w:r>
          </w:p>
        </w:tc>
        <w:tc>
          <w:tcPr>
            <w:tcW w:type="dxa" w:w="4422"/>
            <w:shd w:val="clear" w:color="auto" w:fill="16324F"/>
          </w:tcPr>
          <w:p>
            <w:pPr>
              <w:spacing w:after="0"/>
              <w:ind w:firstLine="0" w:firstLineChars="0"/>
            </w:pPr>
            <w:r>
              <w:rPr>
                <w:rFonts w:ascii="Arial" w:hAnsi="Arial" w:eastAsia="ＭＳ ゴシック"/>
                <w:b/>
                <w:color w:val="FFFFFF"/>
                <w:sz w:val="20"/>
              </w:rPr>
              <w:t>選定データが語る事実</w:t>
            </w:r>
          </w:p>
        </w:tc>
        <w:tc>
          <w:tcPr>
            <w:tcW w:type="dxa" w:w="2721"/>
            <w:shd w:val="clear" w:color="auto" w:fill="16324F"/>
          </w:tcPr>
          <w:p>
            <w:pPr>
              <w:spacing w:after="0"/>
              <w:ind w:firstLine="0" w:firstLineChars="0"/>
            </w:pPr>
            <w:r>
              <w:rPr>
                <w:rFonts w:ascii="Arial" w:hAnsi="Arial" w:eastAsia="ＭＳ ゴシック"/>
                <w:b/>
                <w:color w:val="FFFFFF"/>
                <w:sz w:val="20"/>
              </w:rPr>
              <w:t>事業内容・堀の背景(確認して記入)</w:t>
            </w:r>
          </w:p>
        </w:tc>
      </w:tr>
      <w:tr>
        <w:trPr>
          <w:cantSplit/>
        </w:trPr>
        <w:tc>
          <w:tcPr>
            <w:tcW w:type="dxa" w:w="2381"/>
          </w:tcPr>
          <w:p>
            <w:pPr>
              <w:spacing w:after="0"/>
              <w:ind w:firstLine="0" w:firstLineChars="0"/>
              <w:jc w:val="left"/>
            </w:pPr>
            <w:r>
              <w:rPr>
                <w:rFonts w:ascii="Times New Roman" w:hAnsi="Times New Roman" w:eastAsia="ＭＳ 明朝"/>
                <w:b w:val="0"/>
                <w:color w:val="000000"/>
                <w:sz w:val="20"/>
              </w:rPr>
              <w:t>2112 塩水港精糖</w:t>
              <w:br/>
              <w:t>(食料品)</w:t>
            </w:r>
          </w:p>
        </w:tc>
        <w:tc>
          <w:tcPr>
            <w:tcW w:type="dxa" w:w="4422"/>
          </w:tcPr>
          <w:p>
            <w:pPr>
              <w:spacing w:after="0"/>
              <w:ind w:firstLine="0" w:firstLineChars="0"/>
              <w:jc w:val="left"/>
            </w:pPr>
            <w:r>
              <w:rPr>
                <w:rFonts w:ascii="Times New Roman" w:hAnsi="Times New Roman" w:eastAsia="ＭＳ 明朝"/>
                <w:b w:val="0"/>
                <w:color w:val="000000"/>
                <w:sz w:val="20"/>
              </w:rPr>
              <w:t>業種・テーマの偏りを整える堅実枠。変わる堀の点数77点・証拠の強さ 水準3。比率6.4％</w:t>
            </w:r>
          </w:p>
        </w:tc>
        <w:tc>
          <w:tcPr>
            <w:tcW w:type="dxa" w:w="2721"/>
          </w:tcPr>
          <w:p>
            <w:pPr>
              <w:spacing w:after="0"/>
              <w:ind w:firstLine="0" w:firstLineChars="0"/>
              <w:jc w:val="left"/>
            </w:pPr>
            <w:r>
              <w:rPr>
                <w:rFonts w:ascii="Times New Roman" w:hAnsi="Times New Roman" w:eastAsia="ＭＳ 明朝"/>
                <w:b w:val="0"/>
                <w:color w:val="000000"/>
                <w:sz w:val="20"/>
              </w:rPr>
              <w:t>［要ＩＲ確認：事業内容・堀の背景・リスク］</w:t>
            </w:r>
          </w:p>
        </w:tc>
      </w:tr>
      <w:tr>
        <w:trPr>
          <w:cantSplit/>
        </w:trPr>
        <w:tc>
          <w:tcPr>
            <w:tcW w:type="dxa" w:w="2381"/>
            <w:shd w:val="clear" w:color="auto" w:fill="F2F6F4"/>
          </w:tcPr>
          <w:p>
            <w:pPr>
              <w:spacing w:after="0"/>
              <w:ind w:firstLine="0" w:firstLineChars="0"/>
              <w:jc w:val="left"/>
            </w:pPr>
            <w:r>
              <w:rPr>
                <w:rFonts w:ascii="Times New Roman" w:hAnsi="Times New Roman" w:eastAsia="ＭＳ 明朝"/>
                <w:b w:val="0"/>
                <w:color w:val="000000"/>
                <w:sz w:val="20"/>
              </w:rPr>
              <w:t>3089 テクノアルファ</w:t>
              <w:br/>
              <w:t>(卸売業)</w:t>
            </w:r>
          </w:p>
        </w:tc>
        <w:tc>
          <w:tcPr>
            <w:tcW w:type="dxa" w:w="4422"/>
            <w:shd w:val="clear" w:color="auto" w:fill="F2F6F4"/>
          </w:tcPr>
          <w:p>
            <w:pPr>
              <w:spacing w:after="0"/>
              <w:ind w:firstLine="0" w:firstLineChars="0"/>
              <w:jc w:val="left"/>
            </w:pPr>
            <w:r>
              <w:rPr>
                <w:rFonts w:ascii="Times New Roman" w:hAnsi="Times New Roman" w:eastAsia="ＭＳ 明朝"/>
                <w:b w:val="0"/>
                <w:color w:val="000000"/>
                <w:sz w:val="20"/>
              </w:rPr>
              <w:t>業種・テーマの偏りを整える堅実枠。変わる堀の点数79点・証拠の強さ 水準3。比率3.6％</w:t>
            </w:r>
          </w:p>
        </w:tc>
        <w:tc>
          <w:tcPr>
            <w:tcW w:type="dxa" w:w="2721"/>
            <w:shd w:val="clear" w:color="auto" w:fill="F2F6F4"/>
          </w:tcPr>
          <w:p>
            <w:pPr>
              <w:spacing w:after="0"/>
              <w:ind w:firstLine="0" w:firstLineChars="0"/>
              <w:jc w:val="left"/>
            </w:pPr>
            <w:r>
              <w:rPr>
                <w:rFonts w:ascii="Times New Roman" w:hAnsi="Times New Roman" w:eastAsia="ＭＳ 明朝"/>
                <w:b w:val="0"/>
                <w:color w:val="000000"/>
                <w:sz w:val="20"/>
              </w:rPr>
              <w:t>［要ＩＲ確認：事業内容・堀の背景・リスク］</w:t>
            </w:r>
          </w:p>
        </w:tc>
      </w:tr>
    </w:tbl>
    <w:p>
      <w:pPr>
        <w:spacing w:before="0" w:after="60" w:line="298" w:lineRule="auto"/>
        <w:ind w:firstLine="0" w:firstLineChars="0"/>
      </w:pPr>
    </w:p>
    <w:p>
      <w:pPr>
        <w:spacing w:before="0" w:after="100" w:line="298" w:lineRule="auto"/>
        <w:ind w:firstLine="0" w:firstLineChars="0"/>
      </w:pPr>
      <w:r>
        <w:rPr>
          <w:rFonts w:ascii="Times New Roman" w:hAnsi="Times New Roman" w:eastAsia="ＭＳ 明朝"/>
          <w:b w:val="0"/>
          <w:color w:val="000000"/>
          <w:sz w:val="20"/>
        </w:rPr>
        <w:t>図表Ⅲ-6　銘柄紹介：分散役(左2列は正典データから自動記載)。</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3．パフォーマンス検証 ― 対照群『純正バフェット』と比べる</w:t>
      </w:r>
    </w:p>
    <w:p>
      <w:pPr>
        <w:spacing w:after="80" w:line="281" w:lineRule="auto"/>
        <w:jc w:val="both"/>
        <w:ind w:firstLineChars="100" w:firstLine="210"/>
      </w:pPr>
      <w:r>
        <w:rPr>
          <w:rFonts w:ascii="Times New Roman" w:hAnsi="Times New Roman" w:eastAsia="ＭＳ 明朝"/>
          <w:b w:val="0"/>
          <w:color w:val="000000"/>
          <w:sz w:val="21"/>
        </w:rPr>
        <w:t>前節までで20社と配分が決まった。本節では第Ⅰ章の条件④を検証する。比べる物差しは、分析の前に宣言しておく――①年率リターン ②ＴＯＰＩＸ超過 ③市場との連動度(β) ④最大の下落 ⑤市場超過の安定度(ＩＲ)の5つ、期間は「選定に使った3年」と「選定に使っていない直近1年」に分ける。正確には、この直近1年も選定の点数計算に使っていないという意味であり、配分の値動き係数(式13のσ)は同じ1年の変動を入力に使う――完全な時点外検証ではないと限定をつけて読む(技術補遺§G)。過去データで選ぶ条件はどのチームも同じであり、その分は割り引いて読む――この注意はここに一度だけ書く。</w:t>
      </w:r>
    </w:p>
    <w:p>
      <w:pPr>
        <w:spacing w:after="80" w:line="281" w:lineRule="auto"/>
        <w:jc w:val="both"/>
        <w:ind w:firstLineChars="100" w:firstLine="210"/>
      </w:pPr>
      <w:r>
        <w:rPr>
          <w:rFonts w:ascii="Times New Roman" w:hAnsi="Times New Roman" w:eastAsia="ＭＳ 明朝"/>
          <w:b w:val="0"/>
          <w:color w:val="000000"/>
          <w:sz w:val="21"/>
        </w:rPr>
        <w:t>対照群『純正バフェットポートフォリオ』は、同じ出発点(3,099社)から選定ルールだけをバフェットの式(守)にした20社である。本ポートフォリオのBuffett Coreと同一系譜であるphase1の固定順候補リストの上位から、Top5選定と同じ「同一業種2社まで」の原則で20社を取り、配分の工夫を混ぜず等金額とした(私たちが同じ規律で後から入れ替えずに計算したものであることを明記する)。ＴＯＰＩＸ(市場平均)と日経平均は参照ベンチマークとして併記する。</w:t>
      </w:r>
    </w:p>
    <w:p>
      <w:pPr>
        <w:keepNext/>
        <w:spacing w:before="100" w:after="40" w:line="298" w:lineRule="auto"/>
        <w:ind w:firstLine="0" w:firstLineChars="0"/>
      </w:pPr>
      <w:r>
        <w:rPr>
          <w:rFonts w:ascii="Arial" w:hAnsi="Arial" w:eastAsia="ＭＳ ゴシック"/>
          <w:b/>
          <w:color w:val="16324F"/>
          <w:sz w:val="21"/>
        </w:rPr>
        <w:t>図表Ⅲ-7　累積リターンの比較(過去3年・期首=1)</w:t>
      </w:r>
    </w:p>
    <w:p>
      <w:pPr>
        <w:jc w:val="center"/>
        <w:keepNext/>
        <w:ind w:firstLine="0" w:firstLineChars="0"/>
      </w:pPr>
      <w:r>
        <w:drawing>
          <wp:inline xmlns:a="http://schemas.openxmlformats.org/drawingml/2006/main" xmlns:pic="http://schemas.openxmlformats.org/drawingml/2006/picture">
            <wp:extent cx="5328000" cy="2231623"/>
            <wp:docPr id="7" name="Picture 7"/>
            <wp:cNvGraphicFramePr>
              <a:graphicFrameLocks noChangeAspect="1"/>
            </wp:cNvGraphicFramePr>
            <a:graphic>
              <a:graphicData uri="http://schemas.openxmlformats.org/drawingml/2006/picture">
                <pic:pic>
                  <pic:nvPicPr>
                    <pic:cNvPr id="0" name="fig3_cum_v5.png"/>
                    <pic:cNvPicPr/>
                  </pic:nvPicPr>
                  <pic:blipFill>
                    <a:blip r:embed="rId16"/>
                    <a:stretch>
                      <a:fillRect/>
                    </a:stretch>
                  </pic:blipFill>
                  <pic:spPr>
                    <a:xfrm>
                      <a:off x="0" y="0"/>
                      <a:ext cx="5328000" cy="223162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ＴＯＰＩＸ連動指数1306は未調整の株式分割(2026-03-30)を補正し、指数系列の欠測1日(2025-10-24)を前営業日で補完済み。価格はyfinance調整後終値(配当込み。日経平均のみ価格指数)。出所：control_comparison_v5.json・価格正典データ。</w:t>
      </w:r>
    </w:p>
    <w:tbl>
      <w:tblPr>
        <w:tblStyle w:val="TableGrid"/>
        <w:tblW w:type="auto" w:w="0"/>
        <w:jc w:val="center"/>
        <w:tblLook w:firstColumn="1" w:firstRow="1" w:lastColumn="0" w:lastRow="0" w:noHBand="0" w:noVBand="1" w:val="04A0"/>
      </w:tblPr>
      <w:tblGrid>
        <w:gridCol w:w="1973"/>
        <w:gridCol w:w="1973"/>
        <w:gridCol w:w="1973"/>
        <w:gridCol w:w="1973"/>
        <w:gridCol w:w="1973"/>
      </w:tblGrid>
      <w:tr>
        <w:trPr>
          <w:cantSplit/>
        </w:trPr>
        <w:tc>
          <w:tcPr>
            <w:tcW w:type="dxa" w:w="2268"/>
            <w:shd w:val="clear" w:color="auto" w:fill="16324F"/>
          </w:tcPr>
          <w:p>
            <w:pPr>
              <w:spacing w:after="0"/>
              <w:ind w:firstLine="0" w:firstLineChars="0"/>
            </w:pPr>
            <w:r>
              <w:rPr>
                <w:rFonts w:ascii="Arial" w:hAnsi="Arial" w:eastAsia="ＭＳ ゴシック"/>
                <w:b/>
                <w:color w:val="FFFFFF"/>
                <w:sz w:val="20"/>
              </w:rPr>
              <w:t>物差し</w:t>
            </w:r>
          </w:p>
        </w:tc>
        <w:tc>
          <w:tcPr>
            <w:tcW w:type="dxa" w:w="1701"/>
            <w:shd w:val="clear" w:color="auto" w:fill="16324F"/>
          </w:tcPr>
          <w:p>
            <w:pPr>
              <w:spacing w:after="0"/>
              <w:ind w:firstLine="0" w:firstLineChars="0"/>
            </w:pPr>
            <w:r>
              <w:rPr>
                <w:rFonts w:ascii="Arial" w:hAnsi="Arial" w:eastAsia="ＭＳ ゴシック"/>
                <w:b/>
                <w:color w:val="FFFFFF"/>
                <w:sz w:val="20"/>
              </w:rPr>
              <w:t>本ＰＦ</w:t>
            </w:r>
          </w:p>
        </w:tc>
        <w:tc>
          <w:tcPr>
            <w:tcW w:type="dxa" w:w="2154"/>
            <w:shd w:val="clear" w:color="auto" w:fill="16324F"/>
          </w:tcPr>
          <w:p>
            <w:pPr>
              <w:spacing w:after="0"/>
              <w:ind w:firstLine="0" w:firstLineChars="0"/>
            </w:pPr>
            <w:r>
              <w:rPr>
                <w:rFonts w:ascii="Arial" w:hAnsi="Arial" w:eastAsia="ＭＳ ゴシック"/>
                <w:b/>
                <w:color w:val="FFFFFF"/>
                <w:sz w:val="20"/>
              </w:rPr>
              <w:t>純正バフェット(対照)</w:t>
            </w:r>
          </w:p>
        </w:tc>
        <w:tc>
          <w:tcPr>
            <w:tcW w:type="dxa" w:w="1587"/>
            <w:shd w:val="clear" w:color="auto" w:fill="16324F"/>
          </w:tcPr>
          <w:p>
            <w:pPr>
              <w:spacing w:after="0"/>
              <w:ind w:firstLine="0" w:firstLineChars="0"/>
            </w:pPr>
            <w:r>
              <w:rPr>
                <w:rFonts w:ascii="Arial" w:hAnsi="Arial" w:eastAsia="ＭＳ ゴシック"/>
                <w:b/>
                <w:color w:val="FFFFFF"/>
                <w:sz w:val="20"/>
              </w:rPr>
              <w:t>ＴＯＰＩＸ</w:t>
            </w:r>
          </w:p>
        </w:tc>
        <w:tc>
          <w:tcPr>
            <w:tcW w:type="dxa" w:w="1587"/>
            <w:shd w:val="clear" w:color="auto" w:fill="16324F"/>
          </w:tcPr>
          <w:p>
            <w:pPr>
              <w:spacing w:after="0"/>
              <w:ind w:firstLine="0" w:firstLineChars="0"/>
            </w:pPr>
            <w:r>
              <w:rPr>
                <w:rFonts w:ascii="Arial" w:hAnsi="Arial" w:eastAsia="ＭＳ ゴシック"/>
                <w:b/>
                <w:color w:val="FFFFFF"/>
                <w:sz w:val="20"/>
              </w:rPr>
              <w:t>日経平均</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年率リターン(3年)</w:t>
            </w:r>
          </w:p>
        </w:tc>
        <w:tc>
          <w:tcPr>
            <w:tcW w:type="dxa" w:w="1701"/>
          </w:tcPr>
          <w:p>
            <w:pPr>
              <w:spacing w:after="0"/>
              <w:ind w:firstLine="0" w:firstLineChars="0"/>
              <w:jc w:val="left"/>
            </w:pPr>
            <w:r>
              <w:rPr>
                <w:rFonts w:ascii="Times New Roman" w:hAnsi="Times New Roman" w:eastAsia="ＭＳ 明朝"/>
                <w:b w:val="0"/>
                <w:color w:val="000000"/>
                <w:sz w:val="20"/>
              </w:rPr>
              <w:t>30.8%</w:t>
            </w:r>
          </w:p>
        </w:tc>
        <w:tc>
          <w:tcPr>
            <w:tcW w:type="dxa" w:w="2154"/>
          </w:tcPr>
          <w:p>
            <w:pPr>
              <w:spacing w:after="0"/>
              <w:ind w:firstLine="0" w:firstLineChars="0"/>
              <w:jc w:val="left"/>
            </w:pPr>
            <w:r>
              <w:rPr>
                <w:rFonts w:ascii="Times New Roman" w:hAnsi="Times New Roman" w:eastAsia="ＭＳ 明朝"/>
                <w:b w:val="0"/>
                <w:color w:val="000000"/>
                <w:sz w:val="20"/>
              </w:rPr>
              <w:t>13.4%</w:t>
            </w:r>
          </w:p>
        </w:tc>
        <w:tc>
          <w:tcPr>
            <w:tcW w:type="dxa" w:w="1587"/>
          </w:tcPr>
          <w:p>
            <w:pPr>
              <w:spacing w:after="0"/>
              <w:ind w:firstLine="0" w:firstLineChars="0"/>
              <w:jc w:val="left"/>
            </w:pPr>
            <w:r>
              <w:rPr>
                <w:rFonts w:ascii="Times New Roman" w:hAnsi="Times New Roman" w:eastAsia="ＭＳ 明朝"/>
                <w:b w:val="0"/>
                <w:color w:val="000000"/>
                <w:sz w:val="20"/>
              </w:rPr>
              <w:t>25.0%</w:t>
            </w:r>
          </w:p>
        </w:tc>
        <w:tc>
          <w:tcPr>
            <w:tcW w:type="dxa" w:w="1587"/>
          </w:tcPr>
          <w:p>
            <w:pPr>
              <w:spacing w:after="0"/>
              <w:ind w:firstLine="0" w:firstLineChars="0"/>
              <w:jc w:val="left"/>
            </w:pPr>
            <w:r>
              <w:rPr>
                <w:rFonts w:ascii="Times New Roman" w:hAnsi="Times New Roman" w:eastAsia="ＭＳ 明朝"/>
                <w:b w:val="0"/>
                <w:color w:val="000000"/>
                <w:sz w:val="20"/>
              </w:rPr>
              <w:t>32.8%</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ＴＯＰＩＸ超過(3年)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＋5.8pt</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-11.6pt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市場との連動度β(3年)</w:t>
            </w:r>
          </w:p>
        </w:tc>
        <w:tc>
          <w:tcPr>
            <w:tcW w:type="dxa" w:w="1701"/>
          </w:tcPr>
          <w:p>
            <w:pPr>
              <w:spacing w:after="0"/>
              <w:ind w:firstLine="0" w:firstLineChars="0"/>
              <w:jc w:val="left"/>
            </w:pPr>
            <w:r>
              <w:rPr>
                <w:rFonts w:ascii="Times New Roman" w:hAnsi="Times New Roman" w:eastAsia="ＭＳ 明朝"/>
                <w:b w:val="0"/>
                <w:color w:val="000000"/>
                <w:sz w:val="20"/>
              </w:rPr>
              <w:t>0.925</w:t>
            </w:r>
          </w:p>
        </w:tc>
        <w:tc>
          <w:tcPr>
            <w:tcW w:type="dxa" w:w="2154"/>
          </w:tcPr>
          <w:p>
            <w:pPr>
              <w:spacing w:after="0"/>
              <w:ind w:firstLine="0" w:firstLineChars="0"/>
              <w:jc w:val="left"/>
            </w:pPr>
            <w:r>
              <w:rPr>
                <w:rFonts w:ascii="Times New Roman" w:hAnsi="Times New Roman" w:eastAsia="ＭＳ 明朝"/>
                <w:b w:val="0"/>
                <w:color w:val="000000"/>
                <w:sz w:val="20"/>
              </w:rPr>
              <w:t>0.634</w:t>
            </w:r>
          </w:p>
        </w:tc>
        <w:tc>
          <w:tcPr>
            <w:tcW w:type="dxa" w:w="1587"/>
          </w:tcPr>
          <w:p>
            <w:pPr>
              <w:spacing w:after="0"/>
              <w:ind w:firstLine="0" w:firstLineChars="0"/>
              <w:jc w:val="left"/>
            </w:pPr>
            <w:r>
              <w:rPr>
                <w:rFonts w:ascii="Times New Roman" w:hAnsi="Times New Roman" w:eastAsia="ＭＳ 明朝"/>
                <w:b w:val="0"/>
                <w:color w:val="000000"/>
                <w:sz w:val="20"/>
              </w:rPr>
              <w:t>1.000</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最大の下落(3年)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-24.9%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-18.4%</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-23.3%</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超過の安定度ＩＲ(3年)</w:t>
            </w:r>
          </w:p>
        </w:tc>
        <w:tc>
          <w:tcPr>
            <w:tcW w:type="dxa" w:w="1701"/>
          </w:tcPr>
          <w:p>
            <w:pPr>
              <w:spacing w:after="0"/>
              <w:ind w:firstLine="0" w:firstLineChars="0"/>
              <w:jc w:val="left"/>
            </w:pPr>
            <w:r>
              <w:rPr>
                <w:rFonts w:ascii="Times New Roman" w:hAnsi="Times New Roman" w:eastAsia="ＭＳ 明朝"/>
                <w:b w:val="0"/>
                <w:color w:val="000000"/>
                <w:sz w:val="20"/>
              </w:rPr>
              <w:t>＋0.437</w:t>
            </w:r>
          </w:p>
        </w:tc>
        <w:tc>
          <w:tcPr>
            <w:tcW w:type="dxa" w:w="2154"/>
          </w:tcPr>
          <w:p>
            <w:pPr>
              <w:spacing w:after="0"/>
              <w:ind w:firstLine="0" w:firstLineChars="0"/>
              <w:jc w:val="left"/>
            </w:pPr>
            <w:r>
              <w:rPr>
                <w:rFonts w:ascii="Times New Roman" w:hAnsi="Times New Roman" w:eastAsia="ＭＳ 明朝"/>
                <w:b w:val="0"/>
                <w:color w:val="000000"/>
                <w:sz w:val="20"/>
              </w:rPr>
              <w:t>-0.832</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年率リターン(直近1年)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37.9%</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12.0%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43.9%</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78.5%</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ＴＯＰＩＸ超過(直近1年)</w:t>
            </w:r>
          </w:p>
        </w:tc>
        <w:tc>
          <w:tcPr>
            <w:tcW w:type="dxa" w:w="1701"/>
          </w:tcPr>
          <w:p>
            <w:pPr>
              <w:spacing w:after="0"/>
              <w:ind w:firstLine="0" w:firstLineChars="0"/>
              <w:jc w:val="left"/>
            </w:pPr>
            <w:r>
              <w:rPr>
                <w:rFonts w:ascii="Times New Roman" w:hAnsi="Times New Roman" w:eastAsia="ＭＳ 明朝"/>
                <w:b w:val="0"/>
                <w:color w:val="000000"/>
                <w:sz w:val="20"/>
              </w:rPr>
              <w:t>-6.0pt</w:t>
            </w:r>
          </w:p>
        </w:tc>
        <w:tc>
          <w:tcPr>
            <w:tcW w:type="dxa" w:w="2154"/>
          </w:tcPr>
          <w:p>
            <w:pPr>
              <w:spacing w:after="0"/>
              <w:ind w:firstLine="0" w:firstLineChars="0"/>
              <w:jc w:val="left"/>
            </w:pPr>
            <w:r>
              <w:rPr>
                <w:rFonts w:ascii="Times New Roman" w:hAnsi="Times New Roman" w:eastAsia="ＭＳ 明朝"/>
                <w:b w:val="0"/>
                <w:color w:val="000000"/>
                <w:sz w:val="20"/>
              </w:rPr>
              <w:t>-31.9pt</w:t>
            </w:r>
          </w:p>
        </w:tc>
        <w:tc>
          <w:tcPr>
            <w:tcW w:type="dxa" w:w="1587"/>
          </w:tcPr>
          <w:p>
            <w:pPr>
              <w:spacing w:after="0"/>
              <w:ind w:firstLine="0" w:firstLineChars="0"/>
              <w:jc w:val="left"/>
            </w:pPr>
            <w:r>
              <w:rPr>
                <w:rFonts w:ascii="Times New Roman" w:hAnsi="Times New Roman" w:eastAsia="ＭＳ 明朝"/>
                <w:b w:val="0"/>
                <w:color w:val="000000"/>
                <w:sz w:val="20"/>
              </w:rPr>
              <w:t>―</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市場との連動度β(直近1年)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0.835</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0.491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1.000</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tcPr>
          <w:p>
            <w:pPr>
              <w:spacing w:after="0"/>
              <w:ind w:firstLine="0" w:firstLineChars="0"/>
              <w:jc w:val="left"/>
            </w:pPr>
            <w:r>
              <w:rPr>
                <w:rFonts w:ascii="Times New Roman" w:hAnsi="Times New Roman" w:eastAsia="ＭＳ 明朝"/>
                <w:b w:val="0"/>
                <w:color w:val="000000"/>
                <w:sz w:val="20"/>
              </w:rPr>
              <w:t>最大の下落(直近1年)</w:t>
            </w:r>
          </w:p>
        </w:tc>
        <w:tc>
          <w:tcPr>
            <w:tcW w:type="dxa" w:w="1701"/>
          </w:tcPr>
          <w:p>
            <w:pPr>
              <w:spacing w:after="0"/>
              <w:ind w:firstLine="0" w:firstLineChars="0"/>
              <w:jc w:val="left"/>
            </w:pPr>
            <w:r>
              <w:rPr>
                <w:rFonts w:ascii="Times New Roman" w:hAnsi="Times New Roman" w:eastAsia="ＭＳ 明朝"/>
                <w:b w:val="0"/>
                <w:color w:val="000000"/>
                <w:sz w:val="20"/>
              </w:rPr>
              <w:t>-11.7%</w:t>
            </w:r>
          </w:p>
        </w:tc>
        <w:tc>
          <w:tcPr>
            <w:tcW w:type="dxa" w:w="2154"/>
          </w:tcPr>
          <w:p>
            <w:pPr>
              <w:spacing w:after="0"/>
              <w:ind w:firstLine="0" w:firstLineChars="0"/>
              <w:jc w:val="left"/>
            </w:pPr>
            <w:r>
              <w:rPr>
                <w:rFonts w:ascii="Times New Roman" w:hAnsi="Times New Roman" w:eastAsia="ＭＳ 明朝"/>
                <w:b w:val="0"/>
                <w:color w:val="000000"/>
                <w:sz w:val="20"/>
              </w:rPr>
              <w:t>-12.6%</w:t>
            </w:r>
          </w:p>
        </w:tc>
        <w:tc>
          <w:tcPr>
            <w:tcW w:type="dxa" w:w="1587"/>
          </w:tcPr>
          <w:p>
            <w:pPr>
              <w:spacing w:after="0"/>
              <w:ind w:firstLine="0" w:firstLineChars="0"/>
              <w:jc w:val="left"/>
            </w:pPr>
            <w:r>
              <w:rPr>
                <w:rFonts w:ascii="Times New Roman" w:hAnsi="Times New Roman" w:eastAsia="ＭＳ 明朝"/>
                <w:b w:val="0"/>
                <w:color w:val="000000"/>
                <w:sz w:val="20"/>
              </w:rPr>
              <w:t>-11.4%</w:t>
            </w:r>
          </w:p>
        </w:tc>
        <w:tc>
          <w:tcPr>
            <w:tcW w:type="dxa" w:w="1587"/>
          </w:tcPr>
          <w:p>
            <w:pPr>
              <w:spacing w:after="0"/>
              <w:ind w:firstLine="0" w:firstLineChars="0"/>
              <w:jc w:val="left"/>
            </w:pPr>
            <w:r>
              <w:rPr>
                <w:rFonts w:ascii="Times New Roman" w:hAnsi="Times New Roman" w:eastAsia="ＭＳ 明朝"/>
                <w:b w:val="0"/>
                <w:color w:val="000000"/>
                <w:sz w:val="20"/>
              </w:rPr>
              <w:t>―</w:t>
            </w:r>
          </w:p>
        </w:tc>
      </w:tr>
      <w:tr>
        <w:trPr>
          <w:cantSplit/>
        </w:trPr>
        <w:tc>
          <w:tcPr>
            <w:tcW w:type="dxa" w:w="2268"/>
            <w:shd w:val="clear" w:color="auto" w:fill="F2F6F4"/>
          </w:tcPr>
          <w:p>
            <w:pPr>
              <w:spacing w:after="0"/>
              <w:ind w:firstLine="0" w:firstLineChars="0"/>
              <w:jc w:val="left"/>
            </w:pPr>
            <w:r>
              <w:rPr>
                <w:rFonts w:ascii="Times New Roman" w:hAnsi="Times New Roman" w:eastAsia="ＭＳ 明朝"/>
                <w:b w:val="0"/>
                <w:color w:val="000000"/>
                <w:sz w:val="20"/>
              </w:rPr>
              <w:t>超過の安定度ＩＲ(直近1年)</w:t>
            </w:r>
          </w:p>
        </w:tc>
        <w:tc>
          <w:tcPr>
            <w:tcW w:type="dxa" w:w="1701"/>
            <w:shd w:val="clear" w:color="auto" w:fill="F2F6F4"/>
          </w:tcPr>
          <w:p>
            <w:pPr>
              <w:spacing w:after="0"/>
              <w:ind w:firstLine="0" w:firstLineChars="0"/>
              <w:jc w:val="left"/>
            </w:pPr>
            <w:r>
              <w:rPr>
                <w:rFonts w:ascii="Times New Roman" w:hAnsi="Times New Roman" w:eastAsia="ＭＳ 明朝"/>
                <w:b w:val="0"/>
                <w:color w:val="000000"/>
                <w:sz w:val="20"/>
              </w:rPr>
              <w:t>-0.427</w:t>
            </w:r>
          </w:p>
        </w:tc>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-1.981</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c>
          <w:tcPr>
            <w:tcW w:type="dxa" w:w="1587"/>
            <w:shd w:val="clear" w:color="auto" w:fill="F2F6F4"/>
          </w:tcPr>
          <w:p>
            <w:pPr>
              <w:spacing w:after="0"/>
              <w:ind w:firstLine="0" w:firstLineChars="0"/>
              <w:jc w:val="left"/>
            </w:pPr>
            <w:r>
              <w:rPr>
                <w:rFonts w:ascii="Times New Roman" w:hAnsi="Times New Roman" w:eastAsia="ＭＳ 明朝"/>
                <w:b w:val="0"/>
                <w:color w:val="000000"/>
                <w:sz w:val="20"/>
              </w:rPr>
              <w:t>―</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図表Ⅲ-8　対照群・参照ベンチマークとの比較(5つの物差し×2期間)。日経平均は値がさハイテク株の比重が高くＡＩ相場で大きく伸びやすい参照値(配当抜き)。出所：control_comparison_v5.json(phase5と同一の計算規約、指数系列の欠測は補完済み)。</w:t>
      </w:r>
    </w:p>
    <w:p>
      <w:pPr>
        <w:spacing w:after="80" w:line="281" w:lineRule="auto"/>
        <w:jc w:val="both"/>
        <w:ind w:firstLineChars="100" w:firstLine="210"/>
      </w:pPr>
      <w:r>
        <w:rPr>
          <w:rFonts w:ascii="Times New Roman" w:hAnsi="Times New Roman" w:eastAsia="ＭＳ 明朝"/>
          <w:b w:val="0"/>
          <w:color w:val="000000"/>
          <w:sz w:val="21"/>
        </w:rPr>
        <w:t>読み取りは三つ。第一に、本ポートフォリオは対照群を選定に使った3年間で年17.4ポイント、選定に使っていない直近1年でも年25.9ポイント上回った――守の式だけでは届かない部分を、変わる堀・生まれる堀が実際に運んだ。この超過は3年で統計的にも有意(日次超過ｔ値＝2.26。直近1年は1.93で10％水準、技術補遺§F)。第二に、正直に認める点として、守りは対照群の方が堅い(最大の下落も市場との連動度も対照群が小さい)。第三に、参照のＴＯＰＩＸには直近1年で年-6.0ポイント劣後し、日経平均には3年でも届いていない。ＴＯＰＩＸ超過は3年でもｔ値＝0.81で有意といえず、対照群には勝ったが、市場平均に勝ち続ける力までは証明できていない――ここは言い換えずに残す。</w:t>
      </w:r>
    </w:p>
    <w:p>
      <w:pPr>
        <w:spacing w:after="80" w:line="281" w:lineRule="auto"/>
        <w:jc w:val="both"/>
        <w:ind w:firstLineChars="100" w:firstLine="210"/>
      </w:pPr>
      <w:r>
        <w:rPr>
          <w:rFonts w:ascii="Times New Roman" w:hAnsi="Times New Roman" w:eastAsia="ＭＳ 明朝"/>
          <w:b w:val="0"/>
          <w:color w:val="000000"/>
          <w:sz w:val="21"/>
        </w:rPr>
        <w:t>役割の分担も確かめた。過去3年の値上がり寄与の8割は生まれる堀(フジクラ・オルガノなど)で、完成した堀は寄与1％の安定した土台に徹していた。また、割安側の銘柄を外して組み直すと値動きの大きさが35.5％へ悪化する。変わる堀は攻めではなく、揺れを抑える緩衝材として効いている。なお本検証は取引コスト・税を考慮せず、毎日同じ比率へ戻す固定重み規約で計算した。株数固定の買い放置では値が変わり下落も深い(本ＰＦ3年47.1%・下落-30.6%、技術補遺§D)。</w:t>
      </w:r>
    </w:p>
    <w:p>
      <w:pPr>
        <w:keepNext/>
        <w:spacing w:before="100" w:after="40" w:line="298" w:lineRule="auto"/>
        <w:ind w:firstLine="0" w:firstLineChars="0"/>
      </w:pPr>
      <w:r>
        <w:rPr>
          <w:rFonts w:ascii="Arial" w:hAnsi="Arial" w:eastAsia="ＭＳ ゴシック"/>
          <w:b/>
          <w:color w:val="16324F"/>
          <w:sz w:val="21"/>
        </w:rPr>
        <w:t>図表Ⅲ-9　役割別の寄与 ― 生まれる堀が牽引し、完成した堀は土台</w:t>
      </w:r>
    </w:p>
    <w:p>
      <w:pPr>
        <w:jc w:val="center"/>
        <w:keepNext/>
        <w:ind w:firstLine="0" w:firstLineChars="0"/>
      </w:pPr>
      <w:r>
        <w:drawing>
          <wp:inline xmlns:a="http://schemas.openxmlformats.org/drawingml/2006/main" xmlns:pic="http://schemas.openxmlformats.org/drawingml/2006/picture">
            <wp:extent cx="5328000" cy="1650873"/>
            <wp:docPr id="8" name="Picture 8"/>
            <wp:cNvGraphicFramePr>
              <a:graphicFrameLocks noChangeAspect="1"/>
            </wp:cNvGraphicFramePr>
            <a:graphic>
              <a:graphicData uri="http://schemas.openxmlformats.org/drawingml/2006/picture">
                <pic:pic>
                  <pic:nvPicPr>
                    <pic:cNvPr id="0" name="fig3_roles.png"/>
                    <pic:cNvPicPr/>
                  </pic:nvPicPr>
                  <pic:blipFill>
                    <a:blip r:embed="rId17"/>
                    <a:stretch>
                      <a:fillRect/>
                    </a:stretch>
                  </pic:blipFill>
                  <pic:spPr>
                    <a:xfrm>
                      <a:off x="0" y="0"/>
                      <a:ext cx="5328000" cy="1650873"/>
                    </a:xfrm>
                    <a:prstGeom prst="rect"/>
                  </pic:spPr>
                </pic:pic>
              </a:graphicData>
            </a:graphic>
          </wp:inline>
        </w:drawing>
      </w:r>
    </w:p>
    <w:p>
      <w:pPr>
        <w:spacing w:before="0" w:after="140" w:line="298" w:lineRule="auto"/>
        <w:ind w:firstLine="0" w:firstLineChars="0"/>
      </w:pPr>
      <w:r>
        <w:rPr>
          <w:rFonts w:ascii="Times New Roman" w:hAnsi="Times New Roman" w:eastAsia="ＭＳ 明朝"/>
          <w:b w:val="0"/>
          <w:color w:val="000000"/>
          <w:sz w:val="20"/>
        </w:rPr>
        <w:t>注：過去3年・選定に使った期間。出所：検証の正典データ(phase5_validation_summary.json)。</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4．結論 ― 結局、バフェットを超えたのか</w:t>
      </w:r>
    </w:p>
    <w:p>
      <w:pPr>
        <w:spacing w:after="80" w:line="281" w:lineRule="auto"/>
        <w:jc w:val="both"/>
        <w:ind w:firstLineChars="100" w:firstLine="210"/>
      </w:pPr>
      <w:r>
        <w:rPr>
          <w:rFonts w:ascii="Times New Roman" w:hAnsi="Times New Roman" w:eastAsia="ＭＳ 明朝"/>
          <w:b w:val="0"/>
          <w:color w:val="000000"/>
          <w:sz w:val="21"/>
        </w:rPr>
        <w:t>第Ⅰ章で立てた投資仮説と四つの条件に、正面から答える。</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1928"/>
            <w:shd w:val="clear" w:color="auto" w:fill="16324F"/>
          </w:tcPr>
          <w:p>
            <w:pPr>
              <w:spacing w:after="0"/>
              <w:ind w:firstLine="0" w:firstLineChars="0"/>
            </w:pPr>
            <w:r>
              <w:rPr>
                <w:rFonts w:ascii="Arial" w:hAnsi="Arial" w:eastAsia="ＭＳ ゴシック"/>
                <w:b/>
                <w:color w:val="FFFFFF"/>
                <w:sz w:val="20"/>
              </w:rPr>
              <w:t>「超える」の条件</w:t>
            </w:r>
          </w:p>
        </w:tc>
        <w:tc>
          <w:tcPr>
            <w:tcW w:type="dxa" w:w="6463"/>
            <w:shd w:val="clear" w:color="auto" w:fill="16324F"/>
          </w:tcPr>
          <w:p>
            <w:pPr>
              <w:spacing w:after="0"/>
              <w:ind w:firstLine="0" w:firstLineChars="0"/>
            </w:pPr>
            <w:r>
              <w:rPr>
                <w:rFonts w:ascii="Arial" w:hAnsi="Arial" w:eastAsia="ＭＳ ゴシック"/>
                <w:b/>
                <w:color w:val="FFFFFF"/>
                <w:sz w:val="20"/>
              </w:rPr>
              <w:t>結果</w:t>
            </w:r>
          </w:p>
        </w:tc>
        <w:tc>
          <w:tcPr>
            <w:tcW w:type="dxa" w:w="1134"/>
            <w:shd w:val="clear" w:color="auto" w:fill="16324F"/>
          </w:tcPr>
          <w:p>
            <w:pPr>
              <w:spacing w:after="0"/>
              <w:ind w:firstLine="0" w:firstLineChars="0"/>
            </w:pPr>
            <w:r>
              <w:rPr>
                <w:rFonts w:ascii="Arial" w:hAnsi="Arial" w:eastAsia="ＭＳ ゴシック"/>
                <w:b/>
                <w:color w:val="FFFFFF"/>
                <w:sz w:val="20"/>
              </w:rPr>
              <w:t>判定</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① 同じ土俵に立つ</w:t>
            </w:r>
          </w:p>
        </w:tc>
        <w:tc>
          <w:tcPr>
            <w:tcW w:type="dxa" w:w="6463"/>
          </w:tcPr>
          <w:p>
            <w:pPr>
              <w:spacing w:after="0"/>
              <w:ind w:firstLine="0" w:firstLineChars="0"/>
              <w:jc w:val="left"/>
            </w:pPr>
            <w:r>
              <w:rPr>
                <w:rFonts w:ascii="Times New Roman" w:hAnsi="Times New Roman" w:eastAsia="ＭＳ 明朝"/>
                <w:b w:val="0"/>
                <w:color w:val="000000"/>
                <w:sz w:val="20"/>
              </w:rPr>
              <w:t>守で規律を式だけから再現し、その5社を固定保有(第Ⅱ章)</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② 死角を補う</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バフェットの式では選ばれない15社を、証拠の強さつきで選定。最終20社の証拠内訳は水準3=15社・水準2=4社・水準1=1社。除外1,180社は理由つきで全記録(第Ⅱ章)</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tcPr>
          <w:p>
            <w:pPr>
              <w:spacing w:after="0"/>
              <w:ind w:firstLine="0" w:firstLineChars="0"/>
              <w:jc w:val="left"/>
            </w:pPr>
            <w:r>
              <w:rPr>
                <w:rFonts w:ascii="Times New Roman" w:hAnsi="Times New Roman" w:eastAsia="ＭＳ 明朝"/>
                <w:b w:val="0"/>
                <w:color w:val="000000"/>
                <w:sz w:val="20"/>
              </w:rPr>
              <w:t>③ 壊れにくい</w:t>
            </w:r>
          </w:p>
        </w:tc>
        <w:tc>
          <w:tcPr>
            <w:tcW w:type="dxa" w:w="6463"/>
          </w:tcPr>
          <w:p>
            <w:pPr>
              <w:spacing w:after="0"/>
              <w:ind w:firstLine="0" w:firstLineChars="0"/>
              <w:jc w:val="left"/>
            </w:pPr>
            <w:r>
              <w:rPr>
                <w:rFonts w:ascii="Times New Roman" w:hAnsi="Times New Roman" w:eastAsia="ＭＳ 明朝"/>
                <w:b w:val="0"/>
                <w:color w:val="000000"/>
                <w:sz w:val="20"/>
              </w:rPr>
              <w:t>16通りの検査で確認。候補を100社に狭める検査以外は、どの条件を変えても20社中11社以上が一致(第Ⅱ章末)</w:t>
            </w:r>
          </w:p>
        </w:tc>
        <w:tc>
          <w:tcPr>
            <w:tcW w:type="dxa" w:w="1134"/>
          </w:tcPr>
          <w:p>
            <w:pPr>
              <w:spacing w:after="0"/>
              <w:ind w:firstLine="0" w:firstLineChars="0"/>
              <w:jc w:val="left"/>
            </w:pPr>
            <w:r>
              <w:rPr>
                <w:rFonts w:ascii="Times New Roman" w:hAnsi="Times New Roman" w:eastAsia="ＭＳ 明朝"/>
                <w:b w:val="0"/>
                <w:color w:val="000000"/>
                <w:sz w:val="20"/>
              </w:rPr>
              <w:t>達成</w:t>
            </w:r>
          </w:p>
        </w:tc>
      </w:tr>
      <w:tr>
        <w:trPr>
          <w:cantSplit/>
        </w:trPr>
        <w:tc>
          <w:tcPr>
            <w:tcW w:type="dxa" w:w="1928"/>
            <w:shd w:val="clear" w:color="auto" w:fill="F2F6F4"/>
          </w:tcPr>
          <w:p>
            <w:pPr>
              <w:spacing w:after="0"/>
              <w:ind w:firstLine="0" w:firstLineChars="0"/>
              <w:jc w:val="left"/>
            </w:pPr>
            <w:r>
              <w:rPr>
                <w:rFonts w:ascii="Times New Roman" w:hAnsi="Times New Roman" w:eastAsia="ＭＳ 明朝"/>
                <w:b w:val="0"/>
                <w:color w:val="000000"/>
                <w:sz w:val="20"/>
              </w:rPr>
              <w:t>④ 成績で上回る</w:t>
            </w:r>
          </w:p>
        </w:tc>
        <w:tc>
          <w:tcPr>
            <w:tcW w:type="dxa" w:w="6463"/>
            <w:shd w:val="clear" w:color="auto" w:fill="F2F6F4"/>
          </w:tcPr>
          <w:p>
            <w:pPr>
              <w:spacing w:after="0"/>
              <w:ind w:firstLine="0" w:firstLineChars="0"/>
              <w:jc w:val="left"/>
            </w:pPr>
            <w:r>
              <w:rPr>
                <w:rFonts w:ascii="Times New Roman" w:hAnsi="Times New Roman" w:eastAsia="ＭＳ 明朝"/>
                <w:b w:val="0"/>
                <w:color w:val="000000"/>
                <w:sz w:val="20"/>
              </w:rPr>
              <w:t>対照群『純正バフェット』を3年で年＋17.4ポイント、選定に使っていない直近1年でも年＋25.9ポイント上回った。参照のＴＯＰＩＸには直近1年で年-6.0ポイント劣後(図表Ⅲ-8)</w:t>
            </w:r>
          </w:p>
        </w:tc>
        <w:tc>
          <w:tcPr>
            <w:tcW w:type="dxa" w:w="1134"/>
            <w:shd w:val="clear" w:color="auto" w:fill="F2F6F4"/>
          </w:tcPr>
          <w:p>
            <w:pPr>
              <w:spacing w:after="0"/>
              <w:ind w:firstLine="0" w:firstLineChars="0"/>
              <w:jc w:val="left"/>
            </w:pPr>
            <w:r>
              <w:rPr>
                <w:rFonts w:ascii="Times New Roman" w:hAnsi="Times New Roman" w:eastAsia="ＭＳ 明朝"/>
                <w:b w:val="0"/>
                <w:color w:val="000000"/>
                <w:sz w:val="20"/>
              </w:rPr>
              <w:t>達成(参照指数には課題)</w:t>
            </w:r>
          </w:p>
        </w:tc>
      </w:tr>
    </w:tbl>
    <w:p>
      <w:pPr>
        <w:spacing w:before="0" w:after="60" w:line="298" w:lineRule="auto"/>
        <w:ind w:firstLine="0" w:firstLineChars="0"/>
      </w:pPr>
    </w:p>
    <w:p>
      <w:pPr>
        <w:spacing w:before="0" w:after="120" w:line="298" w:lineRule="auto"/>
        <w:ind w:firstLine="0" w:firstLineChars="0"/>
      </w:pPr>
      <w:r>
        <w:rPr>
          <w:rFonts w:ascii="Times New Roman" w:hAnsi="Times New Roman" w:eastAsia="ＭＳ 明朝"/>
          <w:b w:val="0"/>
          <w:color w:val="000000"/>
          <w:sz w:val="20"/>
        </w:rPr>
        <w:t>図表Ⅲ-10　判定表 ― 四条件に対する現時点の答え。</w:t>
      </w:r>
    </w:p>
    <w:p>
      <w:pPr>
        <w:spacing w:after="80" w:line="281" w:lineRule="auto"/>
        <w:jc w:val="both"/>
        <w:ind w:firstLineChars="100" w:firstLine="210"/>
      </w:pPr>
      <w:r>
        <w:rPr>
          <w:rFonts w:ascii="Times New Roman" w:hAnsi="Times New Roman" w:eastAsia="ＭＳ 明朝"/>
          <w:b w:val="0"/>
          <w:color w:val="000000"/>
          <w:sz w:val="21"/>
        </w:rPr>
        <w:t>四つの条件が、それぞれの持ち場で達成となった。①同じ土俵・②死角の補完・③壊れにくさは設計と検査で、④成績は主の物差し(年率リターン・超過の安定度ＩＲ)が両期間とも対照群を上回った。守り(値動きの穏やかさ・最大の下落)ではむしろ純正型が優ったが、これは弱点ではなく、完成した堀を四分の一残した設計が守りを担う裏返しである。ＴＯＰＩＸへの直近1年6.0ポイントの劣後という宿題を隠さないことも、設計の一部である。第Ⅰ章の投資仮説――三世代を束ねた選定は、リターンと超過の安定度で純正バフェット型を上回る――は、この比較によって支持された。</w:t>
      </w:r>
    </w:p>
    <w:p>
      <w:pPr>
        <w:spacing w:after="80" w:line="281" w:lineRule="auto"/>
        <w:jc w:val="both"/>
        <w:ind w:firstLineChars="100" w:firstLine="210"/>
      </w:pPr>
      <w:r>
        <w:rPr>
          <w:rFonts w:ascii="Times New Roman" w:hAnsi="Times New Roman" w:eastAsia="ＭＳ 明朝"/>
          <w:b w:val="0"/>
          <w:color w:val="000000"/>
          <w:sz w:val="21"/>
        </w:rPr>
        <w:t>最後に一つ。証拠水準の分離管理・除外1,180社の全記録・16通りの壊れにくさ検査――この三つは、既製の手法ではなく、私たちが検証可能性のために自分の手で組んだ、本レポート固有の装備である。私たちがこの20社を持ち続けられる理由は、成績の自信ではなく、この構造と証拠と検査にある。</w:t>
      </w:r>
    </w:p>
    <w:p>
      <w:pPr>
        <w:keepNext/>
        <w:spacing w:before="160" w:after="80" w:line="298" w:lineRule="auto"/>
        <w:ind w:firstLine="0" w:firstLineChars="0"/>
        <w:shd w:val="clear" w:color="auto" w:fill="DCE8E4"/>
        <w:pBdr>
          <w:left w:val="single" w:sz="28" w:space="3" w:color="16324F"/>
        </w:pBdr>
      </w:pPr>
      <w:r>
        <w:rPr>
          <w:rFonts w:ascii="Arial" w:hAnsi="Arial" w:eastAsia="ＭＳ ゴシック"/>
          <w:b/>
          <w:color w:val="16324F"/>
          <w:sz w:val="24"/>
        </w:rPr>
        <w:t xml:space="preserve">　5．リスクと限界 ― 正直に書き残す</w:t>
      </w:r>
    </w:p>
    <w:p>
      <w:pPr>
        <w:spacing w:after="80" w:line="281" w:lineRule="auto"/>
        <w:jc w:val="both"/>
        <w:ind w:firstLineChars="100" w:firstLine="210"/>
      </w:pPr>
      <w:r>
        <w:rPr>
          <w:rFonts w:ascii="Times New Roman" w:hAnsi="Times New Roman" w:eastAsia="ＭＳ 明朝"/>
          <w:b w:val="0"/>
          <w:color w:val="000000"/>
          <w:sz w:val="21"/>
        </w:rPr>
        <w:t>最後に、この設計の弱点を私たち自身の手で記録しておく――強みだけを並べたレポートは検証に耐えないからである。</w:t>
      </w:r>
    </w:p>
    <w:p>
      <w:pPr>
        <w:spacing w:before="0" w:after="40" w:line="293" w:lineRule="auto"/>
        <w:ind w:firstLine="0" w:firstLineChars="0"/>
      </w:pPr>
      <w:r>
        <w:rPr>
          <w:rFonts w:ascii="Arial" w:hAnsi="Arial" w:eastAsia="ＭＳ ゴシック"/>
          <w:b/>
          <w:color w:val="16324F"/>
          <w:sz w:val="20"/>
        </w:rPr>
        <w:t xml:space="preserve">・テーマの偏り　</w:t>
      </w:r>
      <w:r>
        <w:rPr>
          <w:rFonts w:ascii="Times New Roman" w:hAnsi="Times New Roman" w:eastAsia="ＭＳ 明朝"/>
          <w:b w:val="0"/>
          <w:color w:val="000000"/>
          <w:sz w:val="20"/>
        </w:rPr>
        <w:t>過去3年の値上がり寄与の8割は生まれる堀に集中しており、テーマ寄与の集中度(ＨＨＩ)は0.40と高め(業種の集中度0.0707とは別の物差し)。生まれる堀のテーマが崩れる未来では、市場に劣る可能性がある。だからこそ完成した堀・変わる堀に同額の予算を置き、一つの未来への賭けを避けている。</w:t>
      </w:r>
    </w:p>
    <w:p>
      <w:pPr>
        <w:spacing w:before="0" w:after="40" w:line="293" w:lineRule="auto"/>
        <w:ind w:firstLine="0" w:firstLineChars="0"/>
      </w:pPr>
      <w:r>
        <w:rPr>
          <w:rFonts w:ascii="Arial" w:hAnsi="Arial" w:eastAsia="ＭＳ ゴシック"/>
          <w:b/>
          <w:color w:val="16324F"/>
          <w:sz w:val="20"/>
        </w:rPr>
        <w:t xml:space="preserve">・単元未満株の前提　</w:t>
      </w:r>
      <w:r>
        <w:rPr>
          <w:rFonts w:ascii="Times New Roman" w:hAnsi="Times New Roman" w:eastAsia="ＭＳ 明朝"/>
          <w:b w:val="0"/>
          <w:color w:val="000000"/>
          <w:sz w:val="20"/>
        </w:rPr>
        <w:t>通常の売買単位(100株)では、株価の高い9社が予算内で買えない。1株から買える単元未満株の取扱いを前提としており、取扱いのない証券会社ではこの配分をそのまま再現できない。</w:t>
      </w:r>
    </w:p>
    <w:p>
      <w:pPr>
        <w:spacing w:before="0" w:after="40" w:line="293" w:lineRule="auto"/>
        <w:ind w:firstLine="0" w:firstLineChars="0"/>
      </w:pPr>
      <w:r>
        <w:rPr>
          <w:rFonts w:ascii="Arial" w:hAnsi="Arial" w:eastAsia="ＭＳ ゴシック"/>
          <w:b/>
          <w:color w:val="16324F"/>
          <w:sz w:val="20"/>
        </w:rPr>
        <w:t xml:space="preserve">・証拠は開示ベース　</w:t>
      </w:r>
      <w:r>
        <w:rPr>
          <w:rFonts w:ascii="Times New Roman" w:hAnsi="Times New Roman" w:eastAsia="ＭＳ 明朝"/>
          <w:b w:val="0"/>
          <w:color w:val="000000"/>
          <w:sz w:val="20"/>
        </w:rPr>
        <w:t>証拠の強さは開示資料に基づく判定であり、現場の実態までは測れない。第Ⅳ章の取材は、この限界を埋めるために設計している。</w:t>
      </w:r>
    </w:p>
    <w:p>
      <w:pPr>
        <w:spacing w:before="0" w:after="40" w:line="293" w:lineRule="auto"/>
        <w:ind w:firstLine="0" w:firstLineChars="0"/>
      </w:pPr>
      <w:r>
        <w:rPr>
          <w:rFonts w:ascii="Arial" w:hAnsi="Arial" w:eastAsia="ＭＳ ゴシック"/>
          <w:b/>
          <w:color w:val="16324F"/>
          <w:sz w:val="20"/>
        </w:rPr>
        <w:t xml:space="preserve">・出発点は生存者のみ　</w:t>
      </w:r>
      <w:r>
        <w:rPr>
          <w:rFonts w:ascii="Times New Roman" w:hAnsi="Times New Roman" w:eastAsia="ＭＳ 明朝"/>
          <w:b w:val="0"/>
          <w:color w:val="000000"/>
          <w:sz w:val="20"/>
        </w:rPr>
        <w:t>出発点の3,099社は2026年4月30日時点の上場一覧で、期間中に上場廃止となった企業を含まない(生存者バイアス)。成績はその分有利に出うる(技術補遺§A)。</w:t>
      </w:r>
    </w:p>
    <w:p>
      <w:pPr>
        <w:spacing w:before="80" w:after="120" w:line="298" w:lineRule="auto"/>
        <w:ind w:firstLine="0" w:firstLineChars="0"/>
        <w:shd w:val="clear" w:color="auto" w:fill="F2F6F4"/>
      </w:pPr>
      <w:r>
        <w:rPr>
          <w:rFonts w:ascii="Arial" w:hAnsi="Arial" w:eastAsia="ＭＳ ゴシック"/>
          <w:b/>
          <w:color w:val="2F6D5F"/>
          <w:sz w:val="20"/>
        </w:rPr>
        <w:t xml:space="preserve">　この章の要点　</w:t>
      </w:r>
      <w:r>
        <w:rPr>
          <w:rFonts w:ascii="Times New Roman" w:hAnsi="Times New Roman" w:eastAsia="ＭＳ 明朝"/>
          <w:b w:val="0"/>
          <w:color w:val="000000"/>
          <w:sz w:val="20"/>
        </w:rPr>
        <w:t>四条件とも達成(④は対照群比較)。ただしＴＯＰＩＸへの直近1年の劣後と設計の弱点まで、先に書き残した。</w:t>
      </w:r>
    </w:p>
    <w:p>
      <w:pPr>
        <w:keepNext/>
        <w:spacing w:before="200" w:after="100" w:line="298" w:lineRule="auto"/>
        <w:ind w:firstLine="0" w:firstLineChars="0"/>
        <w:pageBreakBefore/>
        <w:shd w:val="clear" w:color="auto" w:fill="16324F"/>
      </w:pPr>
      <w:r>
        <w:rPr>
          <w:rFonts w:ascii="Arial" w:hAnsi="Arial" w:eastAsia="ＭＳ ゴシック"/>
          <w:b/>
          <w:color w:val="FFFFFF"/>
          <w:sz w:val="28"/>
        </w:rPr>
        <w:t xml:space="preserve">　Ⅳ．インタビュー・アンケート</w:t>
      </w:r>
    </w:p>
    <w:p>
      <w:pPr>
        <w:spacing w:after="80" w:line="281" w:lineRule="auto"/>
        <w:jc w:val="both"/>
        <w:ind w:firstLineChars="100" w:firstLine="210"/>
      </w:pPr>
      <w:r>
        <w:rPr>
          <w:rFonts w:ascii="Times New Roman" w:hAnsi="Times New Roman" w:eastAsia="ＭＳ 明朝"/>
          <w:b w:val="0"/>
          <w:color w:val="000000"/>
          <w:sz w:val="21"/>
        </w:rPr>
        <w:t>前章までの選定と検証は、すべて開示データの上に立っている。本章では、その見立てが現場の実態と合っているかを確かめる取材の計画を示す。質問は思いつきではなく、各社を選んだ理由(点数と証拠)から導いた(実施記録は記入欄)。</w:t>
      </w:r>
    </w:p>
    <w:tbl>
      <w:tblPr>
        <w:tblStyle w:val="TableGrid"/>
        <w:tblW w:type="auto" w:w="0"/>
        <w:jc w:val="center"/>
        <w:tblLook w:firstColumn="1" w:firstRow="1" w:lastColumn="0" w:lastRow="0" w:noHBand="0" w:noVBand="1" w:val="04A0"/>
      </w:tblPr>
      <w:tblGrid>
        <w:gridCol w:w="4933"/>
        <w:gridCol w:w="4933"/>
      </w:tblGrid>
      <w:tr>
        <w:trPr>
          <w:cantSplit/>
        </w:trPr>
        <w:tc>
          <w:tcPr>
            <w:tcW w:type="dxa" w:w="2948"/>
            <w:shd w:val="clear" w:color="auto" w:fill="16324F"/>
          </w:tcPr>
          <w:p>
            <w:pPr>
              <w:spacing w:after="0"/>
              <w:ind w:firstLine="0" w:firstLineChars="0"/>
            </w:pPr>
            <w:r>
              <w:rPr>
                <w:rFonts w:ascii="Arial" w:hAnsi="Arial" w:eastAsia="ＭＳ ゴシック"/>
                <w:b/>
                <w:color w:val="FFFFFF"/>
                <w:sz w:val="20"/>
              </w:rPr>
              <w:t>対象(役割)</w:t>
            </w:r>
          </w:p>
        </w:tc>
        <w:tc>
          <w:tcPr>
            <w:tcW w:type="dxa" w:w="6690"/>
            <w:shd w:val="clear" w:color="auto" w:fill="16324F"/>
          </w:tcPr>
          <w:p>
            <w:pPr>
              <w:spacing w:after="0"/>
              <w:ind w:firstLine="0" w:firstLineChars="0"/>
            </w:pPr>
            <w:r>
              <w:rPr>
                <w:rFonts w:ascii="Arial" w:hAnsi="Arial" w:eastAsia="ＭＳ ゴシック"/>
                <w:b/>
                <w:color w:val="FFFFFF"/>
                <w:sz w:val="20"/>
              </w:rPr>
              <w:t>選定理由から導いた質問草案</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5803 フジクラ(生まれる堀)</w:t>
            </w:r>
          </w:p>
        </w:tc>
        <w:tc>
          <w:tcPr>
            <w:tcW w:type="dxa" w:w="6690"/>
          </w:tcPr>
          <w:p>
            <w:pPr>
              <w:spacing w:after="0"/>
              <w:ind w:firstLine="0" w:firstLineChars="0"/>
              <w:jc w:val="left"/>
            </w:pPr>
            <w:r>
              <w:rPr>
                <w:rFonts w:ascii="Times New Roman" w:hAnsi="Times New Roman" w:eastAsia="ＭＳ 明朝"/>
                <w:b w:val="0"/>
                <w:color w:val="000000"/>
                <w:sz w:val="20"/>
              </w:rPr>
              <w:t>①データセンター向け光配線の受注動向と生産能力投資の計画　②ＡＩ需要が一巡した場合の下支え事業</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6368 オルガノ(生まれる堀)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①半導体向け超純水装置の需要見通し　②価格決定力(急所を握る力)の源泉</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6920 レーザーテック(生まれる堀)</w:t>
            </w:r>
          </w:p>
        </w:tc>
        <w:tc>
          <w:tcPr>
            <w:tcW w:type="dxa" w:w="6690"/>
          </w:tcPr>
          <w:p>
            <w:pPr>
              <w:spacing w:after="0"/>
              <w:ind w:firstLine="0" w:firstLineChars="0"/>
              <w:jc w:val="left"/>
            </w:pPr>
            <w:r>
              <w:rPr>
                <w:rFonts w:ascii="Times New Roman" w:hAnsi="Times New Roman" w:eastAsia="ＭＳ 明朝"/>
                <w:b w:val="0"/>
                <w:color w:val="000000"/>
                <w:sz w:val="20"/>
              </w:rPr>
              <w:t>①半導体の検査・品質保証分野での技術優位の持続性　②研究開発投資の方向</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9470 学研ＨＤ(完成した堀)</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①教育×医療福祉の資本効率改善の進捗　②株主還元方針の考え方</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5233 太平洋セメント(変わる堀)</w:t>
            </w:r>
          </w:p>
        </w:tc>
        <w:tc>
          <w:tcPr>
            <w:tcW w:type="dxa" w:w="6690"/>
          </w:tcPr>
          <w:p>
            <w:pPr>
              <w:spacing w:after="0"/>
              <w:ind w:firstLine="0" w:firstLineChars="0"/>
              <w:jc w:val="left"/>
            </w:pPr>
            <w:r>
              <w:rPr>
                <w:rFonts w:ascii="Times New Roman" w:hAnsi="Times New Roman" w:eastAsia="ＭＳ 明朝"/>
                <w:b w:val="0"/>
                <w:color w:val="000000"/>
                <w:sz w:val="20"/>
              </w:rPr>
              <w:t>①資本コストを意識した経営改革の進捗　②株主還元と設備投資の優先順位</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9474 ゼンリン(両立型)</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①地図データベースの参入障壁　②ＡＩ時代におけるデータ資産の収益化</w:t>
            </w:r>
          </w:p>
        </w:tc>
      </w:tr>
      <w:tr>
        <w:trPr>
          <w:cantSplit/>
        </w:trPr>
        <w:tc>
          <w:tcPr>
            <w:tcW w:type="dxa" w:w="2948"/>
          </w:tcPr>
          <w:p>
            <w:pPr>
              <w:spacing w:after="0"/>
              <w:ind w:firstLine="0" w:firstLineChars="0"/>
              <w:jc w:val="left"/>
            </w:pPr>
            <w:r>
              <w:rPr>
                <w:rFonts w:ascii="Times New Roman" w:hAnsi="Times New Roman" w:eastAsia="ＭＳ 明朝"/>
                <w:b w:val="0"/>
                <w:color w:val="000000"/>
                <w:sz w:val="20"/>
              </w:rPr>
              <w:t>3697 ＳＨＩＦＴ(両立型)</w:t>
            </w:r>
          </w:p>
        </w:tc>
        <w:tc>
          <w:tcPr>
            <w:tcW w:type="dxa" w:w="6690"/>
          </w:tcPr>
          <w:p>
            <w:pPr>
              <w:spacing w:after="0"/>
              <w:ind w:firstLine="0" w:firstLineChars="0"/>
              <w:jc w:val="left"/>
            </w:pPr>
            <w:r>
              <w:rPr>
                <w:rFonts w:ascii="Times New Roman" w:hAnsi="Times New Roman" w:eastAsia="ＭＳ 明朝"/>
                <w:b w:val="0"/>
                <w:color w:val="000000"/>
                <w:sz w:val="20"/>
              </w:rPr>
              <w:t>①ソフトウェア品質保証の需要構造　②ＡＩ活用による事業機会と脅威</w:t>
            </w:r>
          </w:p>
        </w:tc>
      </w:tr>
      <w:tr>
        <w:trPr>
          <w:cantSplit/>
        </w:trPr>
        <w:tc>
          <w:tcPr>
            <w:tcW w:type="dxa" w:w="2948"/>
            <w:shd w:val="clear" w:color="auto" w:fill="F2F6F4"/>
          </w:tcPr>
          <w:p>
            <w:pPr>
              <w:spacing w:after="0"/>
              <w:ind w:firstLine="0" w:firstLineChars="0"/>
              <w:jc w:val="left"/>
            </w:pPr>
            <w:r>
              <w:rPr>
                <w:rFonts w:ascii="Times New Roman" w:hAnsi="Times New Roman" w:eastAsia="ＭＳ 明朝"/>
                <w:b w:val="0"/>
                <w:color w:val="000000"/>
                <w:sz w:val="20"/>
              </w:rPr>
              <w:t>2112 塩水港精糖(分散役)</w:t>
            </w:r>
          </w:p>
        </w:tc>
        <w:tc>
          <w:tcPr>
            <w:tcW w:type="dxa" w:w="6690"/>
            <w:shd w:val="clear" w:color="auto" w:fill="F2F6F4"/>
          </w:tcPr>
          <w:p>
            <w:pPr>
              <w:spacing w:after="0"/>
              <w:ind w:firstLine="0" w:firstLineChars="0"/>
              <w:jc w:val="left"/>
            </w:pPr>
            <w:r>
              <w:rPr>
                <w:rFonts w:ascii="Times New Roman" w:hAnsi="Times New Roman" w:eastAsia="ＭＳ 明朝"/>
                <w:b w:val="0"/>
                <w:color w:val="000000"/>
                <w:sz w:val="20"/>
              </w:rPr>
              <w:t>①原料価格の変動への耐性　②財務改善の計画</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実施記録(記入・取材ごとに1列)</w:t>
      </w:r>
    </w:p>
    <w:tbl>
      <w:tblPr>
        <w:tblStyle w:val="TableGrid"/>
        <w:tblW w:type="auto" w:w="0"/>
        <w:jc w:val="center"/>
        <w:tblLook w:firstColumn="1" w:firstRow="1" w:lastColumn="0" w:lastRow="0" w:noHBand="0" w:noVBand="1" w:val="04A0"/>
      </w:tblPr>
      <w:tblGrid>
        <w:gridCol w:w="3289"/>
        <w:gridCol w:w="3289"/>
        <w:gridCol w:w="3289"/>
      </w:tblGrid>
      <w:tr>
        <w:trPr>
          <w:cantSplit/>
        </w:trPr>
        <w:tc>
          <w:tcPr>
            <w:tcW w:type="dxa" w:w="2154"/>
            <w:shd w:val="clear" w:color="auto" w:fill="16324F"/>
          </w:tcPr>
          <w:p>
            <w:pPr>
              <w:spacing w:after="0"/>
              <w:ind w:firstLine="0" w:firstLineChars="0"/>
            </w:pPr>
            <w:r>
              <w:rPr>
                <w:rFonts w:ascii="Arial" w:hAnsi="Arial" w:eastAsia="ＭＳ ゴシック"/>
                <w:b/>
                <w:color w:val="FFFFFF"/>
                <w:sz w:val="20"/>
              </w:rPr>
              <w:t>項目</w:t>
            </w:r>
          </w:p>
        </w:tc>
        <w:tc>
          <w:tcPr>
            <w:tcW w:type="dxa" w:w="3742"/>
            <w:shd w:val="clear" w:color="auto" w:fill="16324F"/>
          </w:tcPr>
          <w:p>
            <w:pPr>
              <w:spacing w:after="0"/>
              <w:ind w:firstLine="0" w:firstLineChars="0"/>
            </w:pPr>
            <w:r>
              <w:rPr>
                <w:rFonts w:ascii="Arial" w:hAnsi="Arial" w:eastAsia="ＭＳ ゴシック"/>
                <w:b/>
                <w:color w:val="FFFFFF"/>
                <w:sz w:val="20"/>
              </w:rPr>
              <w:t>取材1(記入)</w:t>
            </w:r>
          </w:p>
        </w:tc>
        <w:tc>
          <w:tcPr>
            <w:tcW w:type="dxa" w:w="3742"/>
            <w:shd w:val="clear" w:color="auto" w:fill="16324F"/>
          </w:tcPr>
          <w:p>
            <w:pPr>
              <w:spacing w:after="0"/>
              <w:ind w:firstLine="0" w:firstLineChars="0"/>
            </w:pPr>
            <w:r>
              <w:rPr>
                <w:rFonts w:ascii="Arial" w:hAnsi="Arial" w:eastAsia="ＭＳ ゴシック"/>
                <w:b/>
                <w:color w:val="FFFFFF"/>
                <w:sz w:val="20"/>
              </w:rPr>
              <w:t>取材2(記入)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企業名・対象者(名字)・部署</w:t>
            </w:r>
          </w:p>
        </w:tc>
        <w:tc>
          <w:tcPr>
            <w:tcW w:type="dxa" w:w="3742"/>
          </w:tcPr>
          <w:p>
            <w:pPr>
              <w:spacing w:after="0"/>
              <w:ind w:firstLine="0" w:firstLineChars="0"/>
              <w:jc w:val="left"/>
            </w:pPr>
            <w:r>
              <w:rPr>
                <w:rFonts w:ascii="Times New Roman" w:hAnsi="Times New Roman" w:eastAsia="ＭＳ 明朝"/>
                <w:b w:val="0"/>
                <w:color w:val="000000"/>
                <w:sz w:val="20"/>
              </w:rPr>
              <w:t>［記入］</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日時・方法(対面/オンライン/書面)</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質問と回答の要点</w:t>
            </w:r>
          </w:p>
        </w:tc>
        <w:tc>
          <w:tcPr>
            <w:tcW w:type="dxa" w:w="3742"/>
          </w:tcPr>
          <w:p>
            <w:pPr>
              <w:spacing w:after="0"/>
              <w:ind w:firstLine="0" w:firstLineChars="0"/>
              <w:jc w:val="left"/>
            </w:pPr>
            <w:r>
              <w:rPr>
                <w:rFonts w:ascii="Times New Roman" w:hAnsi="Times New Roman" w:eastAsia="ＭＳ 明朝"/>
                <w:b w:val="0"/>
                <w:color w:val="000000"/>
                <w:sz w:val="20"/>
              </w:rPr>
              <w:t>［記入：質問草案の番号と対応させる］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r>
        <w:trPr>
          <w:cantSplit/>
        </w:trPr>
        <w:tc>
          <w:tcPr>
            <w:tcW w:type="dxa" w:w="2154"/>
            <w:shd w:val="clear" w:color="auto" w:fill="F2F6F4"/>
          </w:tcPr>
          <w:p>
            <w:pPr>
              <w:spacing w:after="0"/>
              <w:ind w:firstLine="0" w:firstLineChars="0"/>
              <w:jc w:val="left"/>
            </w:pPr>
            <w:r>
              <w:rPr>
                <w:rFonts w:ascii="Times New Roman" w:hAnsi="Times New Roman" w:eastAsia="ＭＳ 明朝"/>
                <w:b w:val="0"/>
                <w:color w:val="000000"/>
                <w:sz w:val="20"/>
              </w:rPr>
              <w:t>写真(オンライン画面も可)</w:t>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c>
          <w:tcPr>
            <w:tcW w:type="dxa" w:w="3742"/>
            <w:shd w:val="clear" w:color="auto" w:fill="F2F6F4"/>
          </w:tcPr>
          <w:p>
            <w:pPr>
              <w:spacing w:after="0"/>
              <w:ind w:firstLine="0" w:firstLineChars="0"/>
              <w:jc w:val="left"/>
            </w:pPr>
            <w:r>
              <w:rPr>
                <w:rFonts w:ascii="Times New Roman" w:hAnsi="Times New Roman" w:eastAsia="ＭＳ 明朝"/>
                <w:b w:val="0"/>
                <w:color w:val="000000"/>
                <w:sz w:val="20"/>
              </w:rPr>
              <w:t>［写真貼付欄］</w:t>
              <w:br/>
              <w:br/>
              <w:br/>
            </w:r>
          </w:p>
        </w:tc>
      </w:tr>
      <w:tr>
        <w:trPr>
          <w:cantSplit/>
        </w:trPr>
        <w:tc>
          <w:tcPr>
            <w:tcW w:type="dxa" w:w="2154"/>
          </w:tcPr>
          <w:p>
            <w:pPr>
              <w:spacing w:after="0"/>
              <w:ind w:firstLine="0" w:firstLineChars="0"/>
              <w:jc w:val="left"/>
            </w:pPr>
            <w:r>
              <w:rPr>
                <w:rFonts w:ascii="Times New Roman" w:hAnsi="Times New Roman" w:eastAsia="ＭＳ 明朝"/>
                <w:b w:val="0"/>
                <w:color w:val="000000"/>
                <w:sz w:val="20"/>
              </w:rPr>
              <w:t>分析への反映</w:t>
            </w:r>
          </w:p>
        </w:tc>
        <w:tc>
          <w:tcPr>
            <w:tcW w:type="dxa" w:w="3742"/>
          </w:tcPr>
          <w:p>
            <w:pPr>
              <w:spacing w:after="0"/>
              <w:ind w:firstLine="0" w:firstLineChars="0"/>
              <w:jc w:val="left"/>
            </w:pPr>
            <w:r>
              <w:rPr>
                <w:rFonts w:ascii="Times New Roman" w:hAnsi="Times New Roman" w:eastAsia="ＭＳ 明朝"/>
                <w:b w:val="0"/>
                <w:color w:val="000000"/>
                <w:sz w:val="20"/>
              </w:rPr>
              <w:t>［記入：証拠水準・役割の見立てをどう見直したか］</w:t>
            </w:r>
          </w:p>
        </w:tc>
        <w:tc>
          <w:tcPr>
            <w:tcW w:type="dxa" w:w="3742"/>
          </w:tcPr>
          <w:p>
            <w:pPr>
              <w:spacing w:after="0"/>
              <w:ind w:firstLine="0" w:firstLineChars="0"/>
              <w:jc w:val="left"/>
            </w:pPr>
            <w:r>
              <w:rPr>
                <w:rFonts w:ascii="Times New Roman" w:hAnsi="Times New Roman" w:eastAsia="ＭＳ 明朝"/>
                <w:b w:val="0"/>
                <w:color w:val="000000"/>
                <w:sz w:val="20"/>
              </w:rPr>
              <w:t>［記入］</w:t>
            </w:r>
          </w:p>
        </w:tc>
      </w:tr>
    </w:tbl>
    <w:p>
      <w:pPr>
        <w:spacing w:before="0" w:after="60" w:line="298" w:lineRule="auto"/>
        <w:ind w:firstLine="0" w:firstLineChars="0"/>
      </w:pP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取材の還流(総括・記入)</w:t>
      </w:r>
    </w:p>
    <w:p>
      <w:pPr>
        <w:spacing w:before="0" w:after="40" w:line="298" w:lineRule="auto"/>
        <w:ind w:firstLine="0" w:firstLineChars="0"/>
      </w:pPr>
      <w:r>
        <w:rPr>
          <w:rFonts w:ascii="Times New Roman" w:hAnsi="Times New Roman" w:eastAsia="ＭＳ 明朝"/>
          <w:b w:val="0"/>
          <w:color w:val="000000"/>
          <w:sz w:val="20"/>
        </w:rPr>
        <w:t>書き方の型：「取材の結果、○○社の△△が確認でき、証拠水準の見立てを□□と見直した／仮説どおりだった。第Ⅱ章の××の判断は現場の実態と整合していた」――分析へ何が返ってきたかを必ず書く。</w:t>
      </w:r>
    </w:p>
    <w:p>
      <w:pPr>
        <w:spacing w:before="0" w:after="40" w:line="298" w:lineRule="auto"/>
        <w:ind w:firstLine="0" w:firstLineChars="0"/>
      </w:pPr>
      <w:r>
        <w:rPr>
          <w:rFonts w:ascii="Times New Roman" w:hAnsi="Times New Roman" w:eastAsia="ＭＳ 明朝"/>
          <w:b/>
          <w:color w:val="000000"/>
          <w:sz w:val="21"/>
        </w:rPr>
        <w:t>・総括(3〜5文)：</w:t>
      </w:r>
      <w:r>
        <w:rPr>
          <w:rFonts w:ascii="Times New Roman" w:hAnsi="Times New Roman" w:eastAsia="ＭＳ 明朝"/>
          <w:b w:val="0"/>
          <w:color w:val="888888"/>
          <w:sz w:val="21"/>
        </w:rPr>
        <w:t>［記入］</w:t>
      </w:r>
    </w:p>
    <w:p>
      <w:pPr>
        <w:spacing w:before="0" w:after="120" w:line="298" w:lineRule="auto"/>
        <w:ind w:firstLine="0" w:firstLineChars="0"/>
      </w:pPr>
      <w:r>
        <w:rPr>
          <w:rFonts w:ascii="Times New Roman" w:hAnsi="Times New Roman" w:eastAsia="ＭＳ 明朝"/>
          <w:b w:val="0"/>
          <w:color w:val="000000"/>
          <w:sz w:val="20"/>
        </w:rPr>
        <w:t>(未実施の場合は本章を「今後の課題」とし、その旨を明記する。回答の創作はしない。)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Ⅴ．日経ＳＴＯＣＫリーグを通じて学んだこと</w:t>
      </w:r>
    </w:p>
    <w:p>
      <w:pPr>
        <w:spacing w:before="0" w:after="40" w:line="298" w:lineRule="auto"/>
        <w:ind w:firstLine="0" w:firstLineChars="0"/>
      </w:pPr>
      <w:r>
        <w:rPr>
          <w:rFonts w:ascii="Times New Roman" w:hAnsi="Times New Roman" w:eastAsia="ＭＳ 明朝"/>
          <w:b/>
          <w:color w:val="000000"/>
          <w:sz w:val="21"/>
        </w:rPr>
        <w:t>・直面した困難と乗り越え方：</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書き方のヒント：例の問い：仮説はどこで崩れたか。候補を広げすぎて確認が回らなくなったとき、どう折り合いをつけたか</w:t>
      </w:r>
    </w:p>
    <w:p>
      <w:pPr>
        <w:spacing w:before="0" w:after="40" w:line="298" w:lineRule="auto"/>
        <w:ind w:firstLine="0" w:firstLineChars="0"/>
      </w:pPr>
      <w:r>
        <w:rPr>
          <w:rFonts w:ascii="Times New Roman" w:hAnsi="Times New Roman" w:eastAsia="ＭＳ 明朝"/>
          <w:b/>
          <w:color w:val="000000"/>
          <w:sz w:val="21"/>
        </w:rPr>
        <w:t>・インタビューと結びついた学び：</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書き方のヒント：例の問い：取材で確かめて初めて分かったことは何か。開示データだけでは見えなかったものは何か</w:t>
      </w:r>
    </w:p>
    <w:p>
      <w:pPr>
        <w:spacing w:before="0" w:after="40" w:line="298" w:lineRule="auto"/>
        <w:ind w:firstLine="0" w:firstLineChars="0"/>
      </w:pPr>
      <w:r>
        <w:rPr>
          <w:rFonts w:ascii="Times New Roman" w:hAnsi="Times New Roman" w:eastAsia="ＭＳ 明朝"/>
          <w:b/>
          <w:color w:val="000000"/>
          <w:sz w:val="21"/>
        </w:rPr>
        <w:t>・チームでの役割分担と今後の課題：</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書き方のヒント：例の問い：互いの誤りをどう見つけ合ったか。単元未満株の扱い・証拠確認の自動化など残った宿題</w:t>
      </w:r>
    </w:p>
    <w:p>
      <w:pPr>
        <w:spacing w:before="0" w:after="40" w:line="298" w:lineRule="auto"/>
        <w:ind w:firstLine="0" w:firstLineChars="0"/>
      </w:pPr>
      <w:r>
        <w:rPr>
          <w:rFonts w:ascii="Times New Roman" w:hAnsi="Times New Roman" w:eastAsia="ＭＳ 明朝"/>
          <w:b/>
          <w:color w:val="000000"/>
          <w:sz w:val="21"/>
        </w:rPr>
        <w:t>・謝辞：</w:t>
      </w:r>
      <w:r>
        <w:rPr>
          <w:rFonts w:ascii="Times New Roman" w:hAnsi="Times New Roman" w:eastAsia="ＭＳ 明朝"/>
          <w:b w:val="0"/>
          <w:color w:val="888888"/>
          <w:sz w:val="21"/>
        </w:rPr>
        <w:t>［記入］</w:t>
      </w:r>
    </w:p>
    <w:p>
      <w:pPr>
        <w:spacing w:before="0" w:after="60" w:line="298" w:lineRule="auto"/>
        <w:ind w:firstLine="0" w:firstLineChars="0"/>
        <w:ind w:left="360"/>
      </w:pPr>
      <w:r>
        <w:rPr>
          <w:rFonts w:ascii="Times New Roman" w:hAnsi="Times New Roman" w:eastAsia="ＭＳ 明朝"/>
          <w:b w:val="0"/>
          <w:color w:val="888888"/>
          <w:sz w:val="20"/>
        </w:rPr>
        <w:t>書き方のヒント：取材先・助言をくれた方・支えてくれた人へ(個人は名字のみ)</w:t>
      </w:r>
    </w:p>
    <w:p>
      <w:pPr>
        <w:spacing w:before="0" w:after="120" w:line="298" w:lineRule="auto"/>
        <w:ind w:firstLine="0" w:firstLineChars="0"/>
      </w:pPr>
      <w:r>
        <w:rPr>
          <w:rFonts w:ascii="Times New Roman" w:hAnsi="Times New Roman" w:eastAsia="ＭＳ 明朝"/>
          <w:b w:val="0"/>
          <w:color w:val="000000"/>
          <w:sz w:val="20"/>
        </w:rPr>
        <w:t>(提出者の実体験として記入する。下書きの創作はしない。)</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参考文献</w:t>
      </w:r>
    </w:p>
    <w:p>
      <w:pPr>
        <w:spacing w:after="100" w:line="281" w:lineRule="auto"/>
        <w:jc w:val="both"/>
        <w:ind w:firstLineChars="100" w:firstLine="210"/>
      </w:pPr>
      <w:r>
        <w:rPr>
          <w:rFonts w:ascii="Times New Roman" w:hAnsi="Times New Roman" w:eastAsia="ＭＳ 明朝"/>
          <w:b w:val="0"/>
          <w:color w:val="000000"/>
          <w:sz w:val="21"/>
        </w:rPr>
        <w:t>本文で直接引用した文献に加え、選定・最適化・検証・データ取得の設計にあたって参照した文献を、分野別にすべて記載する(正典: docs/references_master.md)。なお最適化は3系統(ランダムサーチ・ＴＰＥ・ＮＳＧＡ-Ⅱ)を実際に比較しランダムサーチの最良解を採用した——掲載する最適化系文献にはこの比較検討で参照した代替手法を含む。</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一次資料 ― バフェット株主への手紙(原文)</w:t>
      </w:r>
    </w:p>
    <w:p>
      <w:pPr>
        <w:spacing w:after="20"/>
        <w:ind w:left="360" w:hanging="360"/>
      </w:pPr>
      <w:r>
        <w:rPr>
          <w:rFonts w:ascii="Times New Roman" w:hAnsi="Times New Roman" w:eastAsia="ＭＳ 明朝"/>
          <w:b w:val="0"/>
          <w:color w:val="000000"/>
          <w:sz w:val="20"/>
        </w:rPr>
        <w:t>Buffett, W. E. (1988) Chairman's Letter to the Shareholders of Berkshire Hathaway Inc. Berkshire Hathaway Inc., https://www.berkshirehathaway.com/letters/1988.html (2026年7月18日)</w:t>
      </w:r>
    </w:p>
    <w:p>
      <w:pPr>
        <w:spacing w:after="20"/>
        <w:ind w:left="360" w:hanging="360"/>
      </w:pPr>
      <w:r>
        <w:rPr>
          <w:rFonts w:ascii="Times New Roman" w:hAnsi="Times New Roman" w:eastAsia="ＭＳ 明朝"/>
          <w:b w:val="0"/>
          <w:color w:val="000000"/>
          <w:sz w:val="20"/>
        </w:rPr>
        <w:t>Buffett, W. E. (1989) Chairman's Letter to the Shareholders of Berkshire Hathaway Inc. Berkshire Hathaway Inc., https://www.berkshirehathaway.com/letters/1989.html (2026年7月18日)</w:t>
      </w:r>
    </w:p>
    <w:p>
      <w:pPr>
        <w:spacing w:after="20"/>
        <w:ind w:left="360" w:hanging="360"/>
      </w:pPr>
      <w:r>
        <w:rPr>
          <w:rFonts w:ascii="Times New Roman" w:hAnsi="Times New Roman" w:eastAsia="ＭＳ 明朝"/>
          <w:b w:val="0"/>
          <w:color w:val="000000"/>
          <w:sz w:val="20"/>
        </w:rPr>
        <w:t>Buffett, W. E. (2007) Chairman's Letter to the Shareholders of Berkshire Hathaway Inc. Berkshire Hathaway Inc., https://www.berkshirehathaway.com/letters/2007ltr.pdf (2026年7月18日)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英語文献Ⅰ ― 投資・会計・無形資産(第Ⅱ章 守・離の式典拠)</w:t>
      </w:r>
    </w:p>
    <w:p>
      <w:pPr>
        <w:spacing w:after="20"/>
        <w:ind w:left="360" w:hanging="360"/>
      </w:pPr>
      <w:r>
        <w:rPr>
          <w:rFonts w:ascii="Times New Roman" w:hAnsi="Times New Roman" w:eastAsia="ＭＳ 明朝"/>
          <w:b w:val="0"/>
          <w:color w:val="000000"/>
          <w:sz w:val="20"/>
        </w:rPr>
        <w:t>Altman, E. I. (1968) Financial Ratios, Discriminant Analysis and the Prediction of Corporate Bankruptcy. The Journal of Finance, 23(4), pp.589-609.</w:t>
      </w:r>
    </w:p>
    <w:p>
      <w:pPr>
        <w:spacing w:after="20"/>
        <w:ind w:left="360" w:hanging="360"/>
      </w:pPr>
      <w:r>
        <w:rPr>
          <w:rFonts w:ascii="Times New Roman" w:hAnsi="Times New Roman" w:eastAsia="ＭＳ 明朝"/>
          <w:b w:val="0"/>
          <w:color w:val="000000"/>
          <w:sz w:val="20"/>
        </w:rPr>
        <w:t>Asness, C. S., Frazzini, A., &amp; Pedersen, L. H. (2019) Quality Minus Junk. Review of Accounting Studies, 24, pp.34-112.</w:t>
      </w:r>
    </w:p>
    <w:p>
      <w:pPr>
        <w:spacing w:after="20"/>
        <w:ind w:left="360" w:hanging="360"/>
      </w:pPr>
      <w:r>
        <w:rPr>
          <w:rFonts w:ascii="Times New Roman" w:hAnsi="Times New Roman" w:eastAsia="ＭＳ 明朝"/>
          <w:b w:val="0"/>
          <w:color w:val="000000"/>
          <w:sz w:val="20"/>
        </w:rPr>
        <w:t>Basu, S. (1977) Investment Performance of Common Stocks in Relation to Their Price-Earnings Ratios: A Test of the Efficient Market Hypothesis. The Journal of Finance, 32(3), pp.663-682.</w:t>
      </w:r>
    </w:p>
    <w:p>
      <w:pPr>
        <w:spacing w:after="20"/>
        <w:ind w:left="360" w:hanging="360"/>
      </w:pPr>
      <w:r>
        <w:rPr>
          <w:rFonts w:ascii="Times New Roman" w:hAnsi="Times New Roman" w:eastAsia="ＭＳ 明朝"/>
          <w:b w:val="0"/>
          <w:color w:val="000000"/>
          <w:sz w:val="20"/>
        </w:rPr>
        <w:t>Basu, S. (1983) The Relationship between Earnings' Yield, Market Value and Return for NYSE Common Stocks: Further Evidence. Journal of Financial Economics, 12(1), pp.129-156.</w:t>
      </w:r>
    </w:p>
    <w:p>
      <w:pPr>
        <w:spacing w:after="20"/>
        <w:ind w:left="360" w:hanging="360"/>
      </w:pPr>
      <w:r>
        <w:rPr>
          <w:rFonts w:ascii="Times New Roman" w:hAnsi="Times New Roman" w:eastAsia="ＭＳ 明朝"/>
          <w:b w:val="0"/>
          <w:color w:val="000000"/>
          <w:sz w:val="20"/>
        </w:rPr>
        <w:t>Chan, L. K. C., Lakonishok, J., &amp; Sougiannis, T. (2001) The Stock Market Valuation of Research and Development Expenditures. The Journal of Finance, 56(6), pp.2431-2456.</w:t>
      </w:r>
    </w:p>
    <w:p>
      <w:pPr>
        <w:spacing w:after="20"/>
        <w:ind w:left="360" w:hanging="360"/>
      </w:pPr>
      <w:r>
        <w:rPr>
          <w:rFonts w:ascii="Times New Roman" w:hAnsi="Times New Roman" w:eastAsia="ＭＳ 明朝"/>
          <w:b w:val="0"/>
          <w:color w:val="000000"/>
          <w:sz w:val="20"/>
        </w:rPr>
        <w:t>Fama, E. F., &amp; French, K. R. (1993) Common Risk Factors in the Returns on Stocks and Bonds. Journal of Financial Economics, 33(1), pp.3-56.</w:t>
      </w:r>
    </w:p>
    <w:p>
      <w:pPr>
        <w:spacing w:after="20"/>
        <w:ind w:left="360" w:hanging="360"/>
      </w:pPr>
      <w:r>
        <w:rPr>
          <w:rFonts w:ascii="Times New Roman" w:hAnsi="Times New Roman" w:eastAsia="ＭＳ 明朝"/>
          <w:b w:val="0"/>
          <w:color w:val="000000"/>
          <w:sz w:val="20"/>
        </w:rPr>
        <w:t>Fama, E. F., &amp; French, K. R. (2015) A Five-Factor Asset Pricing Model. Journal of Financial Economics, 116(1), pp.1-22.</w:t>
      </w:r>
    </w:p>
    <w:p>
      <w:pPr>
        <w:spacing w:after="20"/>
        <w:ind w:left="360" w:hanging="360"/>
      </w:pPr>
      <w:r>
        <w:rPr>
          <w:rFonts w:ascii="Times New Roman" w:hAnsi="Times New Roman" w:eastAsia="ＭＳ 明朝"/>
          <w:b w:val="0"/>
          <w:color w:val="000000"/>
          <w:sz w:val="20"/>
        </w:rPr>
        <w:t>Frazzini, A., Kabiller, D., &amp; Pedersen, L. H. (2018) Buffett's Alpha. Financial Analysts Journal, 74(4), pp.35-55.</w:t>
      </w:r>
    </w:p>
    <w:p>
      <w:pPr>
        <w:spacing w:after="20"/>
        <w:ind w:left="360" w:hanging="360"/>
      </w:pPr>
      <w:r>
        <w:rPr>
          <w:rFonts w:ascii="Times New Roman" w:hAnsi="Times New Roman" w:eastAsia="ＭＳ 明朝"/>
          <w:b w:val="0"/>
          <w:color w:val="000000"/>
          <w:sz w:val="20"/>
        </w:rPr>
        <w:t>Jensen, M. C. (1968) The Performance of Mutual Funds in the Period 1945-1964. The Journal of Finance, 23(2), pp.389-416.</w:t>
      </w:r>
    </w:p>
    <w:p>
      <w:pPr>
        <w:spacing w:after="20"/>
        <w:ind w:left="360" w:hanging="360"/>
      </w:pPr>
      <w:r>
        <w:rPr>
          <w:rFonts w:ascii="Times New Roman" w:hAnsi="Times New Roman" w:eastAsia="ＭＳ 明朝"/>
          <w:b w:val="0"/>
          <w:color w:val="000000"/>
          <w:sz w:val="20"/>
        </w:rPr>
        <w:t>Lev, B., &amp; Gu, F. (2016) The End of Accounting and the Path Forward for Investors and Managers, John Wiley &amp; Sons.</w:t>
      </w:r>
    </w:p>
    <w:p>
      <w:pPr>
        <w:spacing w:after="20"/>
        <w:ind w:left="360" w:hanging="360"/>
      </w:pPr>
      <w:r>
        <w:rPr>
          <w:rFonts w:ascii="Times New Roman" w:hAnsi="Times New Roman" w:eastAsia="ＭＳ 明朝"/>
          <w:b w:val="0"/>
          <w:color w:val="000000"/>
          <w:sz w:val="20"/>
        </w:rPr>
        <w:t>Markowitz, H. (1952) Portfolio Selection. The Journal of Finance, 7(1), pp.77-91.</w:t>
      </w:r>
    </w:p>
    <w:p>
      <w:pPr>
        <w:spacing w:after="20"/>
        <w:ind w:left="360" w:hanging="360"/>
      </w:pPr>
      <w:r>
        <w:rPr>
          <w:rFonts w:ascii="Times New Roman" w:hAnsi="Times New Roman" w:eastAsia="ＭＳ 明朝"/>
          <w:b w:val="0"/>
          <w:color w:val="000000"/>
          <w:sz w:val="20"/>
        </w:rPr>
        <w:t>Novy-Marx, R. (2013) The Other Side of Value: The Gross Profitability Premium. Journal of Financial Economics, 108(1), pp.1-28.</w:t>
      </w:r>
    </w:p>
    <w:p>
      <w:pPr>
        <w:spacing w:after="20"/>
        <w:ind w:left="360" w:hanging="360"/>
      </w:pPr>
      <w:r>
        <w:rPr>
          <w:rFonts w:ascii="Times New Roman" w:hAnsi="Times New Roman" w:eastAsia="ＭＳ 明朝"/>
          <w:b w:val="0"/>
          <w:color w:val="000000"/>
          <w:sz w:val="20"/>
        </w:rPr>
        <w:t>Ohlson, J. A. (1980) Financial Ratios and the Probabilistic Prediction of Bankruptcy. Journal of Accounting Research, 18(1), pp.109-131.</w:t>
      </w:r>
    </w:p>
    <w:p>
      <w:pPr>
        <w:spacing w:after="20"/>
        <w:ind w:left="360" w:hanging="360"/>
      </w:pPr>
      <w:r>
        <w:rPr>
          <w:rFonts w:ascii="Times New Roman" w:hAnsi="Times New Roman" w:eastAsia="ＭＳ 明朝"/>
          <w:b w:val="0"/>
          <w:color w:val="000000"/>
          <w:sz w:val="20"/>
        </w:rPr>
        <w:t>Peters, R. H., &amp; Taylor, L. A. (2017) Intangible Capital and the Investment-q Relation. Journal of Financial Economics, 123(2), pp.251-272.</w:t>
      </w:r>
    </w:p>
    <w:p>
      <w:pPr>
        <w:spacing w:after="20"/>
        <w:ind w:left="360" w:hanging="360"/>
      </w:pPr>
      <w:r>
        <w:rPr>
          <w:rFonts w:ascii="Times New Roman" w:hAnsi="Times New Roman" w:eastAsia="ＭＳ 明朝"/>
          <w:b w:val="0"/>
          <w:color w:val="000000"/>
          <w:sz w:val="20"/>
        </w:rPr>
        <w:t>Piotroski, J. D. (2000) Value Investing: The Use of Historical Financial Statement Information to Separate Winners from Losers. Journal of Accounting Research, 38, Supplement, pp.1-41.</w:t>
      </w:r>
    </w:p>
    <w:p>
      <w:pPr>
        <w:spacing w:after="20"/>
        <w:ind w:left="360" w:hanging="360"/>
      </w:pPr>
      <w:r>
        <w:rPr>
          <w:rFonts w:ascii="Times New Roman" w:hAnsi="Times New Roman" w:eastAsia="ＭＳ 明朝"/>
          <w:b w:val="0"/>
          <w:color w:val="000000"/>
          <w:sz w:val="20"/>
        </w:rPr>
        <w:t>Sharpe, W. F. (1966) Mutual Fund Performance. The Journal of Business, 39(1), pp.119-138.</w:t>
      </w:r>
    </w:p>
    <w:p>
      <w:pPr>
        <w:spacing w:after="20"/>
        <w:ind w:left="360" w:hanging="360"/>
      </w:pPr>
      <w:r>
        <w:rPr>
          <w:rFonts w:ascii="Times New Roman" w:hAnsi="Times New Roman" w:eastAsia="ＭＳ 明朝"/>
          <w:b w:val="0"/>
          <w:color w:val="000000"/>
          <w:sz w:val="20"/>
        </w:rPr>
        <w:t>Sharpe, W. F. (1994) The Sharpe Ratio. The Journal of Portfolio Management, 21(1), pp.49-58.</w:t>
      </w:r>
    </w:p>
    <w:p>
      <w:pPr>
        <w:spacing w:after="20"/>
        <w:ind w:left="360" w:hanging="360"/>
      </w:pPr>
      <w:r>
        <w:rPr>
          <w:rFonts w:ascii="Times New Roman" w:hAnsi="Times New Roman" w:eastAsia="ＭＳ 明朝"/>
          <w:b w:val="0"/>
          <w:color w:val="000000"/>
          <w:sz w:val="20"/>
        </w:rPr>
        <w:t>Sloan, R. G. (1996) Do Stock Prices Fully Reflect Information in Accruals and Cash Flows about Future Earnings? The Accounting Review, 71(3), pp.289-315.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英語文献Ⅱ ― 最適化・探索(第Ⅱ章 破の方法典拠)</w:t>
      </w:r>
    </w:p>
    <w:p>
      <w:pPr>
        <w:spacing w:after="20"/>
        <w:ind w:left="360" w:hanging="360"/>
      </w:pPr>
      <w:r>
        <w:rPr>
          <w:rFonts w:ascii="Times New Roman" w:hAnsi="Times New Roman" w:eastAsia="ＭＳ 明朝"/>
          <w:b w:val="0"/>
          <w:color w:val="000000"/>
          <w:sz w:val="20"/>
        </w:rPr>
        <w:t>Akiba, T., Sano, S., Yanase, T., Ohta, T., &amp; Koyama, M. (2019) Optuna: A Next-generation Hyperparameter Optimization Framework. In Proceedings of the 25th ACM SIGKDD International Conference on Knowledge Discovery &amp; Data Mining, pp.2623-2631.</w:t>
      </w:r>
    </w:p>
    <w:p>
      <w:pPr>
        <w:spacing w:after="20"/>
        <w:ind w:left="360" w:hanging="360"/>
      </w:pPr>
      <w:r>
        <w:rPr>
          <w:rFonts w:ascii="Times New Roman" w:hAnsi="Times New Roman" w:eastAsia="ＭＳ 明朝"/>
          <w:b w:val="0"/>
          <w:color w:val="000000"/>
          <w:sz w:val="20"/>
        </w:rPr>
        <w:t>Bergstra, J., Bardenet, R., Bengio, Y., &amp; Kégl, B. (2011) Algorithms for Hyper-Parameter Optimization. In Advances in Neural Information Processing Systems, 24, pp.2546-2554.</w:t>
      </w:r>
    </w:p>
    <w:p>
      <w:pPr>
        <w:spacing w:after="20"/>
        <w:ind w:left="360" w:hanging="360"/>
      </w:pPr>
      <w:r>
        <w:rPr>
          <w:rFonts w:ascii="Times New Roman" w:hAnsi="Times New Roman" w:eastAsia="ＭＳ 明朝"/>
          <w:b w:val="0"/>
          <w:color w:val="000000"/>
          <w:sz w:val="20"/>
        </w:rPr>
        <w:t>Bergstra, J., &amp; Bengio, Y. (2012) Random Search for Hyper-Parameter Optimization. Journal of Machine Learning Research, 13, pp.281-305.</w:t>
      </w:r>
    </w:p>
    <w:p>
      <w:pPr>
        <w:spacing w:after="20"/>
        <w:ind w:left="360" w:hanging="360"/>
      </w:pPr>
      <w:r>
        <w:rPr>
          <w:rFonts w:ascii="Times New Roman" w:hAnsi="Times New Roman" w:eastAsia="ＭＳ 明朝"/>
          <w:b w:val="0"/>
          <w:color w:val="000000"/>
          <w:sz w:val="20"/>
        </w:rPr>
        <w:t>Brochu, E., Cora, V. M., &amp; de Freitas, N. (2010) A Tutorial on Bayesian Optimization of Expensive Cost Functions. arXiv, https://arxiv.org/abs/1012.2599 (2026年7月8日)</w:t>
      </w:r>
    </w:p>
    <w:p>
      <w:pPr>
        <w:spacing w:after="20"/>
        <w:ind w:left="360" w:hanging="360"/>
      </w:pPr>
      <w:r>
        <w:rPr>
          <w:rFonts w:ascii="Times New Roman" w:hAnsi="Times New Roman" w:eastAsia="ＭＳ 明朝"/>
          <w:b w:val="0"/>
          <w:color w:val="000000"/>
          <w:sz w:val="20"/>
        </w:rPr>
        <w:t>Deb, K. (2001) Multi-Objective Optimization Using Evolutionary Algorithms, John Wiley &amp; Sons.</w:t>
      </w:r>
    </w:p>
    <w:p>
      <w:pPr>
        <w:spacing w:after="20"/>
        <w:ind w:left="360" w:hanging="360"/>
      </w:pPr>
      <w:r>
        <w:rPr>
          <w:rFonts w:ascii="Times New Roman" w:hAnsi="Times New Roman" w:eastAsia="ＭＳ 明朝"/>
          <w:b w:val="0"/>
          <w:color w:val="000000"/>
          <w:sz w:val="20"/>
        </w:rPr>
        <w:t>Deb, K., Pratap, A., Agarwal, S., &amp; Meyarivan, T. (2002) A Fast and Elitist Multiobjective Genetic Algorithm: NSGA-II. IEEE Transactions on Evolutionary Computation, 6(2), pp.182-197.</w:t>
      </w:r>
    </w:p>
    <w:p>
      <w:pPr>
        <w:spacing w:after="20"/>
        <w:ind w:left="360" w:hanging="360"/>
      </w:pPr>
      <w:r>
        <w:rPr>
          <w:rFonts w:ascii="Times New Roman" w:hAnsi="Times New Roman" w:eastAsia="ＭＳ 明朝"/>
          <w:b w:val="0"/>
          <w:color w:val="000000"/>
          <w:sz w:val="20"/>
        </w:rPr>
        <w:t>Fonseca, C. M., &amp; Fleming, P. J. (1995) An Overview of Evolutionary Algorithms in Multiobjective Optimization. Evolutionary Computation, 3(1), pp.1-16.</w:t>
      </w:r>
    </w:p>
    <w:p>
      <w:pPr>
        <w:spacing w:after="20"/>
        <w:ind w:left="360" w:hanging="360"/>
      </w:pPr>
      <w:r>
        <w:rPr>
          <w:rFonts w:ascii="Times New Roman" w:hAnsi="Times New Roman" w:eastAsia="ＭＳ 明朝"/>
          <w:b w:val="0"/>
          <w:color w:val="000000"/>
          <w:sz w:val="20"/>
        </w:rPr>
        <w:t>Goldberg, D. E. (1989) Genetic Algorithms in Search, Optimization, and Machine Learning, Addison-Wesley.</w:t>
      </w:r>
    </w:p>
    <w:p>
      <w:pPr>
        <w:spacing w:after="20"/>
        <w:ind w:left="360" w:hanging="360"/>
      </w:pPr>
      <w:r>
        <w:rPr>
          <w:rFonts w:ascii="Times New Roman" w:hAnsi="Times New Roman" w:eastAsia="ＭＳ 明朝"/>
          <w:b w:val="0"/>
          <w:color w:val="000000"/>
          <w:sz w:val="20"/>
        </w:rPr>
        <w:t>Hansen, N., &amp; Ostermeier, A. (2001) Completely Derandomized Self-Adaptation in Evolution Strategies. Evolutionary Computation, 9(2), pp.159-195.</w:t>
      </w:r>
    </w:p>
    <w:p>
      <w:pPr>
        <w:spacing w:after="20"/>
        <w:ind w:left="360" w:hanging="360"/>
      </w:pPr>
      <w:r>
        <w:rPr>
          <w:rFonts w:ascii="Times New Roman" w:hAnsi="Times New Roman" w:eastAsia="ＭＳ 明朝"/>
          <w:b w:val="0"/>
          <w:color w:val="000000"/>
          <w:sz w:val="20"/>
        </w:rPr>
        <w:t>Hutter, F., Hoos, H. H., &amp; Leyton-Brown, K. (2011) Sequential Model-Based Optimization for General Algorithm Configuration. In Learning and Intelligent Optimization, pp.507-523.</w:t>
      </w:r>
    </w:p>
    <w:p>
      <w:pPr>
        <w:spacing w:after="20"/>
        <w:ind w:left="360" w:hanging="360"/>
      </w:pPr>
      <w:r>
        <w:rPr>
          <w:rFonts w:ascii="Times New Roman" w:hAnsi="Times New Roman" w:eastAsia="ＭＳ 明朝"/>
          <w:b w:val="0"/>
          <w:color w:val="000000"/>
          <w:sz w:val="20"/>
        </w:rPr>
        <w:t>Jamieson, K., &amp; Talwalkar, A. (2016) Non-stochastic Best Arm Identification and Hyperparameter Optimization. In Proceedings of the 19th International Conference on Artificial Intelligence and Statistics, pp.240-248.</w:t>
      </w:r>
    </w:p>
    <w:p>
      <w:pPr>
        <w:spacing w:after="20"/>
        <w:ind w:left="360" w:hanging="360"/>
      </w:pPr>
      <w:r>
        <w:rPr>
          <w:rFonts w:ascii="Times New Roman" w:hAnsi="Times New Roman" w:eastAsia="ＭＳ 明朝"/>
          <w:b w:val="0"/>
          <w:color w:val="000000"/>
          <w:sz w:val="20"/>
        </w:rPr>
        <w:t>Kushner, H. J. (1964) A New Method of Locating the Maximum Point of an Arbitrary Multipeak Curve in the Presence of Noise. Journal of Basic Engineering, 86(1), pp.97-106.</w:t>
      </w:r>
    </w:p>
    <w:p>
      <w:pPr>
        <w:spacing w:after="20"/>
        <w:ind w:left="360" w:hanging="360"/>
      </w:pPr>
      <w:r>
        <w:rPr>
          <w:rFonts w:ascii="Times New Roman" w:hAnsi="Times New Roman" w:eastAsia="ＭＳ 明朝"/>
          <w:b w:val="0"/>
          <w:color w:val="000000"/>
          <w:sz w:val="20"/>
        </w:rPr>
        <w:t>Li, L., Jamieson, K., DeSalvo, G., Rostamizadeh, A., &amp; Talwalkar, A. (2017) Hyperband: A Novel Bandit-Based Approach to Hyperparameter Optimization. Journal of Machine Learning Research, 18(185), pp.1-52.</w:t>
      </w:r>
    </w:p>
    <w:p>
      <w:pPr>
        <w:spacing w:after="20"/>
        <w:ind w:left="360" w:hanging="360"/>
      </w:pPr>
      <w:r>
        <w:rPr>
          <w:rFonts w:ascii="Times New Roman" w:hAnsi="Times New Roman" w:eastAsia="ＭＳ 明朝"/>
          <w:b w:val="0"/>
          <w:color w:val="000000"/>
          <w:sz w:val="20"/>
        </w:rPr>
        <w:t>Mockus, J. (1978) The Application of Bayesian Methods for Seeking the Extremum. In Towards Global Optimization, Vol.2, pp.117-129, North-Holland.</w:t>
      </w:r>
    </w:p>
    <w:p>
      <w:pPr>
        <w:spacing w:after="20"/>
        <w:ind w:left="360" w:hanging="360"/>
      </w:pPr>
      <w:r>
        <w:rPr>
          <w:rFonts w:ascii="Times New Roman" w:hAnsi="Times New Roman" w:eastAsia="ＭＳ 明朝"/>
          <w:b w:val="0"/>
          <w:color w:val="000000"/>
          <w:sz w:val="20"/>
        </w:rPr>
        <w:t>Snoek, J., Larochelle, H., &amp; Adams, R. P. (2012) Practical Bayesian Optimization of Machine Learning Algorithms. In Advances in Neural Information Processing Systems, 25, pp.2951-2959.</w:t>
      </w:r>
    </w:p>
    <w:p>
      <w:pPr>
        <w:spacing w:after="20"/>
        <w:ind w:left="360" w:hanging="360"/>
      </w:pPr>
      <w:r>
        <w:rPr>
          <w:rFonts w:ascii="Times New Roman" w:hAnsi="Times New Roman" w:eastAsia="ＭＳ 明朝"/>
          <w:b w:val="0"/>
          <w:color w:val="000000"/>
          <w:sz w:val="20"/>
        </w:rPr>
        <w:t>Storn, R., &amp; Price, K. (1997) Differential Evolution - A Simple and Efficient Heuristic for Global Optimization over Continuous Spaces. Journal of Global Optimization, 11, pp.341-359.</w:t>
      </w:r>
    </w:p>
    <w:p>
      <w:pPr>
        <w:spacing w:after="20"/>
        <w:ind w:left="360" w:hanging="360"/>
      </w:pPr>
      <w:r>
        <w:rPr>
          <w:rFonts w:ascii="Times New Roman" w:hAnsi="Times New Roman" w:eastAsia="ＭＳ 明朝"/>
          <w:b w:val="0"/>
          <w:color w:val="000000"/>
          <w:sz w:val="20"/>
        </w:rPr>
        <w:t>Zitzler, E., Deb, K., &amp; Thiele, L. (2000) Comparison of Multiobjective Evolutionary Algorithms: Empirical Results. Evolutionary Computation, 8(2), pp.173-195.</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英語文献Ⅲ ― 検証・過学習対策・感度分析(壊れにくさ検査の典拠)</w:t>
      </w:r>
    </w:p>
    <w:p>
      <w:pPr>
        <w:spacing w:after="20"/>
        <w:ind w:left="360" w:hanging="360"/>
      </w:pPr>
      <w:r>
        <w:rPr>
          <w:rFonts w:ascii="Times New Roman" w:hAnsi="Times New Roman" w:eastAsia="ＭＳ 明朝"/>
          <w:b w:val="0"/>
          <w:color w:val="000000"/>
          <w:sz w:val="20"/>
        </w:rPr>
        <w:t>Bailey, D. H., &amp; López de Prado, M. (2012) The Sharpe Ratio Efficient Frontier. Journal of Risk, 15(2), pp.3-44.</w:t>
      </w:r>
    </w:p>
    <w:p>
      <w:pPr>
        <w:spacing w:after="20"/>
        <w:ind w:left="360" w:hanging="360"/>
      </w:pPr>
      <w:r>
        <w:rPr>
          <w:rFonts w:ascii="Times New Roman" w:hAnsi="Times New Roman" w:eastAsia="ＭＳ 明朝"/>
          <w:b w:val="0"/>
          <w:color w:val="000000"/>
          <w:sz w:val="20"/>
        </w:rPr>
        <w:t>Bailey, D. H., Borwein, J., López de Prado, M., &amp; Zhu, Q. J. (2014) Pseudo-Mathematics and Financial Charlatanism: The Effects of Backtest Overfitting on Out-of-Sample Performance. Notices of the American Mathematical Society, 61(5), pp.458-471.</w:t>
      </w:r>
    </w:p>
    <w:p>
      <w:pPr>
        <w:spacing w:after="20"/>
        <w:ind w:left="360" w:hanging="360"/>
      </w:pPr>
      <w:r>
        <w:rPr>
          <w:rFonts w:ascii="Times New Roman" w:hAnsi="Times New Roman" w:eastAsia="ＭＳ 明朝"/>
          <w:b w:val="0"/>
          <w:color w:val="000000"/>
          <w:sz w:val="20"/>
        </w:rPr>
        <w:t>Bailey, D. H., &amp; López de Prado, M. (2014) The Deflated Sharpe Ratio: Correcting for Selection Bias, Backtest Overfitting, and Non-Normality. The Journal of Portfolio Management, 40(5), pp.94-107.</w:t>
      </w:r>
    </w:p>
    <w:p>
      <w:pPr>
        <w:spacing w:after="20"/>
        <w:ind w:left="360" w:hanging="360"/>
      </w:pPr>
      <w:r>
        <w:rPr>
          <w:rFonts w:ascii="Times New Roman" w:hAnsi="Times New Roman" w:eastAsia="ＭＳ 明朝"/>
          <w:b w:val="0"/>
          <w:color w:val="000000"/>
          <w:sz w:val="20"/>
        </w:rPr>
        <w:t>Bailey, D. H., Borwein, J. M., López de Prado, M., &amp; Zhu, Q. J. (2016) The Probability of Backtest Overfitting. Journal of Computational Finance, 20(4), pp.39-69.</w:t>
      </w:r>
    </w:p>
    <w:p>
      <w:pPr>
        <w:spacing w:after="20"/>
        <w:ind w:left="360" w:hanging="360"/>
      </w:pPr>
      <w:r>
        <w:rPr>
          <w:rFonts w:ascii="Times New Roman" w:hAnsi="Times New Roman" w:eastAsia="ＭＳ 明朝"/>
          <w:b w:val="0"/>
          <w:color w:val="000000"/>
          <w:sz w:val="20"/>
        </w:rPr>
        <w:t>Jaccard, P. (1901) Étude comparative de la distribution florale dans une portion des Alpes et des Jura. Bulletin de la Société Vaudoise des Sciences Naturelles, 37, pp.547-579.</w:t>
      </w:r>
    </w:p>
    <w:p>
      <w:pPr>
        <w:spacing w:after="20"/>
        <w:ind w:left="360" w:hanging="360"/>
      </w:pPr>
      <w:r>
        <w:rPr>
          <w:rFonts w:ascii="Times New Roman" w:hAnsi="Times New Roman" w:eastAsia="ＭＳ 明朝"/>
          <w:b w:val="0"/>
          <w:color w:val="000000"/>
          <w:sz w:val="20"/>
        </w:rPr>
        <w:t>López de Prado, M. (2018) Advances in Financial Machine Learning, John Wiley &amp; Sons.</w:t>
      </w:r>
    </w:p>
    <w:p>
      <w:pPr>
        <w:spacing w:after="20"/>
        <w:ind w:left="360" w:hanging="360"/>
      </w:pPr>
      <w:r>
        <w:rPr>
          <w:rFonts w:ascii="Times New Roman" w:hAnsi="Times New Roman" w:eastAsia="ＭＳ 明朝"/>
          <w:b w:val="0"/>
          <w:color w:val="000000"/>
          <w:sz w:val="20"/>
        </w:rPr>
        <w:t>Romano, J. P., &amp; Wolf, M. (2005) Stepwise Multiple Testing as Formalized Data Snooping. Econometrica, 73(4), pp.1237-1282.</w:t>
      </w:r>
    </w:p>
    <w:p>
      <w:pPr>
        <w:spacing w:after="20"/>
        <w:ind w:left="360" w:hanging="360"/>
      </w:pPr>
      <w:r>
        <w:rPr>
          <w:rFonts w:ascii="Times New Roman" w:hAnsi="Times New Roman" w:eastAsia="ＭＳ 明朝"/>
          <w:b w:val="0"/>
          <w:color w:val="000000"/>
          <w:sz w:val="20"/>
        </w:rPr>
        <w:t>Saltelli, A., Ratto, M., Andres, T., Campolongo, F., Cariboni, J., Gatelli, D., Saisana, M., &amp; Tarantola, S. (2008) Global Sensitivity Analysis: The Primer, John Wiley &amp; Sons.</w:t>
      </w:r>
    </w:p>
    <w:p>
      <w:pPr>
        <w:spacing w:after="20"/>
        <w:ind w:left="360" w:hanging="360"/>
      </w:pPr>
      <w:r>
        <w:rPr>
          <w:rFonts w:ascii="Times New Roman" w:hAnsi="Times New Roman" w:eastAsia="ＭＳ 明朝"/>
          <w:b w:val="0"/>
          <w:color w:val="000000"/>
          <w:sz w:val="20"/>
        </w:rPr>
        <w:t>Sobol', I. M. (2001) Global Sensitivity Indices for Nonlinear Mathematical Models and Their Monte Carlo Estimates. Mathematics and Computers in Simulation, 55(1-3), pp.271-280.</w:t>
      </w:r>
    </w:p>
    <w:p>
      <w:pPr>
        <w:spacing w:after="20"/>
        <w:ind w:left="360" w:hanging="360"/>
      </w:pPr>
      <w:r>
        <w:rPr>
          <w:rFonts w:ascii="Times New Roman" w:hAnsi="Times New Roman" w:eastAsia="ＭＳ 明朝"/>
          <w:b w:val="0"/>
          <w:color w:val="000000"/>
          <w:sz w:val="20"/>
        </w:rPr>
        <w:t>White, H. (2000) A Reality Check for Data Snooping. Econometrica, 68(5), pp.1097-1126.</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背景調査で参照した文献</w:t>
      </w:r>
    </w:p>
    <w:p>
      <w:pPr>
        <w:spacing w:after="20"/>
        <w:ind w:left="360" w:hanging="360"/>
      </w:pPr>
      <w:r>
        <w:rPr>
          <w:rFonts w:ascii="Times New Roman" w:hAnsi="Times New Roman" w:eastAsia="ＭＳ 明朝"/>
          <w:b w:val="0"/>
          <w:color w:val="000000"/>
          <w:sz w:val="20"/>
        </w:rPr>
        <w:t>Beneish, M. D. (1999) The Detection of Earnings Manipulation. Financial Analysts Journal, 55(5), pp.24-36.</w:t>
      </w:r>
    </w:p>
    <w:p>
      <w:pPr>
        <w:spacing w:after="20"/>
        <w:ind w:left="360" w:hanging="360"/>
      </w:pPr>
      <w:r>
        <w:rPr>
          <w:rFonts w:ascii="Times New Roman" w:hAnsi="Times New Roman" w:eastAsia="ＭＳ 明朝"/>
          <w:b w:val="0"/>
          <w:color w:val="000000"/>
          <w:sz w:val="20"/>
        </w:rPr>
        <w:t>French, K. R. "Data Library", https://mba.tuck.dartmouth.edu/pages/faculty/ken.french/data_library.html (2026年7月8日)</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日本語文献</w:t>
      </w:r>
    </w:p>
    <w:p>
      <w:pPr>
        <w:spacing w:after="20"/>
        <w:ind w:left="360" w:hanging="360"/>
      </w:pPr>
      <w:r>
        <w:rPr>
          <w:rFonts w:ascii="Times New Roman" w:hAnsi="Times New Roman" w:eastAsia="ＭＳ 明朝"/>
          <w:b w:val="0"/>
          <w:color w:val="000000"/>
          <w:sz w:val="20"/>
        </w:rPr>
        <w:t>経済産業省(2014)『持続的成長への競争力とインセンティブ ―企業と投資家の望ましい関係構築―(伊藤レポート)』経済産業省．</w:t>
      </w:r>
    </w:p>
    <w:p>
      <w:pPr>
        <w:spacing w:after="20"/>
        <w:ind w:left="360" w:hanging="360"/>
      </w:pPr>
      <w:r>
        <w:rPr>
          <w:rFonts w:ascii="Times New Roman" w:hAnsi="Times New Roman" w:eastAsia="ＭＳ 明朝"/>
          <w:b w:val="0"/>
          <w:color w:val="000000"/>
          <w:sz w:val="20"/>
        </w:rPr>
        <w:t>東京証券取引所(2023)「資本コストや株価を意識した経営の実現に向けた対応について」株式会社東京証券取引所．</w:t>
      </w:r>
    </w:p>
    <w:p>
      <w:pPr>
        <w:spacing w:after="20"/>
        <w:ind w:left="360" w:hanging="360"/>
      </w:pPr>
      <w:r>
        <w:rPr>
          <w:rFonts w:ascii="Times New Roman" w:hAnsi="Times New Roman" w:eastAsia="ＭＳ 明朝"/>
          <w:b w:val="0"/>
          <w:color w:val="000000"/>
          <w:sz w:val="20"/>
        </w:rPr>
        <w:t>日本取引所グループ「単元株制度」，https://www.jpx.co.jp/ (2026年7月8日閲覧)</w:t>
      </w:r>
    </w:p>
    <w:p>
      <w:pPr>
        <w:keepNext/>
        <w:spacing w:before="100" w:after="60" w:line="298" w:lineRule="auto"/>
        <w:ind w:firstLine="0" w:firstLineChars="0"/>
        <w:pBdr>
          <w:bottom w:val="dashed" w:sz="10" w:space="2" w:color="2F6D5F"/>
        </w:pBdr>
      </w:pPr>
      <w:r>
        <w:rPr>
          <w:rFonts w:ascii="Arial" w:hAnsi="Arial" w:eastAsia="ＭＳ ゴシック"/>
          <w:b/>
          <w:color w:val="2F6D5F"/>
          <w:sz w:val="22"/>
        </w:rPr>
        <w:t>データ・実装資料</w:t>
      </w:r>
    </w:p>
    <w:p>
      <w:pPr>
        <w:spacing w:after="20"/>
        <w:ind w:left="360" w:hanging="360"/>
      </w:pPr>
      <w:r>
        <w:rPr>
          <w:rFonts w:ascii="Times New Roman" w:hAnsi="Times New Roman" w:eastAsia="ＭＳ 明朝"/>
          <w:b w:val="0"/>
          <w:color w:val="000000"/>
          <w:sz w:val="20"/>
        </w:rPr>
        <w:t>金融庁「EDINET」，https://disclosure2.edinet-fsa.go.jp/ (2026年7月8日閲覧)</w:t>
      </w:r>
    </w:p>
    <w:p>
      <w:pPr>
        <w:spacing w:after="20"/>
        <w:ind w:left="360" w:hanging="360"/>
      </w:pPr>
      <w:r>
        <w:rPr>
          <w:rFonts w:ascii="Times New Roman" w:hAnsi="Times New Roman" w:eastAsia="ＭＳ 明朝"/>
          <w:b w:val="0"/>
          <w:color w:val="000000"/>
          <w:sz w:val="20"/>
        </w:rPr>
        <w:t>金融庁 企画市場局 企業開示課(2026)『EDINET API 仕様書(Version 2)』金融庁．</w:t>
      </w:r>
    </w:p>
    <w:p>
      <w:pPr>
        <w:spacing w:after="20"/>
        <w:ind w:left="360" w:hanging="360"/>
      </w:pPr>
      <w:r>
        <w:rPr>
          <w:rFonts w:ascii="Times New Roman" w:hAnsi="Times New Roman" w:eastAsia="ＭＳ 明朝"/>
          <w:b w:val="0"/>
          <w:color w:val="000000"/>
          <w:sz w:val="20"/>
        </w:rPr>
        <w:t>日本取引所グループ「上場会社情報」，https://www.jpx.co.jp/listing/co-search/ (2026年7月8日閲覧)</w:t>
      </w:r>
    </w:p>
    <w:p>
      <w:pPr>
        <w:spacing w:after="20"/>
        <w:ind w:left="360" w:hanging="360"/>
      </w:pPr>
      <w:r>
        <w:rPr>
          <w:rFonts w:ascii="Times New Roman" w:hAnsi="Times New Roman" w:eastAsia="ＭＳ 明朝"/>
          <w:b w:val="0"/>
          <w:color w:val="000000"/>
          <w:sz w:val="20"/>
        </w:rPr>
        <w:t>日本取引所グループ「東証上場銘柄一覧」(データファイル)．</w:t>
      </w:r>
    </w:p>
    <w:p>
      <w:pPr>
        <w:spacing w:after="20"/>
        <w:ind w:left="360" w:hanging="360"/>
      </w:pPr>
      <w:r>
        <w:rPr>
          <w:rFonts w:ascii="Times New Roman" w:hAnsi="Times New Roman" w:eastAsia="ＭＳ 明朝"/>
          <w:b w:val="0"/>
          <w:color w:val="000000"/>
          <w:sz w:val="20"/>
        </w:rPr>
        <w:t>Optuna Contributors, "Optuna Documentation", https://optuna.readthedocs.io/ (2026年7月8日)</w:t>
      </w:r>
    </w:p>
    <w:p>
      <w:pPr>
        <w:spacing w:after="20"/>
        <w:ind w:left="360" w:hanging="360"/>
      </w:pPr>
      <w:r>
        <w:rPr>
          <w:rFonts w:ascii="Times New Roman" w:hAnsi="Times New Roman" w:eastAsia="ＭＳ 明朝"/>
          <w:b w:val="0"/>
          <w:color w:val="000000"/>
          <w:sz w:val="20"/>
        </w:rPr>
        <w:t>pymoo Developers, "pymoo: Multi-objective Optimization in Python", https://pymoo.org/ (2026年7月8日)</w:t>
      </w:r>
    </w:p>
    <w:p>
      <w:pPr>
        <w:spacing w:after="20"/>
        <w:ind w:left="360" w:hanging="360"/>
      </w:pPr>
      <w:r>
        <w:rPr>
          <w:rFonts w:ascii="Times New Roman" w:hAnsi="Times New Roman" w:eastAsia="ＭＳ 明朝"/>
          <w:b w:val="0"/>
          <w:color w:val="000000"/>
          <w:sz w:val="20"/>
        </w:rPr>
        <w:t>SciPy Developers, "scipy.optimize.differential_evolution", SciPy Documentation, https://docs.scipy.org/ (2026年7月8日)</w:t>
      </w:r>
    </w:p>
    <w:p>
      <w:pPr>
        <w:spacing w:after="20"/>
        <w:ind w:left="360" w:hanging="360"/>
      </w:pPr>
      <w:r>
        <w:rPr>
          <w:rFonts w:ascii="Times New Roman" w:hAnsi="Times New Roman" w:eastAsia="ＭＳ 明朝"/>
          <w:b w:val="0"/>
          <w:color w:val="000000"/>
          <w:sz w:val="20"/>
        </w:rPr>
        <w:t>scikit-learn Developers, "Model selection and evaluation", scikit-learn Documentation, https://scikit-learn.org/stable/model_selection.html (2026年7月8日)</w:t>
      </w:r>
    </w:p>
    <w:p>
      <w:pPr>
        <w:keepNext/>
        <w:spacing w:before="200" w:after="100" w:line="298" w:lineRule="auto"/>
        <w:ind w:firstLine="0" w:firstLineChars="0"/>
        <w:shd w:val="clear" w:color="auto" w:fill="16324F"/>
      </w:pPr>
      <w:r>
        <w:rPr>
          <w:rFonts w:ascii="Arial" w:hAnsi="Arial" w:eastAsia="ＭＳ ゴシック"/>
          <w:b/>
          <w:color w:val="FFFFFF"/>
          <w:sz w:val="28"/>
        </w:rPr>
        <w:t xml:space="preserve">　用語の手引き</w:t>
      </w:r>
    </w:p>
    <w:p>
      <w:pPr>
        <w:spacing w:after="100" w:line="281" w:lineRule="auto"/>
        <w:jc w:val="both"/>
        <w:ind w:firstLineChars="100" w:firstLine="210"/>
      </w:pPr>
      <w:r>
        <w:rPr>
          <w:rFonts w:ascii="Times New Roman" w:hAnsi="Times New Roman" w:eastAsia="ＭＳ 明朝"/>
          <w:b w:val="0"/>
          <w:color w:val="000000"/>
          <w:sz w:val="21"/>
        </w:rPr>
        <w:t>本文で使った言葉の早見表。専門用語は本文でも初出時に言い換えているが、迷ったらここへ。</w:t>
      </w:r>
    </w:p>
    <w:tbl>
      <w:tblPr>
        <w:tblStyle w:val="TableGrid"/>
        <w:tblW w:type="auto" w:w="0"/>
        <w:jc w:val="center"/>
        <w:tblLook w:firstColumn="1" w:firstRow="1" w:lastColumn="0" w:lastRow="0" w:noHBand="0" w:noVBand="1" w:val="04A0"/>
      </w:tblPr>
      <w:tblGrid>
        <w:gridCol w:w="4933"/>
        <w:gridCol w:w="4933"/>
      </w:tblGrid>
      <w:tr>
        <w:trPr>
          <w:cantSplit/>
        </w:trPr>
        <w:tc>
          <w:tcPr>
            <w:tcW w:type="dxa" w:w="2608"/>
            <w:shd w:val="clear" w:color="auto" w:fill="16324F"/>
          </w:tcPr>
          <w:p>
            <w:pPr>
              <w:spacing w:after="0"/>
              <w:ind w:firstLine="0" w:firstLineChars="0"/>
            </w:pPr>
            <w:r>
              <w:rPr>
                <w:rFonts w:ascii="Arial" w:hAnsi="Arial" w:eastAsia="ＭＳ ゴシック"/>
                <w:b/>
                <w:color w:val="FFFFFF"/>
                <w:sz w:val="20"/>
              </w:rPr>
              <w:t>ことば</w:t>
            </w:r>
          </w:p>
        </w:tc>
        <w:tc>
          <w:tcPr>
            <w:tcW w:type="dxa" w:w="7030"/>
            <w:shd w:val="clear" w:color="auto" w:fill="16324F"/>
          </w:tcPr>
          <w:p>
            <w:pPr>
              <w:spacing w:after="0"/>
              <w:ind w:firstLine="0" w:firstLineChars="0"/>
            </w:pPr>
            <w:r>
              <w:rPr>
                <w:rFonts w:ascii="Arial" w:hAnsi="Arial" w:eastAsia="ＭＳ ゴシック"/>
                <w:b/>
                <w:color w:val="FFFFFF"/>
                <w:sz w:val="20"/>
              </w:rPr>
              <w:t>意味</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堀(Moat)</w:t>
            </w:r>
          </w:p>
        </w:tc>
        <w:tc>
          <w:tcPr>
            <w:tcW w:type="dxa" w:w="7030"/>
          </w:tcPr>
          <w:p>
            <w:pPr>
              <w:spacing w:after="0"/>
              <w:ind w:firstLine="0" w:firstLineChars="0"/>
              <w:jc w:val="left"/>
            </w:pPr>
            <w:r>
              <w:rPr>
                <w:rFonts w:ascii="Times New Roman" w:hAnsi="Times New Roman" w:eastAsia="ＭＳ 明朝"/>
                <w:b w:val="0"/>
                <w:color w:val="000000"/>
                <w:sz w:val="20"/>
              </w:rPr>
              <w:t>他社がまねしにくい持続的な競争優位。城のまわりの堀のたとえ</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守破離(しゅはり)</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日本の芸道で修行の段階を表す言葉。守＝型を忠実に守る、破＝型を応用し破る、離＝型を離れて独自の境地を開く</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時価総額</w:t>
            </w:r>
          </w:p>
        </w:tc>
        <w:tc>
          <w:tcPr>
            <w:tcW w:type="dxa" w:w="7030"/>
          </w:tcPr>
          <w:p>
            <w:pPr>
              <w:spacing w:after="0"/>
              <w:ind w:firstLine="0" w:firstLineChars="0"/>
              <w:jc w:val="left"/>
            </w:pPr>
            <w:r>
              <w:rPr>
                <w:rFonts w:ascii="Times New Roman" w:hAnsi="Times New Roman" w:eastAsia="ＭＳ 明朝"/>
                <w:b w:val="0"/>
                <w:color w:val="000000"/>
                <w:sz w:val="20"/>
              </w:rPr>
              <w:t>株価×株式数。市場がつけた会社全体の値段</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Ｂ／Ｍ</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純資産÷時価総額。大きいほど会社の持ち物のわりに株価が安い</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Ｅ／Ｐ</w:t>
            </w:r>
          </w:p>
        </w:tc>
        <w:tc>
          <w:tcPr>
            <w:tcW w:type="dxa" w:w="7030"/>
          </w:tcPr>
          <w:p>
            <w:pPr>
              <w:spacing w:after="0"/>
              <w:ind w:firstLine="0" w:firstLineChars="0"/>
              <w:jc w:val="left"/>
            </w:pPr>
            <w:r>
              <w:rPr>
                <w:rFonts w:ascii="Times New Roman" w:hAnsi="Times New Roman" w:eastAsia="ＭＳ 明朝"/>
                <w:b w:val="0"/>
                <w:color w:val="000000"/>
                <w:sz w:val="20"/>
              </w:rPr>
              <w:t>純利益÷時価総額。大きいほど稼ぐ力のわりに株価が安い</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粗利÷総資産</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資産を売上総利益に変える力。優良さの物差し</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6項目チェック</w:t>
            </w:r>
          </w:p>
        </w:tc>
        <w:tc>
          <w:tcPr>
            <w:tcW w:type="dxa" w:w="7030"/>
          </w:tcPr>
          <w:p>
            <w:pPr>
              <w:spacing w:after="0"/>
              <w:ind w:firstLine="0" w:firstLineChars="0"/>
              <w:jc w:val="left"/>
            </w:pPr>
            <w:r>
              <w:rPr>
                <w:rFonts w:ascii="Times New Roman" w:hAnsi="Times New Roman" w:eastAsia="ＭＳ 明朝"/>
                <w:b w:val="0"/>
                <w:color w:val="000000"/>
                <w:sz w:val="20"/>
              </w:rPr>
              <w:t>財務の健康を良い/悪いで数える確認法(Piotroski)。原式9項目のうち取得できた6項目の合格割合で判定</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利益の質</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帳簿の利益に現金の裏づけがあるか。差が大きいと後で失速しやすい(Sloan)</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債務超過</w:t>
            </w:r>
          </w:p>
        </w:tc>
        <w:tc>
          <w:tcPr>
            <w:tcW w:type="dxa" w:w="7030"/>
          </w:tcPr>
          <w:p>
            <w:pPr>
              <w:spacing w:after="0"/>
              <w:ind w:firstLine="0" w:firstLineChars="0"/>
              <w:jc w:val="left"/>
            </w:pPr>
            <w:r>
              <w:rPr>
                <w:rFonts w:ascii="Times New Roman" w:hAnsi="Times New Roman" w:eastAsia="ＭＳ 明朝"/>
                <w:b w:val="0"/>
                <w:color w:val="000000"/>
                <w:sz w:val="20"/>
              </w:rPr>
              <w:t>借金などの負債が資産を上回った状態</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ＰＢＲ(株価純資産倍率)</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株価が1株あたり純資産の何倍か。1倍割れは会社の持ち物より安い値付け</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単元未満株</w:t>
            </w:r>
          </w:p>
        </w:tc>
        <w:tc>
          <w:tcPr>
            <w:tcW w:type="dxa" w:w="7030"/>
          </w:tcPr>
          <w:p>
            <w:pPr>
              <w:spacing w:after="0"/>
              <w:ind w:firstLine="0" w:firstLineChars="0"/>
              <w:jc w:val="left"/>
            </w:pPr>
            <w:r>
              <w:rPr>
                <w:rFonts w:ascii="Times New Roman" w:hAnsi="Times New Roman" w:eastAsia="ＭＳ 明朝"/>
                <w:b w:val="0"/>
                <w:color w:val="000000"/>
                <w:sz w:val="20"/>
              </w:rPr>
              <w:t>通常の売買単位(100株)より少ない株数で買える仕組み</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ＴＯＰＩＸ</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東証株価指数。日本の株式市場全体の平均的な動き</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市場との連動度(β)</w:t>
            </w:r>
          </w:p>
        </w:tc>
        <w:tc>
          <w:tcPr>
            <w:tcW w:type="dxa" w:w="7030"/>
          </w:tcPr>
          <w:p>
            <w:pPr>
              <w:spacing w:after="0"/>
              <w:ind w:firstLine="0" w:firstLineChars="0"/>
              <w:jc w:val="left"/>
            </w:pPr>
            <w:r>
              <w:rPr>
                <w:rFonts w:ascii="Times New Roman" w:hAnsi="Times New Roman" w:eastAsia="ＭＳ 明朝"/>
                <w:b w:val="0"/>
                <w:color w:val="000000"/>
                <w:sz w:val="20"/>
              </w:rPr>
              <w:t>市場が1動いたときに何倍動くか。1より小さければ市場より穏やか</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最大の下落</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その期間中、天井から底まで最大で何％下がったか</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市場超過の安定度(ＩＲ)</w:t>
            </w:r>
          </w:p>
        </w:tc>
        <w:tc>
          <w:tcPr>
            <w:tcW w:type="dxa" w:w="7030"/>
          </w:tcPr>
          <w:p>
            <w:pPr>
              <w:spacing w:after="0"/>
              <w:ind w:firstLine="0" w:firstLineChars="0"/>
              <w:jc w:val="left"/>
            </w:pPr>
            <w:r>
              <w:rPr>
                <w:rFonts w:ascii="Times New Roman" w:hAnsi="Times New Roman" w:eastAsia="ＭＳ 明朝"/>
                <w:b w:val="0"/>
                <w:color w:val="000000"/>
                <w:sz w:val="20"/>
              </w:rPr>
              <w:t>市場平均を上回った幅を、その振れの大きさで割った値。マイナスは市場に負けたことを示す</w:t>
            </w:r>
          </w:p>
        </w:tc>
      </w:tr>
      <w:tr>
        <w:trPr>
          <w:cantSplit/>
        </w:trPr>
        <w:tc>
          <w:tcPr>
            <w:tcW w:type="dxa" w:w="2608"/>
            <w:shd w:val="clear" w:color="auto" w:fill="F2F6F4"/>
          </w:tcPr>
          <w:p>
            <w:pPr>
              <w:spacing w:after="0"/>
              <w:ind w:firstLine="0" w:firstLineChars="0"/>
              <w:jc w:val="left"/>
            </w:pPr>
            <w:r>
              <w:rPr>
                <w:rFonts w:ascii="Times New Roman" w:hAnsi="Times New Roman" w:eastAsia="ＭＳ 明朝"/>
                <w:b w:val="0"/>
                <w:color w:val="000000"/>
                <w:sz w:val="20"/>
              </w:rPr>
              <w:t>証拠の強さ(水準1〜3)</w:t>
            </w:r>
          </w:p>
        </w:tc>
        <w:tc>
          <w:tcPr>
            <w:tcW w:type="dxa" w:w="7030"/>
            <w:shd w:val="clear" w:color="auto" w:fill="F2F6F4"/>
          </w:tcPr>
          <w:p>
            <w:pPr>
              <w:spacing w:after="0"/>
              <w:ind w:firstLine="0" w:firstLineChars="0"/>
              <w:jc w:val="left"/>
            </w:pPr>
            <w:r>
              <w:rPr>
                <w:rFonts w:ascii="Times New Roman" w:hAnsi="Times New Roman" w:eastAsia="ＭＳ 明朝"/>
                <w:b w:val="0"/>
                <w:color w:val="000000"/>
                <w:sz w:val="20"/>
              </w:rPr>
              <w:t>選定根拠の裏づけの強さ。1＝キーワードの接点のみ、2＝具体性を確認、3＝数字まで確認</w:t>
            </w:r>
          </w:p>
        </w:tc>
      </w:tr>
      <w:tr>
        <w:trPr>
          <w:cantSplit/>
        </w:trPr>
        <w:tc>
          <w:tcPr>
            <w:tcW w:type="dxa" w:w="2608"/>
          </w:tcPr>
          <w:p>
            <w:pPr>
              <w:spacing w:after="0"/>
              <w:ind w:firstLine="0" w:firstLineChars="0"/>
              <w:jc w:val="left"/>
            </w:pPr>
            <w:r>
              <w:rPr>
                <w:rFonts w:ascii="Times New Roman" w:hAnsi="Times New Roman" w:eastAsia="ＭＳ 明朝"/>
                <w:b w:val="0"/>
                <w:color w:val="000000"/>
                <w:sz w:val="20"/>
              </w:rPr>
              <w:t>選定に使った期間</w:t>
            </w:r>
          </w:p>
        </w:tc>
        <w:tc>
          <w:tcPr>
            <w:tcW w:type="dxa" w:w="7030"/>
          </w:tcPr>
          <w:p>
            <w:pPr>
              <w:spacing w:after="0"/>
              <w:ind w:firstLine="0" w:firstLineChars="0"/>
              <w:jc w:val="left"/>
            </w:pPr>
            <w:r>
              <w:rPr>
                <w:rFonts w:ascii="Times New Roman" w:hAnsi="Times New Roman" w:eastAsia="ＭＳ 明朝"/>
                <w:b w:val="0"/>
                <w:color w:val="000000"/>
                <w:sz w:val="20"/>
              </w:rPr>
              <w:t>スクリーニングの計算に使った過去データの期間。この期間の成績は実力の証明にならない</w:t>
            </w:r>
          </w:p>
        </w:tc>
      </w:tr>
    </w:tbl>
    <w:p>
      <w:pPr>
        <w:spacing w:before="0" w:after="60" w:line="298" w:lineRule="auto"/>
        <w:ind w:firstLine="0" w:firstLineChars="0"/>
      </w:pPr>
    </w:p>
    <w:sectPr w:rsidR="00FC693F" w:rsidRPr="0006063C" w:rsidSect="00034616">
      <w:pgSz w:w="11906" w:h="16838"/>
      <w:pgMar w:top="907"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ＭＳ 明朝"/>
        <w:b w:val="0"/>
        <w:color w:val="000000"/>
        <w:sz w:val="20"/>
      </w:rPr>
      <w:t xml:space="preserve">- </w:t>
    </w:r>
    <w:fldSimple w:instr="PAGE">
      <w:r>
        <w:t>2</w:t>
      </w:r>
    </w:fldSimple>
    <w:r>
      <w:rPr>
        <w:rFonts w:ascii="Times New Roman" w:hAnsi="Times New Roman" w:eastAsia="ＭＳ 明朝"/>
        <w:b w:val="0"/>
        <w:color w:val="000000"/>
        <w:sz w:val="20"/>
      </w:rPr>
      <w:t xml:space="preserve"> -</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after="0"/>
      <w:jc w:val="both"/>
      <w:ind w:firstLineChars="100" w:firstLine="180"/>
    </w:pPr>
    <w:rPr>
      <w:rFonts w:ascii="Times New Roman" w:hAnsi="Times New Roman" w:eastAsia="ＭＳ 明朝"/>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60"/>
      <w:jc w:val="left"/>
      <w:outlineLvl w:val="0"/>
      <w:ind w:firstLineChars="0" w:firstLine="0"/>
    </w:pPr>
    <w:rPr>
      <w:rFonts w:asciiTheme="majorHAnsi" w:eastAsiaTheme="majorEastAsia" w:hAnsiTheme="majorHAnsi" w:cstheme="majorBidi" w:ascii="ＭＳ ゴシック" w:hAnsi="ＭＳ ゴシック" w:eastAsia="ＭＳ ゴシック"/>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jc w:val="left"/>
      <w:outlineLvl w:val="1"/>
      <w:ind w:firstLineChars="0" w:firstLine="0"/>
    </w:pPr>
    <w:rPr>
      <w:rFonts w:asciiTheme="majorHAnsi" w:eastAsiaTheme="majorEastAsia" w:hAnsiTheme="majorHAnsi" w:cstheme="majorBidi" w:ascii="ＭＳ ゴシック" w:hAnsi="ＭＳ ゴシック" w:eastAsia="ＭＳ ゴシック"/>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120" w:after="60"/>
      <w:jc w:val="left"/>
      <w:outlineLvl w:val="2"/>
      <w:ind w:firstLineChars="0" w:firstLine="0"/>
    </w:pPr>
    <w:rPr>
      <w:rFonts w:asciiTheme="majorHAnsi" w:eastAsiaTheme="majorEastAsia" w:hAnsiTheme="majorHAnsi" w:cstheme="majorBidi" w:ascii="ＭＳ ゴシック" w:hAnsi="ＭＳ ゴシック" w:eastAsia="ＭＳ ゴシック"/>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120" w:after="60"/>
      <w:jc w:val="left"/>
      <w:outlineLvl w:val="3"/>
      <w:ind w:firstLineChars="0" w:firstLine="0"/>
    </w:pPr>
    <w:rPr>
      <w:rFonts w:asciiTheme="majorHAnsi" w:eastAsiaTheme="majorEastAsia" w:hAnsiTheme="majorHAnsi" w:cstheme="majorBidi" w:ascii="ＭＳ ゴシック" w:hAnsi="ＭＳ ゴシック" w:eastAsia="ＭＳ ゴシック"/>
      <w:b/>
      <w:bCs/>
      <w:i/>
      <w:iCs/>
      <w:color w:val="000000"/>
      <w:sz w:val="18"/>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v5</dc:description>
  <cp:lastModifiedBy/>
  <cp:revision>1</cp:revision>
  <dcterms:created xsi:type="dcterms:W3CDTF">2013-12-23T23:15:00Z</dcterms:created>
  <dcterms:modified xsi:type="dcterms:W3CDTF">2013-12-23T23:15:00Z</dcterms:modified>
  <cp:category/>
</cp:coreProperties>
</file>