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8638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86385"/>
                    </a:xfrm>
                    <a:prstGeom prst="rect"/>
                  </pic:spPr>
                </pic:pic>
              </a:graphicData>
            </a:graphic>
          </wp:inline>
        </w:drawing>
      </w:r>
    </w:p>
    <w:p>
      <w:pPr>
        <w:sectPr>
          <w:footerReference w:type="default" r:id="rId10"/>
          <w:pgSz w:w="11906" w:h="16838"/>
          <w:pgMar w:top="0" w:right="0" w:bottom="0" w:left="0" w:header="720" w:footer="720" w:gutter="0"/>
          <w:cols w:space="720"/>
          <w:docGrid w:linePitch="360"/>
        </w:sectPr>
      </w:pPr>
    </w:p>
    <w:p>
      <w:pPr>
        <w:keepNext/>
        <w:spacing w:before="200" w:after="100" w:line="298" w:lineRule="auto"/>
        <w:ind w:firstLine="0" w:firstLineChars="0"/>
        <w:shd w:val="clear" w:color="auto" w:fill="16324F"/>
      </w:pPr>
      <w:r>
        <w:rPr>
          <w:rFonts w:ascii="Arial" w:hAnsi="Arial" w:eastAsia="ＭＳ ゴシック"/>
          <w:b/>
          <w:color w:val="FFFFFF"/>
          <w:sz w:val="28"/>
        </w:rPr>
        <w:t xml:space="preserve">　要旨</w:t>
      </w:r>
    </w:p>
    <w:p>
      <w:pPr>
        <w:spacing w:after="80" w:line="281" w:lineRule="auto"/>
        <w:jc w:val="both"/>
        <w:ind w:firstLineChars="100" w:firstLine="210"/>
      </w:pPr>
      <w:r>
        <w:rPr>
          <w:rFonts w:ascii="Times New Roman" w:hAnsi="Times New Roman" w:eastAsia="ＭＳ 明朝"/>
          <w:b w:val="0"/>
          <w:color w:val="000000"/>
          <w:sz w:val="21"/>
        </w:rPr>
        <w:t>本レポートでは、これからの日本株投資の姿として「三世代の堀(Three-Generation Moat)」を提示する。堀(Moat)とは、城のまわりの堀のように、他社がまねしにくい持続的な競争優位のことである。私たちは、ウォーレン・バフェットが築いた「完成した堀を割安に買う」という規律を出発点に、堀を時間軸でとらえ直した。いま完成している堀だけでなく、資本効率改革によってこれから「変わる堀」、ＡＩ・半導体・光通信などの構造変化からこれから「生まれる堀」までを、一つのポートフォリオに束ねる。</w:t>
      </w:r>
    </w:p>
    <w:p>
      <w:pPr>
        <w:spacing w:after="80" w:line="281" w:lineRule="auto"/>
        <w:jc w:val="both"/>
        <w:ind w:firstLineChars="100" w:firstLine="210"/>
      </w:pPr>
      <w:r>
        <w:rPr>
          <w:rFonts w:ascii="Times New Roman" w:hAnsi="Times New Roman" w:eastAsia="ＭＳ 明朝"/>
          <w:b w:val="0"/>
          <w:color w:val="000000"/>
          <w:sz w:val="21"/>
        </w:rPr>
        <w:t>本レポートの軸は一つだけである。目指す先が「三世代の堀」(何を買うか)、そこへ至る道順が「守破離」(どう選ぶか)であり、堀が主役で守破離は選ぶ手順の名前にすぎない。守ではバフェットの品質基準(先行研究の式)だけで完成した堀を5社選び、破ではその型を破って割安×変革の会社(変わる堀)を、離では独自の物差しで新しい堀(生まれる堀)を選び、両立型3社・分散役2社を加えて最終20社を組んだ。選定後に成績を見て銘柄を入れ替える「後からの選び直し」はしていない(あとから成績の良い銘柄だけを拾えば、どんな選び方でも立派に見えるからだ)。その代わり、この選び方が条件を一つ変えたくらいでは崩れないことを、三通りの頑健性検査(品質ゲートの判定の目安を変えること・配分の重み方式・相場局面)で確かめた(詳細は第Ⅱ章末)。</w:t>
      </w:r>
    </w:p>
    <w:p>
      <w:pPr>
        <w:spacing w:before="0" w:after="80" w:line="298" w:lineRule="auto"/>
        <w:ind w:firstLine="0" w:firstLineChars="0"/>
      </w:pPr>
      <w:r>
        <w:rPr>
          <w:rFonts w:ascii="Times New Roman" w:hAnsi="Times New Roman" w:eastAsia="ＭＳ 明朝"/>
          <w:b w:val="0"/>
          <w:color w:val="000000"/>
          <w:sz w:val="20"/>
        </w:rPr>
        <w:t>※守破離(しゅはり)＝日本の芸道の修行段階。守=型を守る、破=型を破る、離=独自の境地へ。</w:t>
      </w:r>
    </w:p>
    <w:p>
      <w:pPr>
        <w:spacing w:after="80" w:line="281" w:lineRule="auto"/>
        <w:jc w:val="both"/>
        <w:ind w:firstLineChars="100" w:firstLine="210"/>
      </w:pPr>
      <w:r>
        <w:rPr>
          <w:rFonts w:ascii="Times New Roman" w:hAnsi="Times New Roman" w:eastAsia="ＭＳ 明朝"/>
          <w:b w:val="0"/>
          <w:color w:val="000000"/>
          <w:sz w:val="21"/>
        </w:rPr>
        <w:t>結論を先に言う。私たちは「超える」を四つの条件で定義した。①バフェットと同じ土俵に立つ、②彼の式では見えない15社を同じ厳しさの証拠で選ぶ、③選定が壊れにくい――この三つの設計条件は本文で確かめた。残る④成績は、バフェットの品質基準で選んだ『新バフェット型』を自作し、先に決めた物差しで比較した。過去データの自己検証では、割安一辺倒のグレアム型と市場平均(ＴＯＰＩＸ)には、リスクを抑えつつ統計的にも有意に上回った(3年で対グレアム＋41ポイント)。師である新バフェット型に対しては、リターン・効率(シャープ)・下落の小ささのすべてで、しかも四つの相場局面すべてで一貫して上回った(3年で年＋12ポイント)が、その差は統計的には確実でなく、正直に「互角〜やや上」と評価する。これはすべて過去の自己検証であり、将来の市場超過の証明ではない――この限界は隠さず記す。</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目次</w:t>
      </w:r>
    </w:p>
    <w:p>
      <w:pPr>
        <w:spacing w:before="0" w:after="20" w:line="298" w:lineRule="auto"/>
        <w:ind w:firstLine="0" w:firstLineChars="0"/>
      </w:pPr>
      <w:r>
        <w:rPr>
          <w:rFonts w:ascii="Times New Roman" w:hAnsi="Times New Roman" w:eastAsia="ＭＳ 明朝"/>
          <w:b w:val="0"/>
          <w:color w:val="000000"/>
          <w:sz w:val="21"/>
        </w:rPr>
        <w:t>要旨</w:t>
      </w:r>
      <w:r>
        <w:rPr>
          <w:rFonts w:ascii="Times New Roman" w:hAnsi="Times New Roman" w:eastAsia="ＭＳ 明朝"/>
          <w:b w:val="0"/>
          <w:color w:val="000000"/>
          <w:sz w:val="21"/>
        </w:rPr>
        <w:t xml:space="preserve">　････････････････････････････････････････････････　2</w:t>
      </w:r>
    </w:p>
    <w:p>
      <w:pPr>
        <w:spacing w:before="0" w:after="20" w:line="298" w:lineRule="auto"/>
        <w:ind w:firstLine="0" w:firstLineChars="0"/>
      </w:pPr>
      <w:r>
        <w:rPr>
          <w:rFonts w:ascii="Times New Roman" w:hAnsi="Times New Roman" w:eastAsia="ＭＳ 明朝"/>
          <w:b w:val="0"/>
          <w:color w:val="000000"/>
          <w:sz w:val="21"/>
        </w:rPr>
        <w:t>Ⅰ．背景・投資テーマ決定</w:t>
      </w:r>
      <w:r>
        <w:rPr>
          <w:rFonts w:ascii="Times New Roman" w:hAnsi="Times New Roman" w:eastAsia="ＭＳ 明朝"/>
          <w:b w:val="0"/>
          <w:color w:val="000000"/>
          <w:sz w:val="21"/>
        </w:rPr>
        <w:t xml:space="preserve">　････････････････････････････　4</w:t>
      </w:r>
    </w:p>
    <w:p>
      <w:pPr>
        <w:spacing w:before="0" w:after="20" w:line="298" w:lineRule="auto"/>
        <w:ind w:firstLine="0" w:firstLineChars="0"/>
      </w:pPr>
      <w:r>
        <w:rPr>
          <w:rFonts w:ascii="Times New Roman" w:hAnsi="Times New Roman" w:eastAsia="ＭＳ 明朝"/>
          <w:b w:val="0"/>
          <w:color w:val="000000"/>
          <w:sz w:val="21"/>
        </w:rPr>
        <w:t>Ⅱ．スクリーニング ― 守・破・離</w:t>
      </w:r>
      <w:r>
        <w:rPr>
          <w:rFonts w:ascii="Times New Roman" w:hAnsi="Times New Roman" w:eastAsia="ＭＳ 明朝"/>
          <w:b w:val="0"/>
          <w:color w:val="000000"/>
          <w:sz w:val="21"/>
        </w:rPr>
        <w:t xml:space="preserve">　･･････････････････　8</w:t>
      </w:r>
    </w:p>
    <w:p>
      <w:pPr>
        <w:spacing w:before="0" w:after="20" w:line="298" w:lineRule="auto"/>
        <w:ind w:firstLine="0" w:firstLineChars="0"/>
      </w:pPr>
      <w:r>
        <w:rPr>
          <w:rFonts w:ascii="Times New Roman" w:hAnsi="Times New Roman" w:eastAsia="ＭＳ 明朝"/>
          <w:b w:val="0"/>
          <w:color w:val="000000"/>
          <w:sz w:val="21"/>
        </w:rPr>
        <w:t>Ⅲ．ポートフォリオの決定・銘柄紹介・パフォーマンス</w:t>
      </w:r>
      <w:r>
        <w:rPr>
          <w:rFonts w:ascii="Times New Roman" w:hAnsi="Times New Roman" w:eastAsia="ＭＳ 明朝"/>
          <w:b w:val="0"/>
          <w:color w:val="000000"/>
          <w:sz w:val="21"/>
        </w:rPr>
        <w:t xml:space="preserve">　････　19</w:t>
      </w:r>
    </w:p>
    <w:p>
      <w:pPr>
        <w:spacing w:before="0" w:after="20" w:line="298" w:lineRule="auto"/>
        <w:ind w:firstLine="0" w:firstLineChars="0"/>
      </w:pPr>
      <w:r>
        <w:rPr>
          <w:rFonts w:ascii="Times New Roman" w:hAnsi="Times New Roman" w:eastAsia="ＭＳ 明朝"/>
          <w:b w:val="0"/>
          <w:color w:val="000000"/>
          <w:sz w:val="21"/>
        </w:rPr>
        <w:t>Ⅳ．インタビュー・アンケート</w:t>
      </w:r>
      <w:r>
        <w:rPr>
          <w:rFonts w:ascii="Times New Roman" w:hAnsi="Times New Roman" w:eastAsia="ＭＳ 明朝"/>
          <w:b w:val="0"/>
          <w:color w:val="000000"/>
          <w:sz w:val="21"/>
        </w:rPr>
        <w:t xml:space="preserve">　････････････････････････　27</w:t>
      </w:r>
    </w:p>
    <w:p>
      <w:pPr>
        <w:spacing w:before="0" w:after="20" w:line="298" w:lineRule="auto"/>
        <w:ind w:firstLine="0" w:firstLineChars="0"/>
      </w:pPr>
      <w:r>
        <w:rPr>
          <w:rFonts w:ascii="Times New Roman" w:hAnsi="Times New Roman" w:eastAsia="ＭＳ 明朝"/>
          <w:b w:val="0"/>
          <w:color w:val="000000"/>
          <w:sz w:val="21"/>
        </w:rPr>
        <w:t>Ⅴ．日経ＳＴＯＣＫリーグを通じて学んだこと</w:t>
      </w:r>
      <w:r>
        <w:rPr>
          <w:rFonts w:ascii="Times New Roman" w:hAnsi="Times New Roman" w:eastAsia="ＭＳ 明朝"/>
          <w:b w:val="0"/>
          <w:color w:val="000000"/>
          <w:sz w:val="21"/>
        </w:rPr>
        <w:t xml:space="preserve">　･･････････　28</w:t>
      </w:r>
    </w:p>
    <w:p>
      <w:pPr>
        <w:spacing w:before="0" w:after="20" w:line="298" w:lineRule="auto"/>
        <w:ind w:firstLine="0" w:firstLineChars="0"/>
      </w:pPr>
      <w:r>
        <w:rPr>
          <w:rFonts w:ascii="Times New Roman" w:hAnsi="Times New Roman" w:eastAsia="ＭＳ 明朝"/>
          <w:b w:val="0"/>
          <w:color w:val="000000"/>
          <w:sz w:val="21"/>
        </w:rPr>
        <w:t>参考文献</w:t>
      </w:r>
      <w:r>
        <w:rPr>
          <w:rFonts w:ascii="Times New Roman" w:hAnsi="Times New Roman" w:eastAsia="ＭＳ 明朝"/>
          <w:b w:val="0"/>
          <w:color w:val="000000"/>
          <w:sz w:val="21"/>
        </w:rPr>
        <w:t xml:space="preserve">　････････････････････････････････････････････　3</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Ⅰ．背景・投資テーマ決定</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1．イントロダクション ― 百年企業の中に、未来の堀が眠っていた</w:t>
      </w:r>
    </w:p>
    <w:p>
      <w:pPr>
        <w:spacing w:before="100" w:after="40" w:line="336" w:lineRule="auto"/>
        <w:ind w:firstLine="0" w:firstLineChars="0"/>
        <w:ind w:left="480" w:right="480"/>
      </w:pPr>
      <w:r>
        <w:rPr>
          <w:rFonts w:ascii="Times New Roman" w:hAnsi="Times New Roman" w:eastAsia="ＭＳ 明朝"/>
          <w:b/>
          <w:i/>
          <w:color w:val="16324F"/>
          <w:sz w:val="22"/>
        </w:rPr>
        <w:t>「素晴らしい会社をまずまずの価格で買うほうが、まずまずの会社を素晴らしい価格で買うよりずっと良い。」</w:t>
      </w:r>
    </w:p>
    <w:p>
      <w:pPr>
        <w:spacing w:before="0" w:after="120" w:line="298" w:lineRule="auto"/>
        <w:jc w:val="right"/>
        <w:ind w:firstLine="0" w:firstLineChars="0"/>
      </w:pPr>
      <w:r>
        <w:rPr>
          <w:rFonts w:ascii="Times New Roman" w:hAnsi="Times New Roman" w:eastAsia="ＭＳ 明朝"/>
          <w:b w:val="0"/>
          <w:color w:val="000000"/>
          <w:sz w:val="20"/>
        </w:rPr>
        <w:t>――　ウォーレン・バフェット(1989年 株主への手紙)</w:t>
      </w:r>
    </w:p>
    <w:p>
      <w:pPr>
        <w:spacing w:after="80" w:line="281" w:lineRule="auto"/>
        <w:jc w:val="both"/>
        <w:ind w:firstLineChars="100" w:firstLine="210"/>
      </w:pPr>
      <w:r>
        <w:rPr>
          <w:rFonts w:ascii="Times New Roman" w:hAnsi="Times New Roman" w:eastAsia="ＭＳ 明朝"/>
          <w:b w:val="0"/>
          <w:color w:val="000000"/>
          <w:sz w:val="21"/>
        </w:rPr>
        <w:t>バフェットは、企業を城に、競争優位を城を守る堀(Moat)にたとえた。深い堀を持つ会社を、高すぎない価格で買い、長く持つ。この単純な規律が、半世紀を超える成果を生んだ。私たちの研究は、この規律への挑戦ではなく、その延長である。</w:t>
      </w:r>
    </w:p>
    <w:p>
      <w:pPr>
        <w:spacing w:after="80" w:line="281" w:lineRule="auto"/>
        <w:jc w:val="both"/>
        <w:ind w:firstLineChars="100" w:firstLine="210"/>
      </w:pPr>
      <w:r>
        <w:rPr>
          <w:rFonts w:ascii="Times New Roman" w:hAnsi="Times New Roman" w:eastAsia="ＭＳ 明朝"/>
          <w:b w:val="0"/>
          <w:color w:val="000000"/>
          <w:sz w:val="21"/>
        </w:rPr>
        <w:t>きっかけは、一つの会社だった。santec Holdings(6777)――光通信の部品をつくる会社である。地味な部品メーカーと見られてきたこの会社は、いま、生成ＡＩのデータセンター内をつなぐ高速の光配線(光インターコネクト)の担い手として需要が急拡大している。データが詰まると計算全体が止まる――その急所を、精密な光の部品技術が握った。完成したはずの部品事業の内側で、ＡＩという新しい堀が生まれていた。</w:t>
      </w:r>
    </w:p>
    <w:p>
      <w:pPr>
        <w:spacing w:after="80" w:line="281" w:lineRule="auto"/>
        <w:jc w:val="both"/>
        <w:ind w:firstLineChars="100" w:firstLine="210"/>
      </w:pPr>
      <w:r>
        <w:rPr>
          <w:rFonts w:ascii="Times New Roman" w:hAnsi="Times New Roman" w:eastAsia="ＭＳ 明朝"/>
          <w:b w:val="0"/>
          <w:color w:val="000000"/>
          <w:sz w:val="21"/>
        </w:rPr>
        <w:t>同じ頃、東京証券取引所は上場企業に「資本コストや株価を意識した経営」を求め、長く割安に放置された企業が、資本効率の改善と株主還元の強化によって変わり始めた。堀は止まった絵ではない。変わる堀があり、生まれる堀がある。ならば、いまの堀だけを測るバフェットの物差しを、時間の方向へ延長できないか。これが私たちの問い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2．バフェットの規律 ― 何がすごいのかを分解する</w:t>
      </w:r>
    </w:p>
    <w:p>
      <w:pPr>
        <w:spacing w:after="80" w:line="281" w:lineRule="auto"/>
        <w:jc w:val="both"/>
        <w:ind w:firstLineChars="100" w:firstLine="210"/>
      </w:pPr>
      <w:r>
        <w:rPr>
          <w:rFonts w:ascii="Times New Roman" w:hAnsi="Times New Roman" w:eastAsia="ＭＳ 明朝"/>
          <w:b w:val="0"/>
          <w:color w:val="000000"/>
          <w:sz w:val="21"/>
        </w:rPr>
        <w:t>「超える」と言う前に、まず相手を正しく知る。バフェットの投資は、大きく四つの部品でできている。</w:t>
      </w:r>
    </w:p>
    <w:p>
      <w:pPr>
        <w:spacing w:before="0" w:after="40" w:line="293" w:lineRule="auto"/>
        <w:ind w:firstLine="0" w:firstLineChars="0"/>
      </w:pPr>
      <w:r>
        <w:rPr>
          <w:rFonts w:ascii="Arial" w:hAnsi="Arial" w:eastAsia="ＭＳ ゴシック"/>
          <w:b/>
          <w:color w:val="16324F"/>
          <w:sz w:val="20"/>
        </w:rPr>
        <w:t xml:space="preserve">・堀(持続する競争優位)　</w:t>
      </w:r>
      <w:r>
        <w:rPr>
          <w:rFonts w:ascii="Times New Roman" w:hAnsi="Times New Roman" w:eastAsia="ＭＳ 明朝"/>
          <w:b w:val="0"/>
          <w:color w:val="000000"/>
          <w:sz w:val="20"/>
        </w:rPr>
        <w:t>まねされにくい強み。ブランドの力(例:コカ・コーラ)、乗り換えの手間、利用者が増えるほど価値が増す仕組み、圧倒的なコストの安さ、特許や免許。バフェット(2007)は「永続的な堀」を持つ企業だけを買うと明言する。</w:t>
      </w:r>
    </w:p>
    <w:p>
      <w:pPr>
        <w:spacing w:before="0" w:after="40" w:line="293" w:lineRule="auto"/>
        <w:ind w:firstLine="0" w:firstLineChars="0"/>
      </w:pPr>
      <w:r>
        <w:rPr>
          <w:rFonts w:ascii="Arial" w:hAnsi="Arial" w:eastAsia="ＭＳ ゴシック"/>
          <w:b/>
          <w:color w:val="16324F"/>
          <w:sz w:val="20"/>
        </w:rPr>
        <w:t xml:space="preserve">・安全域(高すぎない価格)　</w:t>
      </w:r>
      <w:r>
        <w:rPr>
          <w:rFonts w:ascii="Times New Roman" w:hAnsi="Times New Roman" w:eastAsia="ＭＳ 明朝"/>
          <w:b w:val="0"/>
          <w:color w:val="000000"/>
          <w:sz w:val="20"/>
        </w:rPr>
        <w:t>どんな良い会社も、高く買いすぎれば損をする。会社の価値より安い価格で買い、見立て違いに備える。冒頭の1989年の言葉は、価格より会社の質を優先するという順序も示している。</w:t>
      </w:r>
    </w:p>
    <w:p>
      <w:pPr>
        <w:spacing w:before="0" w:after="40" w:line="293" w:lineRule="auto"/>
        <w:ind w:firstLine="0" w:firstLineChars="0"/>
      </w:pPr>
      <w:r>
        <w:rPr>
          <w:rFonts w:ascii="Arial" w:hAnsi="Arial" w:eastAsia="ＭＳ ゴシック"/>
          <w:b/>
          <w:color w:val="16324F"/>
          <w:sz w:val="20"/>
        </w:rPr>
        <w:t xml:space="preserve">・能力の輪(分かるものだけ買う)　</w:t>
      </w:r>
      <w:r>
        <w:rPr>
          <w:rFonts w:ascii="Times New Roman" w:hAnsi="Times New Roman" w:eastAsia="ＭＳ 明朝"/>
          <w:b w:val="0"/>
          <w:color w:val="000000"/>
          <w:sz w:val="20"/>
        </w:rPr>
        <w:t>自分が理解できる事業だけを対象にする。理解できない熱狂には乗らない。</w:t>
      </w:r>
    </w:p>
    <w:p>
      <w:pPr>
        <w:spacing w:before="0" w:after="40" w:line="293" w:lineRule="auto"/>
        <w:ind w:firstLine="0" w:firstLineChars="0"/>
      </w:pPr>
      <w:r>
        <w:rPr>
          <w:rFonts w:ascii="Arial" w:hAnsi="Arial" w:eastAsia="ＭＳ ゴシック"/>
          <w:b/>
          <w:color w:val="16324F"/>
          <w:sz w:val="20"/>
        </w:rPr>
        <w:t xml:space="preserve">・長期保有(複利で増やす)　</w:t>
      </w:r>
      <w:r>
        <w:rPr>
          <w:rFonts w:ascii="Times New Roman" w:hAnsi="Times New Roman" w:eastAsia="ＭＳ 明朝"/>
          <w:b w:val="0"/>
          <w:color w:val="000000"/>
          <w:sz w:val="20"/>
        </w:rPr>
        <w:t>「私たちの好みの保有期間は永遠である」(バフェット、1988)。頻繁な売買をせず、堀が守る利益の再投資で雪だるま式に増やす。</w:t>
      </w:r>
    </w:p>
    <w:p>
      <w:pPr>
        <w:spacing w:after="80" w:line="281" w:lineRule="auto"/>
        <w:jc w:val="both"/>
        <w:ind w:firstLineChars="100" w:firstLine="210"/>
      </w:pPr>
      <w:r>
        <w:rPr>
          <w:rFonts w:ascii="Times New Roman" w:hAnsi="Times New Roman" w:eastAsia="ＭＳ 明朝"/>
          <w:b w:val="0"/>
          <w:color w:val="000000"/>
          <w:sz w:val="21"/>
        </w:rPr>
        <w:t>この規律は、感覚ではなく式で確かめられる。Frazzini, Kabiller and Pedersen (2018)は、バフェットの半世紀の超過成績が「割安×優良×値動きの穏やかさ」という測定可能な要素でほぼ説明できることを示した。つまり、彼の物差しは先行研究の式で再現できる――これが第Ⅱ章「守」の土台である。</w:t>
      </w:r>
    </w:p>
    <w:p>
      <w:pPr>
        <w:spacing w:after="80" w:line="281" w:lineRule="auto"/>
        <w:jc w:val="both"/>
        <w:ind w:firstLineChars="100" w:firstLine="210"/>
      </w:pPr>
      <w:r>
        <w:rPr>
          <w:rFonts w:ascii="Times New Roman" w:hAnsi="Times New Roman" w:eastAsia="ＭＳ 明朝"/>
          <w:b w:val="0"/>
          <w:color w:val="000000"/>
          <w:sz w:val="21"/>
        </w:rPr>
        <w:t>同時に、この分解は彼の物差しの死角も教えてくれる。割安・優良・穏やかさは、どれも「いま完成している堀」を測る物差しであり、これから変わる堀・生まれる堀は原理的に映らない。私たちが加える視点は三つ――①時間軸(堀の一生を見る)、②証拠主義(言葉ではなく数字の裏づけで測る)、③分散(どれか一つの未来に賭けない)。この三つを、彼と同じ規律の厳しさで実行することが、本レポートの挑戦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3．背景 ― 二つの地殻変動</w:t>
      </w:r>
    </w:p>
    <w:p>
      <w:pPr>
        <w:spacing w:after="80" w:line="281" w:lineRule="auto"/>
        <w:jc w:val="both"/>
        <w:ind w:firstLineChars="100" w:firstLine="210"/>
      </w:pPr>
      <w:r>
        <w:rPr>
          <w:rFonts w:ascii="Times New Roman" w:hAnsi="Times New Roman" w:eastAsia="ＭＳ 明朝"/>
          <w:b w:val="0"/>
          <w:color w:val="000000"/>
          <w:sz w:val="21"/>
        </w:rPr>
        <w:t>第一の地殻変動は資本効率改革である。東京証券取引所(2023)の要請は、伊藤レポート(経済産業省、2014)以来の資本収益性重視の流れを決定づけ、ＰＢＲ(株価純資産倍率。株価が会社の純資産の何倍かを示す)1倍割れ企業の経営改革を促した。割安に放置された企業の中から、本当に変われる企業を見分けられれば、それは「変わる堀」への投資になる。</w:t>
      </w:r>
    </w:p>
    <w:p>
      <w:pPr>
        <w:spacing w:after="80" w:line="281" w:lineRule="auto"/>
        <w:jc w:val="both"/>
        <w:ind w:firstLineChars="100" w:firstLine="210"/>
      </w:pPr>
      <w:r>
        <w:rPr>
          <w:rFonts w:ascii="Times New Roman" w:hAnsi="Times New Roman" w:eastAsia="ＭＳ 明朝"/>
          <w:b w:val="0"/>
          <w:color w:val="000000"/>
          <w:sz w:val="21"/>
        </w:rPr>
        <w:t>第二の地殻変動はＡＩを起点とする産業構造の転換である。生成ＡＩは、半導体・光通信・データセンター・電力・品質保証といった基盤産業に、実際の需要という追い風を与えている。ただし「ＡＩ」と口にする企業がすべて堀を持つわけではない。実際、既製のＡＩ関連スコアは機械的なキーワード照合に頼るため、炊飯器や照明の会社までＡＩ関連として満点に並んでしまうことが分かった。「ＡＩ」と口にすることと、ＡＩの実需で稼ぐことは違う。接点と堀を見分ける仕組み――事業の開示まで遡って実需を確かめる証拠主義――が要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4．三世代の堀 ― 私たちが求める企業像</w:t>
      </w:r>
    </w:p>
    <w:p>
      <w:pPr>
        <w:spacing w:after="80" w:line="281" w:lineRule="auto"/>
        <w:jc w:val="both"/>
        <w:ind w:firstLineChars="100" w:firstLine="210"/>
      </w:pPr>
      <w:r>
        <w:rPr>
          <w:rFonts w:ascii="Times New Roman" w:hAnsi="Times New Roman" w:eastAsia="ＭＳ 明朝"/>
          <w:b w:val="0"/>
          <w:color w:val="000000"/>
          <w:sz w:val="21"/>
        </w:rPr>
        <w:t>以上から、私たちは投資対象を三つの世代で定義する。第一に、すでに完成した堀(バフェットの規律で測れる企業)。第二に、資本効率改革で変わる堀(割安×改善の証拠を持つ企業)。第三に、構造変化から生まれる堀(ＡＩ基盤への実需接続を証拠で示せる企業)。この三世代を一つのポートフォリオに束ね、どれか一つの未来に賭けない。これが「三世代の堀」である。</w:t>
      </w:r>
    </w:p>
    <w:p>
      <w:pPr>
        <w:keepNext/>
        <w:spacing w:before="100" w:after="40" w:line="298" w:lineRule="auto"/>
        <w:ind w:firstLine="0" w:firstLineChars="0"/>
      </w:pPr>
      <w:r>
        <w:rPr>
          <w:rFonts w:ascii="Arial" w:hAnsi="Arial" w:eastAsia="ＭＳ ゴシック"/>
          <w:b/>
          <w:color w:val="16324F"/>
          <w:sz w:val="21"/>
        </w:rPr>
        <w:t>図表Ⅰ-1　三世代の堀 ― 完成・変化・新生を一つに束ねる</w:t>
      </w:r>
    </w:p>
    <w:p>
      <w:pPr>
        <w:jc w:val="center"/>
        <w:keepNext/>
        <w:ind w:firstLine="0" w:firstLineChars="0"/>
      </w:pPr>
      <w:r>
        <w:drawing>
          <wp:inline xmlns:a="http://schemas.openxmlformats.org/drawingml/2006/main" xmlns:pic="http://schemas.openxmlformats.org/drawingml/2006/picture">
            <wp:extent cx="5328000" cy="2895652"/>
            <wp:docPr id="2" name="Picture 2"/>
            <wp:cNvGraphicFramePr>
              <a:graphicFrameLocks noChangeAspect="1"/>
            </wp:cNvGraphicFramePr>
            <a:graphic>
              <a:graphicData uri="http://schemas.openxmlformats.org/drawingml/2006/picture">
                <pic:pic>
                  <pic:nvPicPr>
                    <pic:cNvPr id="0" name="fig1_moat_v7.png"/>
                    <pic:cNvPicPr/>
                  </pic:nvPicPr>
                  <pic:blipFill>
                    <a:blip r:embed="rId11"/>
                    <a:stretch>
                      <a:fillRect/>
                    </a:stretch>
                  </pic:blipFill>
                  <pic:spPr>
                    <a:xfrm>
                      <a:off x="0" y="0"/>
                      <a:ext cx="5328000" cy="2895652"/>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注：上段は三世代の名前、下段は中身。両立型・分散役を加えた合計20社で構成する。この三世代(何を買うか)を、第Ⅱ章では守・破・離の順番(どう選ぶか)で選び出す。筆者作成。</w:t>
      </w:r>
    </w:p>
    <w:p>
      <w:pPr>
        <w:spacing w:before="100" w:after="140" w:line="298" w:lineRule="auto"/>
        <w:ind w:firstLine="0" w:firstLineChars="0"/>
        <w:shd w:val="clear" w:color="auto" w:fill="F5EBD0"/>
      </w:pPr>
      <w:r>
        <w:rPr>
          <w:rFonts w:ascii="Arial" w:hAnsi="Arial" w:eastAsia="ＭＳ ゴシック"/>
          <w:b/>
          <w:color w:val="16324F"/>
          <w:sz w:val="21"/>
        </w:rPr>
        <w:t xml:space="preserve">　投資仮説　</w:t>
      </w:r>
      <w:r>
        <w:rPr>
          <w:rFonts w:ascii="Times New Roman" w:hAnsi="Times New Roman" w:eastAsia="ＭＳ 明朝"/>
          <w:b/>
          <w:color w:val="000000"/>
          <w:sz w:val="21"/>
        </w:rPr>
        <w:t>完成した堀・変わる堀・生まれる堀を証拠で選んで一つに束ねたポートフォリオは、堀の“現在”だけを測る新バフェット型の選定を、リスク調整後の効率(シャープ)と下落の小ささで上回る。過度な集中を避けた三世代の分散が、攻め(リターン)と守り(下落の抑制)の両面で効く――これが、三世代を等しく束ねる理由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5．何をもって「バフェットを超える」とするか ― 四つの条件</w:t>
      </w:r>
    </w:p>
    <w:p>
      <w:pPr>
        <w:spacing w:after="80" w:line="281" w:lineRule="auto"/>
        <w:jc w:val="both"/>
        <w:ind w:firstLineChars="100" w:firstLine="210"/>
      </w:pPr>
      <w:r>
        <w:rPr>
          <w:rFonts w:ascii="Times New Roman" w:hAnsi="Times New Roman" w:eastAsia="ＭＳ 明朝"/>
          <w:b w:val="0"/>
          <w:color w:val="000000"/>
          <w:sz w:val="21"/>
        </w:rPr>
        <w:t>「超える」を気分で語らないために、確かめられる四つの条件で先に定義しておく。本レポートの残りは、この定義の検証である。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条件</w:t>
            </w:r>
          </w:p>
        </w:tc>
        <w:tc>
          <w:tcPr>
            <w:tcW w:type="dxa" w:w="5783"/>
            <w:shd w:val="clear" w:color="auto" w:fill="16324F"/>
          </w:tcPr>
          <w:p>
            <w:pPr>
              <w:spacing w:after="0"/>
              <w:ind w:firstLine="0" w:firstLineChars="0"/>
            </w:pPr>
            <w:r>
              <w:rPr>
                <w:rFonts w:ascii="Arial" w:hAnsi="Arial" w:eastAsia="ＭＳ ゴシック"/>
                <w:b/>
                <w:color w:val="FFFFFF"/>
                <w:sz w:val="20"/>
              </w:rPr>
              <w:t>内容</w:t>
            </w:r>
          </w:p>
        </w:tc>
        <w:tc>
          <w:tcPr>
            <w:tcW w:type="dxa" w:w="1928"/>
            <w:shd w:val="clear" w:color="auto" w:fill="16324F"/>
          </w:tcPr>
          <w:p>
            <w:pPr>
              <w:spacing w:after="0"/>
              <w:ind w:firstLine="0" w:firstLineChars="0"/>
            </w:pPr>
            <w:r>
              <w:rPr>
                <w:rFonts w:ascii="Arial" w:hAnsi="Arial" w:eastAsia="ＭＳ ゴシック"/>
                <w:b/>
                <w:color w:val="FFFFFF"/>
                <w:sz w:val="20"/>
              </w:rPr>
              <w:t>どこで確かめるか</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5783"/>
          </w:tcPr>
          <w:p>
            <w:pPr>
              <w:spacing w:after="0"/>
              <w:ind w:firstLine="0" w:firstLineChars="0"/>
              <w:jc w:val="left"/>
            </w:pPr>
            <w:r>
              <w:rPr>
                <w:rFonts w:ascii="Times New Roman" w:hAnsi="Times New Roman" w:eastAsia="ＭＳ 明朝"/>
                <w:b w:val="0"/>
                <w:color w:val="000000"/>
                <w:sz w:val="20"/>
              </w:rPr>
              <w:t>バフェットの選び方を先行研究の式だけで再現し、その方法が選ぶ5社を実際に持つ。比較相手を自分のポートフォリオの中に持ち歩く</w:t>
            </w:r>
          </w:p>
        </w:tc>
        <w:tc>
          <w:tcPr>
            <w:tcW w:type="dxa" w:w="1928"/>
          </w:tcPr>
          <w:p>
            <w:pPr>
              <w:spacing w:after="0"/>
              <w:ind w:firstLine="0" w:firstLineChars="0"/>
              <w:jc w:val="left"/>
            </w:pPr>
            <w:r>
              <w:rPr>
                <w:rFonts w:ascii="Times New Roman" w:hAnsi="Times New Roman" w:eastAsia="ＭＳ 明朝"/>
                <w:b w:val="0"/>
                <w:color w:val="000000"/>
                <w:sz w:val="20"/>
              </w:rPr>
              <w:t>第Ⅱ章「守」</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バフェットの式では選ばれない15社を、同じ厳しさの証拠で選ぶ。彼の物差しが見ない未来を、彼と同じ規律で測る</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第Ⅱ章「離」</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5783"/>
          </w:tcPr>
          <w:p>
            <w:pPr>
              <w:spacing w:after="0"/>
              <w:ind w:firstLine="0" w:firstLineChars="0"/>
              <w:jc w:val="left"/>
            </w:pPr>
            <w:r>
              <w:rPr>
                <w:rFonts w:ascii="Times New Roman" w:hAnsi="Times New Roman" w:eastAsia="ＭＳ 明朝"/>
                <w:b w:val="0"/>
                <w:color w:val="000000"/>
                <w:sz w:val="20"/>
              </w:rPr>
              <w:t>選定が一つの仕掛け・一つのテーマに依存しない。判定の目安=条件を一つ変えても20社中11社以上が維持される(候補の広さの変更は別扱い)</w:t>
            </w:r>
          </w:p>
        </w:tc>
        <w:tc>
          <w:tcPr>
            <w:tcW w:type="dxa" w:w="1928"/>
          </w:tcPr>
          <w:p>
            <w:pPr>
              <w:spacing w:after="0"/>
              <w:ind w:firstLine="0" w:firstLineChars="0"/>
              <w:jc w:val="left"/>
            </w:pPr>
            <w:r>
              <w:rPr>
                <w:rFonts w:ascii="Times New Roman" w:hAnsi="Times New Roman" w:eastAsia="ＭＳ 明朝"/>
                <w:b w:val="0"/>
                <w:color w:val="000000"/>
                <w:sz w:val="20"/>
              </w:rPr>
              <w:t>第Ⅱ章末の検査</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主対照『新バフェット型』(品質基準で選んだ大型優良)に対し、リターン・効率ＩＲ・下落の小ささで上回る。参考の純正グレアム型・市場ＴＯＰＩＸには有意に上回る。物差しは比較前に宣言</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第Ⅲ章の検証</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図表Ⅰ-2　「超える」の定義 ― 四つの条件と検証の場所。</w:t>
      </w:r>
    </w:p>
    <w:p>
      <w:pPr>
        <w:spacing w:after="80" w:line="281" w:lineRule="auto"/>
        <w:jc w:val="both"/>
        <w:ind w:firstLineChars="100" w:firstLine="210"/>
      </w:pPr>
      <w:r>
        <w:rPr>
          <w:rFonts w:ascii="Times New Roman" w:hAnsi="Times New Roman" w:eastAsia="ＭＳ 明朝"/>
          <w:b w:val="0"/>
          <w:color w:val="000000"/>
          <w:sz w:val="21"/>
        </w:rPr>
        <w:t>言い換えれば、三世代の堀が目的地の地図(何を買うか)であり、守破離はそこへ歩く順番(どう選ぶか)である。順番には理由がある。①〜③を後から誰でも検証できる形にするため、独自色を最後(離)に置いた。独自の物差しを最後に導入するからこそ、「どこからが私たちの主張か」をいつでも遡って示せ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6．検証の順番 ― 守・破・離</w:t>
      </w:r>
    </w:p>
    <w:p>
      <w:pPr>
        <w:spacing w:after="80" w:line="281" w:lineRule="auto"/>
        <w:jc w:val="both"/>
        <w:ind w:firstLineChars="100" w:firstLine="210"/>
      </w:pPr>
      <w:r>
        <w:rPr>
          <w:rFonts w:ascii="Times New Roman" w:hAnsi="Times New Roman" w:eastAsia="ＭＳ 明朝"/>
          <w:b w:val="0"/>
          <w:color w:val="000000"/>
          <w:sz w:val="21"/>
        </w:rPr>
        <w:t>守=条件①、離=条件②、章末の頑健性検査=条件③、第Ⅲ章の対照比較=条件④に対応する(下表)。物差しは比較の前に宣言する。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907"/>
            <w:shd w:val="clear" w:color="auto" w:fill="16324F"/>
          </w:tcPr>
          <w:p>
            <w:pPr>
              <w:spacing w:after="0"/>
              <w:ind w:firstLine="0" w:firstLineChars="0"/>
            </w:pPr>
            <w:r>
              <w:rPr>
                <w:rFonts w:ascii="Arial" w:hAnsi="Arial" w:eastAsia="ＭＳ ゴシック"/>
                <w:b/>
                <w:color w:val="FFFFFF"/>
                <w:sz w:val="20"/>
              </w:rPr>
              <w:t>段階</w:t>
            </w:r>
          </w:p>
        </w:tc>
        <w:tc>
          <w:tcPr>
            <w:tcW w:type="dxa" w:w="4082"/>
            <w:shd w:val="clear" w:color="auto" w:fill="16324F"/>
          </w:tcPr>
          <w:p>
            <w:pPr>
              <w:spacing w:after="0"/>
              <w:ind w:firstLine="0" w:firstLineChars="0"/>
            </w:pPr>
            <w:r>
              <w:rPr>
                <w:rFonts w:ascii="Arial" w:hAnsi="Arial" w:eastAsia="ＭＳ ゴシック"/>
                <w:b/>
                <w:color w:val="FFFFFF"/>
                <w:sz w:val="20"/>
              </w:rPr>
              <w:t>選ぶ堀とやること</w:t>
            </w:r>
          </w:p>
        </w:tc>
        <w:tc>
          <w:tcPr>
            <w:tcW w:type="dxa" w:w="3175"/>
            <w:shd w:val="clear" w:color="auto" w:fill="16324F"/>
          </w:tcPr>
          <w:p>
            <w:pPr>
              <w:spacing w:after="0"/>
              <w:ind w:firstLine="0" w:firstLineChars="0"/>
            </w:pPr>
            <w:r>
              <w:rPr>
                <w:rFonts w:ascii="Arial" w:hAnsi="Arial" w:eastAsia="ＭＳ ゴシック"/>
                <w:b/>
                <w:color w:val="FFFFFF"/>
                <w:sz w:val="20"/>
              </w:rPr>
              <w:t>どこまでが借り物か</w:t>
            </w:r>
          </w:p>
        </w:tc>
        <w:tc>
          <w:tcPr>
            <w:tcW w:type="dxa" w:w="1474"/>
            <w:shd w:val="clear" w:color="auto" w:fill="16324F"/>
          </w:tcPr>
          <w:p>
            <w:pPr>
              <w:spacing w:after="0"/>
              <w:ind w:firstLine="0" w:firstLineChars="0"/>
            </w:pPr>
            <w:r>
              <w:rPr>
                <w:rFonts w:ascii="Arial" w:hAnsi="Arial" w:eastAsia="ＭＳ ゴシック"/>
                <w:b/>
                <w:color w:val="FFFFFF"/>
                <w:sz w:val="20"/>
              </w:rPr>
              <w:t>検証する条件</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守</w:t>
            </w:r>
          </w:p>
        </w:tc>
        <w:tc>
          <w:tcPr>
            <w:tcW w:type="dxa" w:w="4082"/>
          </w:tcPr>
          <w:p>
            <w:pPr>
              <w:spacing w:after="0"/>
              <w:ind w:firstLine="0" w:firstLineChars="0"/>
              <w:jc w:val="left"/>
            </w:pPr>
            <w:r>
              <w:rPr>
                <w:rFonts w:ascii="Times New Roman" w:hAnsi="Times New Roman" w:eastAsia="ＭＳ 明朝"/>
                <w:b w:val="0"/>
                <w:color w:val="000000"/>
                <w:sz w:val="20"/>
              </w:rPr>
              <w:t>完成した堀5社を、先行研究の式だけで選ぶ</w:t>
            </w:r>
          </w:p>
        </w:tc>
        <w:tc>
          <w:tcPr>
            <w:tcW w:type="dxa" w:w="3175"/>
          </w:tcPr>
          <w:p>
            <w:pPr>
              <w:spacing w:after="0"/>
              <w:ind w:firstLine="0" w:firstLineChars="0"/>
              <w:jc w:val="left"/>
            </w:pPr>
            <w:r>
              <w:rPr>
                <w:rFonts w:ascii="Times New Roman" w:hAnsi="Times New Roman" w:eastAsia="ＭＳ 明朝"/>
                <w:b w:val="0"/>
                <w:color w:val="000000"/>
                <w:sz w:val="20"/>
              </w:rPr>
              <w:t>式も使い方も、すべて先行研究のまま</w:t>
            </w:r>
          </w:p>
        </w:tc>
        <w:tc>
          <w:tcPr>
            <w:tcW w:type="dxa" w:w="1474"/>
          </w:tcPr>
          <w:p>
            <w:pPr>
              <w:spacing w:after="0"/>
              <w:ind w:firstLine="0" w:firstLineChars="0"/>
              <w:jc w:val="left"/>
            </w:pPr>
            <w:r>
              <w:rPr>
                <w:rFonts w:ascii="Times New Roman" w:hAnsi="Times New Roman" w:eastAsia="ＭＳ 明朝"/>
                <w:b w:val="0"/>
                <w:color w:val="000000"/>
                <w:sz w:val="20"/>
              </w:rPr>
              <w:t>条件①</w:t>
            </w:r>
          </w:p>
        </w:tc>
      </w:tr>
      <w:tr>
        <w:trPr>
          <w:cantSplit/>
        </w:trPr>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4082"/>
            <w:shd w:val="clear" w:color="auto" w:fill="F2F6F4"/>
          </w:tcPr>
          <w:p>
            <w:pPr>
              <w:spacing w:after="0"/>
              <w:ind w:firstLine="0" w:firstLineChars="0"/>
              <w:jc w:val="left"/>
            </w:pPr>
            <w:r>
              <w:rPr>
                <w:rFonts w:ascii="Times New Roman" w:hAnsi="Times New Roman" w:eastAsia="ＭＳ 明朝"/>
                <w:b w:val="0"/>
                <w:color w:val="000000"/>
                <w:sz w:val="20"/>
              </w:rPr>
              <w:t>型を破り、割安×変革の会社(変わる堀)5社を選ぶ</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式は借り物。使い方は私たちの判断(過程を開示)</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(条件②の一部)</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離</w:t>
            </w:r>
          </w:p>
        </w:tc>
        <w:tc>
          <w:tcPr>
            <w:tcW w:type="dxa" w:w="4082"/>
          </w:tcPr>
          <w:p>
            <w:pPr>
              <w:spacing w:after="0"/>
              <w:ind w:firstLine="0" w:firstLineChars="0"/>
              <w:jc w:val="left"/>
            </w:pPr>
            <w:r>
              <w:rPr>
                <w:rFonts w:ascii="Times New Roman" w:hAnsi="Times New Roman" w:eastAsia="ＭＳ 明朝"/>
                <w:b w:val="0"/>
                <w:color w:val="000000"/>
                <w:sz w:val="20"/>
              </w:rPr>
              <w:t>変わる・生まれる堀＋両立・分散の15社を、独自の物差しで選ぶ</w:t>
            </w:r>
          </w:p>
        </w:tc>
        <w:tc>
          <w:tcPr>
            <w:tcW w:type="dxa" w:w="3175"/>
          </w:tcPr>
          <w:p>
            <w:pPr>
              <w:spacing w:after="0"/>
              <w:ind w:firstLine="0" w:firstLineChars="0"/>
              <w:jc w:val="left"/>
            </w:pPr>
            <w:r>
              <w:rPr>
                <w:rFonts w:ascii="Times New Roman" w:hAnsi="Times New Roman" w:eastAsia="ＭＳ 明朝"/>
                <w:b w:val="0"/>
                <w:color w:val="000000"/>
                <w:sz w:val="20"/>
              </w:rPr>
              <w:t>部品は借り物。組み方が私たちの独自性</w:t>
            </w:r>
          </w:p>
        </w:tc>
        <w:tc>
          <w:tcPr>
            <w:tcW w:type="dxa" w:w="1474"/>
          </w:tcPr>
          <w:p>
            <w:pPr>
              <w:spacing w:after="0"/>
              <w:ind w:firstLine="0" w:firstLineChars="0"/>
              <w:jc w:val="left"/>
            </w:pPr>
            <w:r>
              <w:rPr>
                <w:rFonts w:ascii="Times New Roman" w:hAnsi="Times New Roman" w:eastAsia="ＭＳ 明朝"/>
                <w:b w:val="0"/>
                <w:color w:val="000000"/>
                <w:sz w:val="20"/>
              </w:rPr>
              <w:t>条件②</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図表Ⅰ-3　守・破・離の分担 ― 独自性を最後に置く。守破離は目的ではなく、四条件を検証可能にするための手段である。</w:t>
      </w:r>
    </w:p>
    <w:p>
      <w:pPr>
        <w:spacing w:after="80" w:line="281" w:lineRule="auto"/>
        <w:jc w:val="both"/>
        <w:ind w:firstLineChars="100" w:firstLine="210"/>
      </w:pPr>
      <w:r>
        <w:rPr>
          <w:rFonts w:ascii="Times New Roman" w:hAnsi="Times New Roman" w:eastAsia="ＭＳ 明朝"/>
          <w:b w:val="0"/>
          <w:color w:val="000000"/>
          <w:sz w:val="21"/>
        </w:rPr>
        <w:t>なお、本文の数字はすべて選定の過程で保存した記録(通過社数・除外理由・検査結果)から機械的に転記し、レポート自体を記録データから自動生成している。生成・検証コードと正典データ・乱数シード(探索42〜44・監査45)は提出時点で保存しており、どの数字も出どころまで遡って確かめられる。</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Ⅱ．スクリーニング ― 守・破・離</w:t>
      </w:r>
    </w:p>
    <w:p>
      <w:pPr>
        <w:spacing w:after="80" w:line="281" w:lineRule="auto"/>
        <w:jc w:val="both"/>
        <w:ind w:firstLineChars="100" w:firstLine="210"/>
      </w:pPr>
      <w:r>
        <w:rPr>
          <w:rFonts w:ascii="Times New Roman" w:hAnsi="Times New Roman" w:eastAsia="ＭＳ 明朝"/>
          <w:b w:val="0"/>
          <w:color w:val="000000"/>
          <w:sz w:val="21"/>
        </w:rPr>
        <w:t>前章では「超える」を四つの条件で定義し、選ぶ順番として守破離を置いた。本章が選定の中核である。金融を除く普通株3,481社(投資適格・流動性を満たす1,819社)から、守破離の三段階で最終20社を選ぶ。各段階では、何を見たか(観点)、何で測ったか(データと式)、どこで区切ったか(判定の目安)、何社が残ったか(結果)を必ず示す。データの基準は、価格が2023年4月25日〜2026年6月1日の日次、財務・開示がＥＤＩＮＥＴ提出書類(2026年7月8日取得。各社は取得日時点の直近有価証券報告書で、決算期の違いにより最大12カ月の鮮度差がある)であ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第１スクリーニング　</w:t>
      </w:r>
      <w:r>
        <w:rPr>
          <w:rFonts w:ascii="Arial" w:hAnsi="Arial" w:eastAsia="ＭＳ ゴシック"/>
          <w:b/>
          <w:color w:val="16324F"/>
          <w:sz w:val="23"/>
        </w:rPr>
        <w:t xml:space="preserve">　守 ― バフェットの規律を式だけで再現する(→完成した堀5社)</w:t>
      </w:r>
    </w:p>
    <w:p>
      <w:pPr>
        <w:spacing w:after="80" w:line="281" w:lineRule="auto"/>
        <w:jc w:val="both"/>
        <w:ind w:firstLineChars="100" w:firstLine="210"/>
      </w:pPr>
      <w:r>
        <w:rPr>
          <w:rFonts w:ascii="Times New Roman" w:hAnsi="Times New Roman" w:eastAsia="ＭＳ 明朝"/>
          <w:b w:val="0"/>
          <w:color w:val="000000"/>
          <w:sz w:val="21"/>
        </w:rPr>
        <w:t>守では、バフェットの規律「良い会社を、高すぎない価格で買い、長期保有に耐えない企業を避ける」を、先行研究の式だけで再現する。独自の重み付けは使わず、七つの関門を一つずつ通す。</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1814"/>
            <w:shd w:val="clear" w:color="auto" w:fill="16324F"/>
          </w:tcPr>
          <w:p>
            <w:pPr>
              <w:spacing w:after="0"/>
              <w:ind w:firstLine="0" w:firstLineChars="0"/>
            </w:pPr>
            <w:r>
              <w:rPr>
                <w:rFonts w:ascii="Arial" w:hAnsi="Arial" w:eastAsia="ＭＳ ゴシック"/>
                <w:b/>
                <w:color w:val="FFFFFF"/>
                <w:sz w:val="20"/>
              </w:rPr>
              <w:t>観点</w:t>
            </w:r>
          </w:p>
        </w:tc>
        <w:tc>
          <w:tcPr>
            <w:tcW w:type="dxa" w:w="2948"/>
            <w:shd w:val="clear" w:color="auto" w:fill="16324F"/>
          </w:tcPr>
          <w:p>
            <w:pPr>
              <w:spacing w:after="0"/>
              <w:ind w:firstLine="0" w:firstLineChars="0"/>
            </w:pPr>
            <w:r>
              <w:rPr>
                <w:rFonts w:ascii="Arial" w:hAnsi="Arial" w:eastAsia="ＭＳ ゴシック"/>
                <w:b/>
                <w:color w:val="FFFFFF"/>
                <w:sz w:val="20"/>
              </w:rPr>
              <w:t>使うデータ・式</w:t>
            </w:r>
          </w:p>
        </w:tc>
        <w:tc>
          <w:tcPr>
            <w:tcW w:type="dxa" w:w="2154"/>
            <w:shd w:val="clear" w:color="auto" w:fill="16324F"/>
          </w:tcPr>
          <w:p>
            <w:pPr>
              <w:spacing w:after="0"/>
              <w:ind w:firstLine="0" w:firstLineChars="0"/>
            </w:pPr>
            <w:r>
              <w:rPr>
                <w:rFonts w:ascii="Arial" w:hAnsi="Arial" w:eastAsia="ＭＳ ゴシック"/>
                <w:b/>
                <w:color w:val="FFFFFF"/>
                <w:sz w:val="20"/>
              </w:rPr>
              <w:t>判定の目安</w:t>
            </w:r>
          </w:p>
        </w:tc>
        <w:tc>
          <w:tcPr>
            <w:tcW w:type="dxa" w:w="2721"/>
            <w:shd w:val="clear" w:color="auto" w:fill="16324F"/>
          </w:tcPr>
          <w:p>
            <w:pPr>
              <w:spacing w:after="0"/>
              <w:ind w:firstLine="0" w:firstLineChars="0"/>
            </w:pPr>
            <w:r>
              <w:rPr>
                <w:rFonts w:ascii="Arial" w:hAnsi="Arial" w:eastAsia="ＭＳ ゴシック"/>
                <w:b/>
                <w:color w:val="FFFFFF"/>
                <w:sz w:val="20"/>
              </w:rPr>
              <w:t>残った社数</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割安か(純資産)</w:t>
            </w:r>
          </w:p>
        </w:tc>
        <w:tc>
          <w:tcPr>
            <w:tcW w:type="dxa" w:w="2948"/>
          </w:tcPr>
          <w:p>
            <w:pPr>
              <w:spacing w:after="0"/>
              <w:ind w:firstLine="0" w:firstLineChars="0"/>
              <w:jc w:val="left"/>
            </w:pPr>
            <w:r>
              <w:rPr>
                <w:rFonts w:ascii="Times New Roman" w:hAnsi="Times New Roman" w:eastAsia="ＭＳ 明朝"/>
                <w:b w:val="0"/>
                <w:color w:val="000000"/>
                <w:sz w:val="20"/>
              </w:rPr>
              <w:t>Ｂ／Ｍ＝純資産÷時価総額(式1)</w:t>
            </w:r>
          </w:p>
        </w:tc>
        <w:tc>
          <w:tcPr>
            <w:tcW w:type="dxa" w:w="2154"/>
          </w:tcPr>
          <w:p>
            <w:pPr>
              <w:spacing w:after="0"/>
              <w:ind w:firstLine="0" w:firstLineChars="0"/>
              <w:jc w:val="left"/>
            </w:pPr>
            <w:r>
              <w:rPr>
                <w:rFonts w:ascii="Times New Roman" w:hAnsi="Times New Roman" w:eastAsia="ＭＳ 明朝"/>
                <w:b w:val="0"/>
                <w:color w:val="000000"/>
                <w:sz w:val="20"/>
              </w:rPr>
              <w:t>市場の上位30％</w:t>
            </w:r>
          </w:p>
        </w:tc>
        <w:tc>
          <w:tcPr>
            <w:tcW w:type="dxa" w:w="2721"/>
          </w:tcPr>
          <w:p>
            <w:pPr>
              <w:spacing w:after="0"/>
              <w:ind w:firstLine="0" w:firstLineChars="0"/>
              <w:jc w:val="left"/>
            </w:pPr>
            <w:r>
              <w:rPr>
                <w:rFonts w:ascii="Times New Roman" w:hAnsi="Times New Roman" w:eastAsia="ＭＳ 明朝"/>
                <w:b w:val="0"/>
                <w:color w:val="000000"/>
                <w:sz w:val="20"/>
              </w:rPr>
              <w:t>3,099→2,740社(算出可能)</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割安か(利益)</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Ｅ／Ｐ＝純利益÷時価総額(式2)</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黒字かつ上位50％</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→583社(割安2関門を通過)</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収益力は本物か</w:t>
            </w:r>
          </w:p>
        </w:tc>
        <w:tc>
          <w:tcPr>
            <w:tcW w:type="dxa" w:w="2948"/>
          </w:tcPr>
          <w:p>
            <w:pPr>
              <w:spacing w:after="0"/>
              <w:ind w:firstLine="0" w:firstLineChars="0"/>
              <w:jc w:val="left"/>
            </w:pPr>
            <w:r>
              <w:rPr>
                <w:rFonts w:ascii="Times New Roman" w:hAnsi="Times New Roman" w:eastAsia="ＭＳ 明朝"/>
                <w:b w:val="0"/>
                <w:color w:val="000000"/>
                <w:sz w:val="20"/>
              </w:rPr>
              <w:t>粗利÷総資産(式3)</w:t>
            </w:r>
          </w:p>
        </w:tc>
        <w:tc>
          <w:tcPr>
            <w:tcW w:type="dxa" w:w="2154"/>
          </w:tcPr>
          <w:p>
            <w:pPr>
              <w:spacing w:after="0"/>
              <w:ind w:firstLine="0" w:firstLineChars="0"/>
              <w:jc w:val="left"/>
            </w:pPr>
            <w:r>
              <w:rPr>
                <w:rFonts w:ascii="Times New Roman" w:hAnsi="Times New Roman" w:eastAsia="ＭＳ 明朝"/>
                <w:b w:val="0"/>
                <w:color w:val="000000"/>
                <w:sz w:val="20"/>
              </w:rPr>
              <w:t>市場の中央値以上</w:t>
            </w:r>
          </w:p>
        </w:tc>
        <w:tc>
          <w:tcPr>
            <w:tcW w:type="dxa" w:w="2721"/>
          </w:tcPr>
          <w:p>
            <w:pPr>
              <w:spacing w:after="0"/>
              <w:ind w:firstLine="0" w:firstLineChars="0"/>
              <w:jc w:val="left"/>
            </w:pPr>
            <w:r>
              <w:rPr>
                <w:rFonts w:ascii="Times New Roman" w:hAnsi="Times New Roman" w:eastAsia="ＭＳ 明朝"/>
                <w:b w:val="0"/>
                <w:color w:val="000000"/>
                <w:sz w:val="20"/>
              </w:rPr>
              <w:t>→146社</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財務は健全か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6項目チェックの合格割合(式4)</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0.65以上</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→112社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利益は本物か</w:t>
            </w:r>
          </w:p>
        </w:tc>
        <w:tc>
          <w:tcPr>
            <w:tcW w:type="dxa" w:w="2948"/>
          </w:tcPr>
          <w:p>
            <w:pPr>
              <w:spacing w:after="0"/>
              <w:ind w:firstLine="0" w:firstLineChars="0"/>
              <w:jc w:val="left"/>
            </w:pPr>
            <w:r>
              <w:rPr>
                <w:rFonts w:ascii="Times New Roman" w:hAnsi="Times New Roman" w:eastAsia="ＭＳ 明朝"/>
                <w:b w:val="0"/>
                <w:color w:val="000000"/>
                <w:sz w:val="20"/>
              </w:rPr>
              <w:t>利益と現金の差(式5)</w:t>
            </w:r>
          </w:p>
        </w:tc>
        <w:tc>
          <w:tcPr>
            <w:tcW w:type="dxa" w:w="2154"/>
          </w:tcPr>
          <w:p>
            <w:pPr>
              <w:spacing w:after="0"/>
              <w:ind w:firstLine="0" w:firstLineChars="0"/>
              <w:jc w:val="left"/>
            </w:pPr>
            <w:r>
              <w:rPr>
                <w:rFonts w:ascii="Times New Roman" w:hAnsi="Times New Roman" w:eastAsia="ＭＳ 明朝"/>
                <w:b w:val="0"/>
                <w:color w:val="000000"/>
                <w:sz w:val="20"/>
              </w:rPr>
              <w:t>悪い側の上位30％を除外</w:t>
            </w:r>
          </w:p>
        </w:tc>
        <w:tc>
          <w:tcPr>
            <w:tcW w:type="dxa" w:w="2721"/>
          </w:tcPr>
          <w:p>
            <w:pPr>
              <w:spacing w:after="0"/>
              <w:ind w:firstLine="0" w:firstLineChars="0"/>
              <w:jc w:val="left"/>
            </w:pPr>
            <w:r>
              <w:rPr>
                <w:rFonts w:ascii="Times New Roman" w:hAnsi="Times New Roman" w:eastAsia="ＭＳ 明朝"/>
                <w:b w:val="0"/>
                <w:color w:val="000000"/>
                <w:sz w:val="20"/>
              </w:rPr>
              <w:t>→90社</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危険はないか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債務超過・2期連続赤字(式6)</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該当ゼロ(除外0社)</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→90社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実際に買えるか</w:t>
            </w:r>
          </w:p>
        </w:tc>
        <w:tc>
          <w:tcPr>
            <w:tcW w:type="dxa" w:w="2948"/>
          </w:tcPr>
          <w:p>
            <w:pPr>
              <w:spacing w:after="0"/>
              <w:ind w:firstLine="0" w:firstLineChars="0"/>
              <w:jc w:val="left"/>
            </w:pPr>
            <w:r>
              <w:rPr>
                <w:rFonts w:ascii="Times New Roman" w:hAnsi="Times New Roman" w:eastAsia="ＭＳ 明朝"/>
                <w:b w:val="0"/>
                <w:color w:val="000000"/>
                <w:sz w:val="20"/>
              </w:rPr>
              <w:t>60日平均の売買代金(式7)</w:t>
            </w:r>
          </w:p>
        </w:tc>
        <w:tc>
          <w:tcPr>
            <w:tcW w:type="dxa" w:w="2154"/>
          </w:tcPr>
          <w:p>
            <w:pPr>
              <w:spacing w:after="0"/>
              <w:ind w:firstLine="0" w:firstLineChars="0"/>
              <w:jc w:val="left"/>
            </w:pPr>
            <w:r>
              <w:rPr>
                <w:rFonts w:ascii="Times New Roman" w:hAnsi="Times New Roman" w:eastAsia="ＭＳ 明朝"/>
                <w:b w:val="0"/>
                <w:color w:val="000000"/>
                <w:sz w:val="20"/>
              </w:rPr>
              <w:t>基準1,000万円(300万〜1,000万は要確認で通過)</w:t>
            </w:r>
          </w:p>
        </w:tc>
        <w:tc>
          <w:tcPr>
            <w:tcW w:type="dxa" w:w="2721"/>
          </w:tcPr>
          <w:p>
            <w:pPr>
              <w:spacing w:after="0"/>
              <w:ind w:firstLine="0" w:firstLineChars="0"/>
              <w:jc w:val="left"/>
            </w:pPr>
            <w:r>
              <w:rPr>
                <w:rFonts w:ascii="Times New Roman" w:hAnsi="Times New Roman" w:eastAsia="ＭＳ 明朝"/>
                <w:b w:val="0"/>
                <w:color w:val="000000"/>
                <w:sz w:val="20"/>
              </w:rPr>
              <w:t>→77社</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図表Ⅱ-1　守の七関門(判定基準)。出所：第1段階の正典データ。</w:t>
      </w:r>
    </w:p>
    <w:p>
      <w:pPr>
        <w:spacing w:after="80" w:line="281" w:lineRule="auto"/>
        <w:jc w:val="both"/>
        <w:ind w:firstLineChars="100" w:firstLine="210"/>
      </w:pPr>
      <w:r>
        <w:rPr>
          <w:rFonts w:ascii="Times New Roman" w:hAnsi="Times New Roman" w:eastAsia="ＭＳ 明朝"/>
          <w:b w:val="0"/>
          <w:color w:val="000000"/>
          <w:sz w:val="21"/>
        </w:rPr>
        <w:t>七つの関門を、式そのものから一つずつ見ていく。どの式も先行研究のまま使い、私たちの独自の重みは一切加えない。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関門1　資本を高い率で回せるか ― ＲＯＥ</w:t>
      </w:r>
    </w:p>
    <w:p>
      <w:pPr>
        <w:spacing w:after="40" w:line="281" w:lineRule="auto"/>
        <w:jc w:val="both"/>
        <w:ind w:firstLineChars="100" w:firstLine="210"/>
      </w:pPr>
      <w:r>
        <w:rPr>
          <w:rFonts w:ascii="Times New Roman" w:hAnsi="Times New Roman" w:eastAsia="ＭＳ 明朝"/>
          <w:b w:val="0"/>
          <w:color w:val="000000"/>
          <w:sz w:val="21"/>
        </w:rPr>
        <w:t>自己資本利益率(ＲＯＥ)は、株主の資本をどれだけ効率よく利益に変えるかを示す。高く持続的なＲＯＥは、まねされにくい強み＝堀の現れである。バフェットの超過成績が「割安×優良×安全」で説明できることを示したFrazzini, Kabiller and Pedersen (2018)、および品質factorを定式化したAsness, Frazzini and Pedersen (2019, QMJ)で、収益性は品質の中核に置かれる。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式（1）ＲＯＥ ― 資本の収益率(Frazzini, Kabiller and Pedersen, 2018)</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R</m:t>
                    </m:r>
                    <m:r>
                      <m:rPr>
                        <m:sty m:val="p"/>
                      </m:rPr>
                      <m:t>O</m:t>
                    </m:r>
                    <m:r>
                      <m:rPr>
                        <m:sty m:val="p"/>
                      </m:rPr>
                      <m:t>E</m:t>
                    </m:r>
                  </m:e>
                  <m:sub>
                    <m:r>
                      <m:t>i</m:t>
                    </m:r>
                  </m:sub>
                </m:sSub>
                <m:r>
                  <m:rPr>
                    <m:sty m:val="p"/>
                  </m:rPr>
                  <m:t>=</m:t>
                </m:r>
                <m:f>
                  <m:fPr>
                    <m:type m:val="bar"/>
                  </m:fPr>
                  <m:num>
                    <m:sSub>
                      <m:e>
                        <m:r>
                          <m:rPr>
                            <m:sty m:val="p"/>
                          </m:rPr>
                          <m:t>N</m:t>
                        </m:r>
                        <m:r>
                          <m:rPr>
                            <m:sty m:val="p"/>
                          </m:rPr>
                          <m:t>I</m:t>
                        </m:r>
                      </m:e>
                      <m:sub>
                        <m:r>
                          <m:t>i</m:t>
                        </m:r>
                      </m:sub>
                    </m:sSub>
                  </m:num>
                  <m:den>
                    <m:sSub>
                      <m:e>
                        <m:r>
                          <m:rPr>
                            <m:sty m:val="p"/>
                          </m:rPr>
                          <m:t>E</m:t>
                        </m:r>
                        <m:r>
                          <m:rPr>
                            <m:sty m:val="p"/>
                          </m:rPr>
                          <m:t>q</m:t>
                        </m:r>
                        <m:r>
                          <m:rPr>
                            <m:sty m:val="p"/>
                          </m:rPr>
                          <m:t>u</m:t>
                        </m:r>
                        <m:r>
                          <m:rPr>
                            <m:sty m:val="p"/>
                          </m:rPr>
                          <m:t>i</m:t>
                        </m:r>
                        <m:r>
                          <m:rPr>
                            <m:sty m:val="p"/>
                          </m:rPr>
                          <m:t>t</m:t>
                        </m:r>
                        <m:r>
                          <m:rPr>
                            <m:sty m:val="p"/>
                          </m:rPr>
                          <m:t>y</m:t>
                        </m:r>
                      </m:e>
                      <m:sub>
                        <m:r>
                          <m:t>i</m:t>
                        </m:r>
                      </m:sub>
                    </m:sSub>
                  </m:den>
                </m:f>
                <m:r>
                  <m:t> </m:t>
                </m:r>
                <m:r>
                  <m:rPr>
                    <m:sty m:val="p"/>
                  </m:rPr>
                  <m:t>≥</m:t>
                </m:r>
                <m:r>
                  <m:t> </m:t>
                </m:r>
                <m:r>
                  <m:t>0.15</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ＮＩ＝純利益　Equity＝自己資本。15％以上を高収益の基準とする(バフェットが繰り返し目安とする水準)。</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よって、ＲＯＥ15％以上の企業を「資本を高い率で回せる優良企業」と評価する。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関門2　価格支配力＝堀があるか ― 営業利益率</w:t>
      </w:r>
    </w:p>
    <w:p>
      <w:pPr>
        <w:spacing w:after="40" w:line="281" w:lineRule="auto"/>
        <w:jc w:val="both"/>
        <w:ind w:firstLineChars="100" w:firstLine="210"/>
      </w:pPr>
      <w:r>
        <w:rPr>
          <w:rFonts w:ascii="Times New Roman" w:hAnsi="Times New Roman" w:eastAsia="ＭＳ 明朝"/>
          <w:b w:val="0"/>
          <w:color w:val="000000"/>
          <w:sz w:val="21"/>
        </w:rPr>
        <w:t>高く安定した営業利益率は、値下げ競争に巻き込まれない価格支配力＝堀の現れである。薄利の会社は、原価や競合の変化で利益が消えやすい(QMJ の収益性)。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式（2）営業利益率 ― 価格支配力(堀)の代理(Asness,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O</m:t>
                    </m:r>
                    <m:r>
                      <m:rPr>
                        <m:sty m:val="p"/>
                      </m:rPr>
                      <m:t>P</m:t>
                    </m:r>
                    <m:r>
                      <m:rPr>
                        <m:sty m:val="p"/>
                      </m:rPr>
                      <m:t>M</m:t>
                    </m:r>
                  </m:e>
                  <m:sub>
                    <m:r>
                      <m:t>i</m:t>
                    </m:r>
                  </m:sub>
                </m:sSub>
                <m:r>
                  <m:rPr>
                    <m:sty m:val="p"/>
                  </m:rPr>
                  <m:t>=</m:t>
                </m:r>
                <m:f>
                  <m:fPr>
                    <m:type m:val="bar"/>
                  </m:fPr>
                  <m:num>
                    <m:sSub>
                      <m:e>
                        <m:r>
                          <m:rPr>
                            <m:sty m:val="p"/>
                          </m:rPr>
                          <m:t>O</m:t>
                        </m:r>
                        <m:r>
                          <m:rPr>
                            <m:sty m:val="p"/>
                          </m:rPr>
                          <m:t>p</m:t>
                        </m:r>
                        <m:r>
                          <m:rPr>
                            <m:sty m:val="p"/>
                          </m:rPr>
                          <m:t>e</m:t>
                        </m:r>
                        <m:r>
                          <m:rPr>
                            <m:sty m:val="p"/>
                          </m:rPr>
                          <m:t>r</m:t>
                        </m:r>
                        <m:r>
                          <m:rPr>
                            <m:sty m:val="p"/>
                          </m:rPr>
                          <m:t>a</m:t>
                        </m:r>
                        <m:r>
                          <m:rPr>
                            <m:sty m:val="p"/>
                          </m:rPr>
                          <m:t>t</m:t>
                        </m:r>
                        <m:r>
                          <m:rPr>
                            <m:sty m:val="p"/>
                          </m:rPr>
                          <m:t>i</m:t>
                        </m:r>
                        <m:r>
                          <m:rPr>
                            <m:sty m:val="p"/>
                          </m:rPr>
                          <m:t>n</m:t>
                        </m:r>
                        <m:r>
                          <m:rPr>
                            <m:sty m:val="p"/>
                          </m:rPr>
                          <m:t>g</m:t>
                        </m:r>
                        <m:r>
                          <m:rPr>
                            <m:sty m:val="p"/>
                          </m:rPr>
                          <m:t>I</m:t>
                        </m:r>
                        <m:r>
                          <m:rPr>
                            <m:sty m:val="p"/>
                          </m:rPr>
                          <m:t>n</m:t>
                        </m:r>
                        <m:r>
                          <m:rPr>
                            <m:sty m:val="p"/>
                          </m:rPr>
                          <m:t>c</m:t>
                        </m:r>
                        <m:r>
                          <m:rPr>
                            <m:sty m:val="p"/>
                          </m:rPr>
                          <m:t>o</m:t>
                        </m:r>
                        <m:r>
                          <m:rPr>
                            <m:sty m:val="p"/>
                          </m:rPr>
                          <m:t>m</m:t>
                        </m:r>
                        <m:r>
                          <m:rPr>
                            <m:sty m:val="p"/>
                          </m:rPr>
                          <m:t>e</m:t>
                        </m:r>
                      </m:e>
                      <m:sub>
                        <m:r>
                          <m:t>i</m:t>
                        </m:r>
                      </m:sub>
                    </m:sSub>
                  </m:num>
                  <m:den>
                    <m:sSub>
                      <m:e>
                        <m:r>
                          <m:rPr>
                            <m:sty m:val="p"/>
                          </m:rPr>
                          <m:t>R</m:t>
                        </m:r>
                        <m:r>
                          <m:rPr>
                            <m:sty m:val="p"/>
                          </m:rPr>
                          <m:t>e</m:t>
                        </m:r>
                        <m:r>
                          <m:rPr>
                            <m:sty m:val="p"/>
                          </m:rPr>
                          <m:t>v</m:t>
                        </m:r>
                        <m:r>
                          <m:rPr>
                            <m:sty m:val="p"/>
                          </m:rPr>
                          <m:t>e</m:t>
                        </m:r>
                        <m:r>
                          <m:rPr>
                            <m:sty m:val="p"/>
                          </m:rPr>
                          <m:t>n</m:t>
                        </m:r>
                        <m:r>
                          <m:rPr>
                            <m:sty m:val="p"/>
                          </m:rPr>
                          <m:t>u</m:t>
                        </m:r>
                        <m:r>
                          <m:rPr>
                            <m:sty m:val="p"/>
                          </m:rPr>
                          <m:t>e</m:t>
                        </m:r>
                      </m:e>
                      <m:sub>
                        <m:r>
                          <m:t>i</m:t>
                        </m:r>
                      </m:sub>
                    </m:sSub>
                  </m:den>
                </m:f>
                <m:r>
                  <m:t> </m:t>
                </m:r>
                <m:r>
                  <m:rPr>
                    <m:sty m:val="p"/>
                  </m:rPr>
                  <m:t>≥</m:t>
                </m:r>
                <m:r>
                  <m:t> </m:t>
                </m:r>
                <m:r>
                  <m:t>0.10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本業の利益÷売上高。10％以上を、堀(価格支配力)のある水準とする。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よって、営業利益率10％以上の企業を「価格支配力＝堀を持つ」と評価する。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関門3　財務は健全か ― 自己資本比率</w:t>
      </w:r>
    </w:p>
    <w:p>
      <w:pPr>
        <w:spacing w:after="40" w:line="281" w:lineRule="auto"/>
        <w:jc w:val="both"/>
        <w:ind w:firstLineChars="100" w:firstLine="210"/>
      </w:pPr>
      <w:r>
        <w:rPr>
          <w:rFonts w:ascii="Times New Roman" w:hAnsi="Times New Roman" w:eastAsia="ＭＳ 明朝"/>
          <w:b w:val="0"/>
          <w:color w:val="000000"/>
          <w:sz w:val="21"/>
        </w:rPr>
        <w:t>負債に頼らず高いＲＯＥを出せることが、真の実力である。借入で見かけのＲＯＥを膨らませた会社は、不況で脆い。QMJの「安全」の考え方に沿い、自己資本比率で財務の健全さを測る(Asness et al., 2019)。</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式（3）自己資本比率 ― 財務の安全(Asness,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q</m:t>
                    </m:r>
                    <m:r>
                      <m:rPr>
                        <m:sty m:val="p"/>
                      </m:rPr>
                      <m:t>R</m:t>
                    </m:r>
                  </m:e>
                  <m:sub>
                    <m:r>
                      <m:t>i</m:t>
                    </m:r>
                  </m:sub>
                </m:sSub>
                <m:r>
                  <m:rPr>
                    <m:sty m:val="p"/>
                  </m:rPr>
                  <m:t>=</m:t>
                </m:r>
                <m:f>
                  <m:fPr>
                    <m:type m:val="bar"/>
                  </m:fPr>
                  <m:num>
                    <m:sSub>
                      <m:e>
                        <m:r>
                          <m:rPr>
                            <m:sty m:val="p"/>
                          </m:rPr>
                          <m:t>E</m:t>
                        </m:r>
                        <m:r>
                          <m:rPr>
                            <m:sty m:val="p"/>
                          </m:rPr>
                          <m:t>q</m:t>
                        </m:r>
                        <m:r>
                          <m:rPr>
                            <m:sty m:val="p"/>
                          </m:rPr>
                          <m:t>u</m:t>
                        </m:r>
                        <m:r>
                          <m:rPr>
                            <m:sty m:val="p"/>
                          </m:rPr>
                          <m:t>i</m:t>
                        </m:r>
                        <m:r>
                          <m:rPr>
                            <m:sty m:val="p"/>
                          </m:rPr>
                          <m:t>t</m:t>
                        </m:r>
                        <m:r>
                          <m:rPr>
                            <m:sty m:val="p"/>
                          </m:rPr>
                          <m:t>y</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r>
                  <m:t> </m:t>
                </m:r>
                <m:r>
                  <m:rPr>
                    <m:sty m:val="p"/>
                  </m:rPr>
                  <m:t>≥</m:t>
                </m:r>
                <m:r>
                  <m:t> </m:t>
                </m:r>
                <m:r>
                  <m:t>0.50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自己資本÷総資産。50％以上を、負債に頼らない健全な財務とする。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よって、自己資本比率50％以上の企業を「財務が健全」と評価する。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関門4　利益は予測可能か ― 直近3期無赤字</w:t>
      </w:r>
    </w:p>
    <w:p>
      <w:pPr>
        <w:spacing w:after="40" w:line="281" w:lineRule="auto"/>
        <w:jc w:val="both"/>
        <w:ind w:firstLineChars="100" w:firstLine="210"/>
      </w:pPr>
      <w:r>
        <w:rPr>
          <w:rFonts w:ascii="Times New Roman" w:hAnsi="Times New Roman" w:eastAsia="ＭＳ 明朝"/>
          <w:b w:val="0"/>
          <w:color w:val="000000"/>
          <w:sz w:val="21"/>
        </w:rPr>
        <w:t>堀のある企業は、不況でも赤字に沈みにくい。逆に、直近数年に赤字を出す会社は利益が読みにくく、長期保有の前提が崩れる。直近3期に営業・純・営業キャッシュフローのいずれも赤字がないことを、予測可能性の条件と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式（4）無赤字 ― 予測可能性(Asness,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L</m:t>
                    </m:r>
                    <m:r>
                      <m:rPr>
                        <m:sty m:val="p"/>
                      </m:rPr>
                      <m:t>o</m:t>
                    </m:r>
                    <m:r>
                      <m:rPr>
                        <m:sty m:val="p"/>
                      </m:rPr>
                      <m:t>s</m:t>
                    </m:r>
                    <m:r>
                      <m:rPr>
                        <m:sty m:val="p"/>
                      </m:rPr>
                      <m:t>s</m:t>
                    </m:r>
                    <m:r>
                      <m:rPr>
                        <m:sty m:val="p"/>
                      </m:rPr>
                      <m:t>Y</m:t>
                    </m:r>
                    <m:r>
                      <m:rPr>
                        <m:sty m:val="p"/>
                      </m:rPr>
                      <m:t>e</m:t>
                    </m:r>
                    <m:r>
                      <m:rPr>
                        <m:sty m:val="p"/>
                      </m:rPr>
                      <m:t>a</m:t>
                    </m:r>
                    <m:r>
                      <m:rPr>
                        <m:sty m:val="p"/>
                      </m:rPr>
                      <m:t>r</m:t>
                    </m:r>
                    <m:r>
                      <m:rPr>
                        <m:sty m:val="p"/>
                      </m:rPr>
                      <m:t>s</m:t>
                    </m:r>
                  </m:e>
                  <m:sub>
                    <m:r>
                      <m:t>i</m:t>
                    </m:r>
                  </m:sub>
                  <m:sup>
                    <m:r>
                      <m:t>3</m:t>
                    </m:r>
                    <m:r>
                      <m:rPr>
                        <m:sty m:val="p"/>
                      </m:rPr>
                      <m:t>y</m:t>
                    </m:r>
                    <m:r>
                      <m:rPr>
                        <m:sty m:val="p"/>
                      </m:rPr>
                      <m:t>r</m:t>
                    </m:r>
                  </m:sup>
                </m:sSubSup>
                <m:r>
                  <m:rPr>
                    <m:sty m:val="p"/>
                  </m:rPr>
                  <m:t>=</m:t>
                </m:r>
                <m:r>
                  <m:t>0</m:t>
                </m:r>
                <m:r>
                  <m:t> </m:t>
                </m:r>
                <m:r>
                  <m:rPr>
                    <m:sty m:val="p"/>
                  </m:rPr>
                  <m:t>(</m:t>
                </m:r>
                <m:r>
                  <m:rPr>
                    <m:nor/>
                    <m:sty m:val="p"/>
                  </m:rPr>
                  <m:t>operating, net, operating-CF</m:t>
                </m:r>
                <m:r>
                  <m:rPr>
                    <m:sty m:val="p"/>
                  </m:rPr>
                  <m:t>)</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直近3期の営業損失・純損失・営業CF赤字の年数がいずれもゼロの企業だけを通す。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よって、直近3期に一度も赤字のない企業を「利益が予測可能」と評価する。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関門5　利益に現金の裏づけがあるか ― 営業ＣＦ</w:t>
      </w:r>
    </w:p>
    <w:p>
      <w:pPr>
        <w:spacing w:after="40" w:line="281" w:lineRule="auto"/>
        <w:jc w:val="both"/>
        <w:ind w:firstLineChars="100" w:firstLine="210"/>
      </w:pPr>
      <w:r>
        <w:rPr>
          <w:rFonts w:ascii="Times New Roman" w:hAnsi="Times New Roman" w:eastAsia="ＭＳ 明朝"/>
          <w:b w:val="0"/>
          <w:color w:val="000000"/>
          <w:sz w:val="21"/>
        </w:rPr>
        <w:t>会計上の利益は見積りや会計方針で膨らませる余地がある。本業で実際に現金を生んでいるか(営業キャッシュフローがプラスか)を、利益の質の条件とする。帳簿利益と現金の乖離が大きい会社は後で失速しやすい(Sloan, 1996)。</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式（5）営業キャッシュフロー ― 利益の質(Sloan, 1996)</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C</m:t>
                    </m:r>
                    <m:r>
                      <m:rPr>
                        <m:sty m:val="p"/>
                      </m:rPr>
                      <m:t>F</m:t>
                    </m:r>
                    <m:r>
                      <m:rPr>
                        <m:sty m:val="p"/>
                      </m:rPr>
                      <m:t>O</m:t>
                    </m:r>
                  </m:e>
                  <m:sub>
                    <m:r>
                      <m:t>i</m:t>
                    </m:r>
                  </m:sub>
                </m:sSub>
                <m:r>
                  <m:t> </m:t>
                </m:r>
                <m:r>
                  <m:rPr>
                    <m:sty m:val="p"/>
                  </m:rPr>
                  <m:t>&gt;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ＣＦＯ＝営業キャッシュフロー(本業の現金収入)。プラスの企業だけを通す。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よって、本業で現金を生んでいる企業を「利益が本物」と評価する。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関門6　事業は伸びているか ― 増収かつ増益</w:t>
      </w:r>
    </w:p>
    <w:p>
      <w:pPr>
        <w:spacing w:after="40" w:line="281" w:lineRule="auto"/>
        <w:jc w:val="both"/>
        <w:ind w:firstLineChars="100" w:firstLine="210"/>
      </w:pPr>
      <w:r>
        <w:rPr>
          <w:rFonts w:ascii="Times New Roman" w:hAnsi="Times New Roman" w:eastAsia="ＭＳ 明朝"/>
          <w:b w:val="0"/>
          <w:color w:val="000000"/>
          <w:sz w:val="21"/>
        </w:rPr>
        <w:t>堀は成長とともに広がり、縮む事業では狭まる。減収・減益の会社は、堀が痩せている可能性がある。前期比で売上と営業利益がともに減っていないこと(増収かつ増益)を、非縮小の条件とする(QMJ の成長性)。</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式（6）増収かつ増益 ― 非縮小(Asness, Frazzini and Pedersen, 2019)</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g</m:t>
                    </m:r>
                  </m:e>
                  <m:sub>
                    <m:r>
                      <m:t>i</m:t>
                    </m:r>
                  </m:sub>
                  <m:sup>
                    <m:r>
                      <m:rPr>
                        <m:sty m:val="p"/>
                      </m:rPr>
                      <m:t>R</m:t>
                    </m:r>
                    <m:r>
                      <m:rPr>
                        <m:sty m:val="p"/>
                      </m:rPr>
                      <m:t>e</m:t>
                    </m:r>
                    <m:r>
                      <m:rPr>
                        <m:sty m:val="p"/>
                      </m:rPr>
                      <m:t>v</m:t>
                    </m:r>
                  </m:sup>
                </m:sSubSup>
                <m:r>
                  <m:t> </m:t>
                </m:r>
                <m:r>
                  <m:rPr>
                    <m:sty m:val="p"/>
                  </m:rPr>
                  <m:t>≥</m:t>
                </m:r>
                <m:r>
                  <m:t> </m:t>
                </m:r>
                <m:r>
                  <m:t>0</m:t>
                </m:r>
                <m:r>
                  <m:t> </m:t>
                </m:r>
                <m:r>
                  <m:rPr>
                    <m:sty m:val="p"/>
                  </m:rPr>
                  <m:t>∧</m:t>
                </m:r>
                <m:r>
                  <m:t> </m:t>
                </m:r>
                <m:sSubSup>
                  <m:e>
                    <m:r>
                      <m:t>g</m:t>
                    </m:r>
                  </m:e>
                  <m:sub>
                    <m:r>
                      <m:t>i</m:t>
                    </m:r>
                  </m:sub>
                  <m:sup>
                    <m:r>
                      <m:rPr>
                        <m:sty m:val="p"/>
                      </m:rPr>
                      <m:t>O</m:t>
                    </m:r>
                    <m:r>
                      <m:rPr>
                        <m:sty m:val="p"/>
                      </m:rPr>
                      <m:t>I</m:t>
                    </m:r>
                  </m:sup>
                </m:sSubSup>
                <m:r>
                  <m:t> </m:t>
                </m:r>
                <m:r>
                  <m:rPr>
                    <m:sty m:val="p"/>
                  </m:rPr>
                  <m:t>≥</m:t>
                </m:r>
                <m:r>
                  <m:t> </m:t>
                </m:r>
                <m:r>
                  <m:t>0</m:t>
                </m:r>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ｇ＝前期比の伸び率。売上(Rev)と営業利益(OI)がともに前期を下回らない企業を通す。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よって、増収かつ増益の企業を「事業が縮小していない」と評価する。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関門7　実際に買えるか ― 売買のしやすさ</w:t>
      </w:r>
    </w:p>
    <w:p>
      <w:pPr>
        <w:spacing w:after="40" w:line="281" w:lineRule="auto"/>
        <w:jc w:val="both"/>
        <w:ind w:firstLineChars="100" w:firstLine="210"/>
      </w:pPr>
      <w:r>
        <w:rPr>
          <w:rFonts w:ascii="Times New Roman" w:hAnsi="Times New Roman" w:eastAsia="ＭＳ 明朝"/>
          <w:b w:val="0"/>
          <w:color w:val="000000"/>
          <w:sz w:val="21"/>
        </w:rPr>
        <w:t>売買が少ない株は、買うだけで値段が動いてしまい、計画どおりの投資ができない。流動性が価格に影響することはAmihud (2002)が実証しており、その非流動性指標も日々の売買代金を基礎とする。私たちは同じ基礎量を、実務で標準的な「一定額以上の売買代金があるか」という関門の形で用いた。</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式（7）60日平均売買代金 ― 売買のしやすさ(Amihud, 2002)</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A</m:t>
                    </m:r>
                    <m:r>
                      <m:rPr>
                        <m:sty m:val="p"/>
                      </m:rPr>
                      <m:t>D</m:t>
                    </m:r>
                    <m:r>
                      <m:rPr>
                        <m:sty m:val="p"/>
                      </m:rPr>
                      <m:t>V</m:t>
                    </m:r>
                  </m:e>
                  <m:sub>
                    <m:r>
                      <m:t>i</m:t>
                    </m:r>
                  </m:sub>
                  <m:sup>
                    <m:r>
                      <m:t>60</m:t>
                    </m:r>
                  </m:sup>
                </m:sSubSup>
                <m:r>
                  <m:rPr>
                    <m:sty m:val="p"/>
                  </m:rPr>
                  <m:t>=</m:t>
                </m:r>
                <m:f>
                  <m:fPr>
                    <m:type m:val="bar"/>
                  </m:fPr>
                  <m:num>
                    <m:r>
                      <m:t>1</m:t>
                    </m:r>
                  </m:num>
                  <m:den>
                    <m:r>
                      <m:t>60</m:t>
                    </m:r>
                  </m:den>
                </m:f>
                <m:nary>
                  <m:naryPr>
                    <m:chr m:val="∑"/>
                    <m:limLoc m:val="undOvr"/>
                    <m:subHide m:val="off"/>
                    <m:supHide m:val="off"/>
                  </m:naryPr>
                  <m:sub>
                    <m:r>
                      <m:t>t</m:t>
                    </m:r>
                    <m:r>
                      <m:rPr>
                        <m:sty m:val="p"/>
                      </m:rPr>
                      <m:t>=</m:t>
                    </m:r>
                    <m:r>
                      <m:t>1</m:t>
                    </m:r>
                  </m:sub>
                  <m:sup>
                    <m:r>
                      <m:t>60</m:t>
                    </m:r>
                  </m:sup>
                  <m:e>
                    <m:sSub>
                      <m:e>
                        <m:r>
                          <m:t>P</m:t>
                        </m:r>
                      </m:e>
                      <m:sub>
                        <m:r>
                          <m:t>i</m:t>
                        </m:r>
                        <m:r>
                          <m:rPr>
                            <m:sty m:val="p"/>
                          </m:rPr>
                          <m:t>,</m:t>
                        </m:r>
                        <m:r>
                          <m:t>t</m:t>
                        </m:r>
                      </m:sub>
                    </m:sSub>
                  </m:e>
                </m:nary>
                <m:r>
                  <m:t> </m:t>
                </m:r>
                <m:sSub>
                  <m:e>
                    <m:r>
                      <m:t>V</m:t>
                    </m:r>
                  </m:e>
                  <m:sub>
                    <m:r>
                      <m:t>i</m:t>
                    </m:r>
                    <m:r>
                      <m:rPr>
                        <m:sty m:val="p"/>
                      </m:rPr>
                      <m:t>,</m:t>
                    </m:r>
                    <m:r>
                      <m:t>t</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Ｐ＝日々の株価　Ｖ＝日々の出来高(売買された株数)。直近60営業日の売買代金の平均。1日あたり1,000万円を基準とする。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1日平均およそ1,000万円以上の売買がある企業を「実際に買える」と評価する。この段階では300万〜1,000万円の会社も「要確認」の印をつけて通過させ、Top5選定では1,000万円以上を明確に要求する(実装どおりに開示)。</w:t>
      </w:r>
    </w:p>
    <w:p>
      <w:pPr>
        <w:spacing w:after="80" w:line="281" w:lineRule="auto"/>
        <w:jc w:val="both"/>
        <w:ind w:firstLineChars="100" w:firstLine="210"/>
      </w:pPr>
      <w:r>
        <w:rPr>
          <w:rFonts w:ascii="Times New Roman" w:hAnsi="Times New Roman" w:eastAsia="ＭＳ 明朝"/>
          <w:b w:val="0"/>
          <w:color w:val="000000"/>
          <w:sz w:val="21"/>
        </w:rPr>
        <w:t>式が実際にどう働くかを、通過企業の一社・レーザーテック(6920)で追ってみる。半導体マスク検査で世界的地位をもつ、完成した堀の典型例である。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品質関門</w:t>
            </w:r>
          </w:p>
        </w:tc>
        <w:tc>
          <w:tcPr>
            <w:tcW w:type="dxa" w:w="2494"/>
            <w:shd w:val="clear" w:color="auto" w:fill="16324F"/>
          </w:tcPr>
          <w:p>
            <w:pPr>
              <w:spacing w:after="0"/>
              <w:ind w:firstLine="0" w:firstLineChars="0"/>
            </w:pPr>
            <w:r>
              <w:rPr>
                <w:rFonts w:ascii="Arial" w:hAnsi="Arial" w:eastAsia="ＭＳ ゴシック"/>
                <w:b/>
                <w:color w:val="FFFFFF"/>
                <w:sz w:val="20"/>
              </w:rPr>
              <w:t>レーザーテックの値</w:t>
            </w:r>
          </w:p>
        </w:tc>
        <w:tc>
          <w:tcPr>
            <w:tcW w:type="dxa" w:w="2268"/>
            <w:shd w:val="clear" w:color="auto" w:fill="16324F"/>
          </w:tcPr>
          <w:p>
            <w:pPr>
              <w:spacing w:after="0"/>
              <w:ind w:firstLine="0" w:firstLineChars="0"/>
            </w:pPr>
            <w:r>
              <w:rPr>
                <w:rFonts w:ascii="Arial" w:hAnsi="Arial" w:eastAsia="ＭＳ ゴシック"/>
                <w:b/>
                <w:color w:val="FFFFFF"/>
                <w:sz w:val="20"/>
              </w:rPr>
              <w:t>判定の目安</w:t>
            </w:r>
          </w:p>
        </w:tc>
        <w:tc>
          <w:tcPr>
            <w:tcW w:type="dxa" w:w="1134"/>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高収益 ＲＯＥ(式1)</w:t>
            </w:r>
          </w:p>
        </w:tc>
        <w:tc>
          <w:tcPr>
            <w:tcW w:type="dxa" w:w="2494"/>
          </w:tcPr>
          <w:p>
            <w:pPr>
              <w:spacing w:after="0"/>
              <w:ind w:firstLine="0" w:firstLineChars="0"/>
              <w:jc w:val="left"/>
            </w:pPr>
            <w:r>
              <w:rPr>
                <w:rFonts w:ascii="Times New Roman" w:hAnsi="Times New Roman" w:eastAsia="ＭＳ 明朝"/>
                <w:b w:val="0"/>
                <w:color w:val="000000"/>
                <w:sz w:val="20"/>
              </w:rPr>
              <w:t>40%</w:t>
            </w:r>
          </w:p>
        </w:tc>
        <w:tc>
          <w:tcPr>
            <w:tcW w:type="dxa" w:w="2268"/>
          </w:tcPr>
          <w:p>
            <w:pPr>
              <w:spacing w:after="0"/>
              <w:ind w:firstLine="0" w:firstLineChars="0"/>
              <w:jc w:val="left"/>
            </w:pPr>
            <w:r>
              <w:rPr>
                <w:rFonts w:ascii="Times New Roman" w:hAnsi="Times New Roman" w:eastAsia="ＭＳ 明朝"/>
                <w:b w:val="0"/>
                <w:color w:val="000000"/>
                <w:sz w:val="20"/>
              </w:rPr>
              <w:t>15％以上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堀・価格支配力 営業利益率(式2)</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49%</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10％以上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財務健全 自己資本比率(式3)</w:t>
            </w:r>
          </w:p>
        </w:tc>
        <w:tc>
          <w:tcPr>
            <w:tcW w:type="dxa" w:w="2494"/>
          </w:tcPr>
          <w:p>
            <w:pPr>
              <w:spacing w:after="0"/>
              <w:ind w:firstLine="0" w:firstLineChars="0"/>
              <w:jc w:val="left"/>
            </w:pPr>
            <w:r>
              <w:rPr>
                <w:rFonts w:ascii="Times New Roman" w:hAnsi="Times New Roman" w:eastAsia="ＭＳ 明朝"/>
                <w:b w:val="0"/>
                <w:color w:val="000000"/>
                <w:sz w:val="20"/>
              </w:rPr>
              <w:t>64%</w:t>
            </w:r>
          </w:p>
        </w:tc>
        <w:tc>
          <w:tcPr>
            <w:tcW w:type="dxa" w:w="2268"/>
          </w:tcPr>
          <w:p>
            <w:pPr>
              <w:spacing w:after="0"/>
              <w:ind w:firstLine="0" w:firstLineChars="0"/>
              <w:jc w:val="left"/>
            </w:pPr>
            <w:r>
              <w:rPr>
                <w:rFonts w:ascii="Times New Roman" w:hAnsi="Times New Roman" w:eastAsia="ＭＳ 明朝"/>
                <w:b w:val="0"/>
                <w:color w:val="000000"/>
                <w:sz w:val="20"/>
              </w:rPr>
              <w:t>50％以上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予測可能性 直近3期無赤字(式4)</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営業・純・営業CFとも赤字なし</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3期連続で赤字ゼロ</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現金創出 営業ＣＦ(式5)</w:t>
            </w:r>
          </w:p>
        </w:tc>
        <w:tc>
          <w:tcPr>
            <w:tcW w:type="dxa" w:w="2494"/>
          </w:tcPr>
          <w:p>
            <w:pPr>
              <w:spacing w:after="0"/>
              <w:ind w:firstLine="0" w:firstLineChars="0"/>
              <w:jc w:val="left"/>
            </w:pPr>
            <w:r>
              <w:rPr>
                <w:rFonts w:ascii="Times New Roman" w:hAnsi="Times New Roman" w:eastAsia="ＭＳ 明朝"/>
                <w:b w:val="0"/>
                <w:color w:val="000000"/>
                <w:sz w:val="20"/>
              </w:rPr>
              <w:t>本業の現金収入プラス</w:t>
            </w:r>
          </w:p>
        </w:tc>
        <w:tc>
          <w:tcPr>
            <w:tcW w:type="dxa" w:w="2268"/>
          </w:tcPr>
          <w:p>
            <w:pPr>
              <w:spacing w:after="0"/>
              <w:ind w:firstLine="0" w:firstLineChars="0"/>
              <w:jc w:val="left"/>
            </w:pPr>
            <w:r>
              <w:rPr>
                <w:rFonts w:ascii="Times New Roman" w:hAnsi="Times New Roman" w:eastAsia="ＭＳ 明朝"/>
                <w:b w:val="0"/>
                <w:color w:val="000000"/>
                <w:sz w:val="20"/>
              </w:rPr>
              <w:t>営業ＣＦ＞0</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非縮小 増収増益(式6)</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増収＋28%・増益＋40%</w:t>
            </w:r>
          </w:p>
        </w:tc>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ともに0％以上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実際に買えるか 売買代金(式7)</w:t>
            </w:r>
          </w:p>
        </w:tc>
        <w:tc>
          <w:tcPr>
            <w:tcW w:type="dxa" w:w="2494"/>
          </w:tcPr>
          <w:p>
            <w:pPr>
              <w:spacing w:after="0"/>
              <w:ind w:firstLine="0" w:firstLineChars="0"/>
              <w:jc w:val="left"/>
            </w:pPr>
            <w:r>
              <w:rPr>
                <w:rFonts w:ascii="Times New Roman" w:hAnsi="Times New Roman" w:eastAsia="ＭＳ 明朝"/>
                <w:b w:val="0"/>
                <w:color w:val="000000"/>
                <w:sz w:val="20"/>
              </w:rPr>
              <w:t>1日平均 1700.7億円</w:t>
            </w:r>
          </w:p>
        </w:tc>
        <w:tc>
          <w:tcPr>
            <w:tcW w:type="dxa" w:w="2268"/>
          </w:tcPr>
          <w:p>
            <w:pPr>
              <w:spacing w:after="0"/>
              <w:ind w:firstLine="0" w:firstLineChars="0"/>
              <w:jc w:val="left"/>
            </w:pPr>
            <w:r>
              <w:rPr>
                <w:rFonts w:ascii="Times New Roman" w:hAnsi="Times New Roman" w:eastAsia="ＭＳ 明朝"/>
                <w:b w:val="0"/>
                <w:color w:val="000000"/>
                <w:sz w:val="20"/>
              </w:rPr>
              <w:t>約0.1億円以上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図表Ⅱ-2　通し数値例：レーザーテック(6920)の品質関門。出所：選定の正典データ(data_real_v7)より筆者作成。</w:t>
      </w:r>
    </w:p>
    <w:p>
      <w:pPr>
        <w:spacing w:after="80" w:line="281" w:lineRule="auto"/>
        <w:jc w:val="both"/>
        <w:ind w:firstLineChars="100" w:firstLine="210"/>
      </w:pPr>
      <w:r>
        <w:rPr>
          <w:rFonts w:ascii="Times New Roman" w:hAnsi="Times New Roman" w:eastAsia="ＭＳ 明朝"/>
          <w:b w:val="0"/>
          <w:color w:val="000000"/>
          <w:sz w:val="21"/>
        </w:rPr>
        <w:t>守の品質関門を通過した166社は、破の出発点であり、後の比較の基準線でもある。この中から、価格ランクが可能な20社を、割安×優良の複合順位(収益力ＲＯＥと益回りの順位和＝Greenblattの考え方)で並べ、同一業種は原則2社までとして上位5社を固定した。選ばれたのは、3092 株式会社ＺＯＺＯ(小売業)、4716 日本オラクル株式会社(情報・通信業)、7014 株式会社名村造船所(Transportation Equipment)、8136 株式会社サンリオ(卸売業)、6920 レーザーテック株式会社(電気機器)の5社である。以降、この5社は一度も入れ替えない。</w:t>
      </w:r>
    </w:p>
    <w:p>
      <w:pPr>
        <w:keepNext/>
        <w:spacing w:before="100" w:after="40" w:line="298" w:lineRule="auto"/>
        <w:ind w:firstLine="0" w:firstLineChars="0"/>
      </w:pPr>
      <w:r>
        <w:rPr>
          <w:rFonts w:ascii="Arial" w:hAnsi="Arial" w:eastAsia="ＭＳ ゴシック"/>
          <w:b/>
          <w:color w:val="16324F"/>
          <w:sz w:val="21"/>
        </w:rPr>
        <w:t>図表Ⅱ-3　守の絞り込み ― 適格1,819社から完成した堀Top5へ</w:t>
      </w:r>
    </w:p>
    <w:p>
      <w:pPr>
        <w:jc w:val="center"/>
        <w:keepNext/>
        <w:ind w:firstLine="0" w:firstLineChars="0"/>
      </w:pPr>
      <w:r>
        <w:drawing>
          <wp:inline xmlns:a="http://schemas.openxmlformats.org/drawingml/2006/main" xmlns:pic="http://schemas.openxmlformats.org/drawingml/2006/picture">
            <wp:extent cx="5328000" cy="3171429"/>
            <wp:docPr id="3" name="Picture 3"/>
            <wp:cNvGraphicFramePr>
              <a:graphicFrameLocks noChangeAspect="1"/>
            </wp:cNvGraphicFramePr>
            <a:graphic>
              <a:graphicData uri="http://schemas.openxmlformats.org/drawingml/2006/picture">
                <pic:pic>
                  <pic:nvPicPr>
                    <pic:cNvPr id="0" name="fig2_shu_v7.png"/>
                    <pic:cNvPicPr/>
                  </pic:nvPicPr>
                  <pic:blipFill>
                    <a:blip r:embed="rId12"/>
                    <a:stretch>
                      <a:fillRect/>
                    </a:stretch>
                  </pic:blipFill>
                  <pic:spPr>
                    <a:xfrm>
                      <a:off x="0" y="0"/>
                      <a:ext cx="5328000" cy="3171429"/>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注：棒の幅と色の濃さが残った会社の数を表す(新バフェット品質ゲートの累積)。出所：funnel_exclusion_v7.json。</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第２スクリーニング　</w:t>
      </w:r>
      <w:r>
        <w:rPr>
          <w:rFonts w:ascii="Arial" w:hAnsi="Arial" w:eastAsia="ＭＳ ゴシック"/>
          <w:b/>
          <w:color w:val="16324F"/>
          <w:sz w:val="23"/>
        </w:rPr>
        <w:t xml:space="preserve">　破 ― 型を破り、割安×変革の会社(変わる堀)を選ぶ</w:t>
      </w:r>
    </w:p>
    <w:p>
      <w:pPr>
        <w:spacing w:after="80" w:line="281" w:lineRule="auto"/>
        <w:jc w:val="both"/>
        <w:ind w:firstLineChars="100" w:firstLine="210"/>
      </w:pPr>
      <w:r>
        <w:rPr>
          <w:rFonts w:ascii="Times New Roman" w:hAnsi="Times New Roman" w:eastAsia="ＭＳ 明朝"/>
          <w:b w:val="0"/>
          <w:color w:val="000000"/>
          <w:sz w:val="21"/>
        </w:rPr>
        <w:t>前節の守では、新バフェットの品質基準で完成した堀の5社(基準線)を決めた。本節の破では、その品質一辺倒の型を一度『破り』、いまは割安に放置されているが、東証の資本効率改革や脱炭素の流れでこれから評価が変わる会社(変わる堀)を探す。守の高い品質関門だけでは、割安×変革の候補が抜け落ちてしまうからだ。ここで候補を評価するために、指標を公平に比べる順位化(式8)と、変革の度合いを束ねる合成点(式9)を用意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手順1　単位の違う7指標を、どう公平に比べるか ― 順位化</w:t>
      </w:r>
    </w:p>
    <w:p>
      <w:pPr>
        <w:spacing w:after="40" w:line="281" w:lineRule="auto"/>
        <w:jc w:val="both"/>
        <w:ind w:firstLineChars="100" w:firstLine="210"/>
      </w:pPr>
      <w:r>
        <w:rPr>
          <w:rFonts w:ascii="Times New Roman" w:hAnsi="Times New Roman" w:eastAsia="ＭＳ 明朝"/>
          <w:b w:val="0"/>
          <w:color w:val="000000"/>
          <w:sz w:val="21"/>
        </w:rPr>
        <w:t>守で使った7指標(割安2つ・収益力・6項目・利益の質・危険よけ・売買のしやすさ)は単位がばらばらで、そのままでは足し合わせられない。そこで各指標を「市場の中で下から何番目か」という順位の割合(0〜1)に置き換える。これは資産価格研究がＢ／Ｍなどの指標で銘柄を上位30％・中位40％・下位30％のように順位で区切って比べる慣行(Fama and French, 1993 ほか)を、区切りではなく連続的な順位点として使うものである。守の各関門(上位30％・上位50％・中央値以上)も同じ順位の物差しの上にあり、破は新しい物差しを持ち込んでいない。</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式（8）順位化 ― 市場の中の相対的な位置に置き換える(Fama and French, 1993)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r>
                      <m:rPr>
                        <m:sty m:val="p"/>
                      </m:rPr>
                      <m:t>,</m:t>
                    </m:r>
                    <m:r>
                      <m:t>k</m:t>
                    </m:r>
                  </m:sub>
                </m:sSub>
                <m:r>
                  <m:rPr>
                    <m:sty m:val="p"/>
                  </m:rPr>
                  <m:t>=</m:t>
                </m:r>
                <m:f>
                  <m:fPr>
                    <m:type m:val="bar"/>
                  </m:fPr>
                  <m:num>
                    <m:sSub>
                      <m:e>
                        <m:r>
                          <m:rPr>
                            <m:sty m:val="p"/>
                          </m:rPr>
                          <m:t>rank</m:t>
                        </m:r>
                      </m:e>
                      <m:sub>
                        <m:r>
                          <m:t>k</m:t>
                        </m:r>
                      </m:sub>
                    </m:sSub>
                    <m:r>
                      <m:rPr>
                        <m:sty m:val="p"/>
                      </m:rPr>
                      <m:t>(</m:t>
                    </m:r>
                    <m:sSub>
                      <m:e>
                        <m:r>
                          <m:t>x</m:t>
                        </m:r>
                      </m:e>
                      <m:sub>
                        <m:r>
                          <m:t>i</m:t>
                        </m:r>
                        <m:r>
                          <m:rPr>
                            <m:sty m:val="p"/>
                          </m:rPr>
                          <m:t>,</m:t>
                        </m:r>
                        <m:r>
                          <m:t>k</m:t>
                        </m:r>
                      </m:sub>
                    </m:sSub>
                    <m:r>
                      <m:rPr>
                        <m:sty m:val="p"/>
                      </m:rPr>
                      <m:t>)</m:t>
                    </m:r>
                  </m:num>
                  <m:den>
                    <m:r>
                      <m:t>N</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ｘ＝指標ｋの値　rank＝市場の中での順位(良い方が大きい)　Ｎ＝算出できた会社数。0〜1の点数になり、単位の違う指標同士を公平に比べられる。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よって、7指標すべてを0〜1の順位点に変換して比べる。式の定義は一切変えない。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手順2　順位点をどう束ねるか ― 重みつき合成点と設定の探索</w:t>
      </w:r>
    </w:p>
    <w:p>
      <w:pPr>
        <w:spacing w:after="40" w:line="281" w:lineRule="auto"/>
        <w:jc w:val="both"/>
        <w:ind w:firstLineChars="100" w:firstLine="210"/>
      </w:pPr>
      <w:r>
        <w:rPr>
          <w:rFonts w:ascii="Times New Roman" w:hAnsi="Times New Roman" w:eastAsia="ＭＳ 明朝"/>
          <w:b w:val="0"/>
          <w:color w:val="000000"/>
          <w:sz w:val="21"/>
        </w:rPr>
        <w:t>各順位点に重みを付けて足し合わせ、危険な兆候(データ欠け・極端に小さい会社など)には減点を与える。複数のシグナルを一つの合成点に束ねる形は、9項目の合計点で勝ち組と負け組を分けたPiotroski (2000)のＦスコアと同型であり、私たちはその「合計」を「重みつき合計−減点」に一般化した(式9)。重みは過去リターンへの当てはめでは決めない――どの重みなら過去の成績が良かったか、という決め方は後出しの罠だからである。『安さ』より『改善の実行』を重くする、という変革の論理から概念的に設計し、決めた後に順位の安定性を監査した(重みの全ベクトルと監査は技術補遺§C)。</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式（9）合成点 ― 候補づくりのための重みつき合計(Piotroski, 2000)</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7</m:t>
                    </m:r>
                  </m:sup>
                  <m:e>
                    <m:sSub>
                      <m:e>
                        <m:r>
                          <m:t>w</m:t>
                        </m:r>
                      </m:e>
                      <m:sub>
                        <m:r>
                          <m:t>k</m:t>
                        </m:r>
                      </m:sub>
                    </m:sSub>
                  </m:e>
                </m:nary>
                <m:r>
                  <m:t> </m:t>
                </m:r>
                <m:sSub>
                  <m:e>
                    <m:r>
                      <m:t>r</m:t>
                    </m:r>
                  </m:e>
                  <m:sub>
                    <m:r>
                      <m:t>i</m:t>
                    </m:r>
                    <m:r>
                      <m:rPr>
                        <m:sty m:val="p"/>
                      </m:rPr>
                      <m:t>,</m:t>
                    </m:r>
                    <m:r>
                      <m:t>k</m:t>
                    </m:r>
                  </m:sub>
                </m:sSub>
                <m:r>
                  <m:rPr>
                    <m:sty m:val="p"/>
                  </m:rPr>
                  <m:t>−</m:t>
                </m:r>
                <m:sSub>
                  <m:e>
                    <m:r>
                      <m:t>P</m:t>
                    </m:r>
                  </m:e>
                  <m:sub>
                    <m:r>
                      <m:t>i</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ｗ＝指標ｋの重み(探索で決定し、全設定を記録)　ｒ＝順位点(式8)　Ｐ＝減点(異常値・データ欠け・超小型株・一時的利益)。候補を広げるための道具であり、最終20社の選定には使わない。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よって、合成点の上位から候補リストを作る。ただし、この点数で最終選定はしない。</w:t>
      </w:r>
    </w:p>
    <w:p>
      <w:pPr>
        <w:spacing w:after="80" w:line="281" w:lineRule="auto"/>
        <w:jc w:val="both"/>
        <w:ind w:firstLineChars="100" w:firstLine="210"/>
      </w:pPr>
      <w:r>
        <w:rPr>
          <w:rFonts w:ascii="Times New Roman" w:hAnsi="Times New Roman" w:eastAsia="ＭＳ 明朝"/>
          <w:b w:val="0"/>
          <w:color w:val="000000"/>
          <w:sz w:val="21"/>
        </w:rPr>
        <w:t>重みについて、一つ正直に書き残す。重みは過去リターンへの当てはめでは決めていない――どの重みなら過去の成績が良かったか、という決め方は後出しの罠だからである。『安さ』より『改善の実行』を重くする、という変革の論理から概念的に設計し、決めた後に各重みを±20％動かしても選ばれる顔ぶれが変わらないことを監査した(全重みと監査結果は技術補遺§C)。重みの大きさを予測力と読んではいけ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手順3　順位の付け方を変えても結果は同じか ― 頑健さの監査</w:t>
      </w:r>
    </w:p>
    <w:p>
      <w:pPr>
        <w:spacing w:after="40" w:line="281" w:lineRule="auto"/>
        <w:jc w:val="both"/>
        <w:ind w:firstLineChars="100" w:firstLine="210"/>
      </w:pPr>
      <w:r>
        <w:rPr>
          <w:rFonts w:ascii="Times New Roman" w:hAnsi="Times New Roman" w:eastAsia="ＭＳ 明朝"/>
          <w:b w:val="0"/>
          <w:color w:val="000000"/>
          <w:sz w:val="21"/>
        </w:rPr>
        <w:t>順位化のやり方は一つではない。市場全体での順位・業種の中での順位・外れ値に強い標準化など複数のやり方で変わる堀の順位を付け直し、選ばれる顔ぶれが入れ替わらないかを確かめた。付け方に敏感な会社には確認フラグを付け、離の個別確認へ引き継いだ(詳細は技術補遺§C・§E)。</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587"/>
            <w:shd w:val="clear" w:color="auto" w:fill="16324F"/>
          </w:tcPr>
          <w:p>
            <w:pPr>
              <w:spacing w:after="0"/>
              <w:ind w:firstLine="0" w:firstLineChars="0"/>
            </w:pPr>
            <w:r>
              <w:rPr>
                <w:rFonts w:ascii="Arial" w:hAnsi="Arial" w:eastAsia="ＭＳ ゴシック"/>
                <w:b/>
                <w:color w:val="FFFFFF"/>
                <w:sz w:val="20"/>
              </w:rPr>
              <w:t>破の観点</w:t>
            </w:r>
          </w:p>
        </w:tc>
        <w:tc>
          <w:tcPr>
            <w:tcW w:type="dxa" w:w="4989"/>
            <w:shd w:val="clear" w:color="auto" w:fill="16324F"/>
          </w:tcPr>
          <w:p>
            <w:pPr>
              <w:spacing w:after="0"/>
              <w:ind w:firstLine="0" w:firstLineChars="0"/>
            </w:pPr>
            <w:r>
              <w:rPr>
                <w:rFonts w:ascii="Arial" w:hAnsi="Arial" w:eastAsia="ＭＳ ゴシック"/>
                <w:b/>
                <w:color w:val="FFFFFF"/>
                <w:sz w:val="20"/>
              </w:rPr>
              <w:t>内容</w:t>
            </w:r>
          </w:p>
        </w:tc>
        <w:tc>
          <w:tcPr>
            <w:tcW w:type="dxa" w:w="3061"/>
            <w:shd w:val="clear" w:color="auto" w:fill="16324F"/>
          </w:tcPr>
          <w:p>
            <w:pPr>
              <w:spacing w:after="0"/>
              <w:ind w:firstLine="0" w:firstLineChars="0"/>
            </w:pPr>
            <w:r>
              <w:rPr>
                <w:rFonts w:ascii="Arial" w:hAnsi="Arial" w:eastAsia="ＭＳ ゴシック"/>
                <w:b/>
                <w:color w:val="FFFFFF"/>
                <w:sz w:val="20"/>
              </w:rPr>
              <w:t>結果</w:t>
            </w:r>
          </w:p>
        </w:tc>
      </w:tr>
      <w:tr>
        <w:trPr>
          <w:cantSplit/>
        </w:trPr>
        <w:tc>
          <w:tcPr>
            <w:tcW w:type="dxa" w:w="1587"/>
          </w:tcPr>
          <w:p>
            <w:pPr>
              <w:spacing w:after="0"/>
              <w:ind w:firstLine="0" w:firstLineChars="0"/>
              <w:jc w:val="left"/>
            </w:pPr>
            <w:r>
              <w:rPr>
                <w:rFonts w:ascii="Times New Roman" w:hAnsi="Times New Roman" w:eastAsia="ＭＳ 明朝"/>
                <w:b w:val="0"/>
                <w:color w:val="000000"/>
                <w:sz w:val="20"/>
              </w:rPr>
              <w:t>順位化(式8)</w:t>
            </w:r>
          </w:p>
        </w:tc>
        <w:tc>
          <w:tcPr>
            <w:tcW w:type="dxa" w:w="4989"/>
          </w:tcPr>
          <w:p>
            <w:pPr>
              <w:spacing w:after="0"/>
              <w:ind w:firstLine="0" w:firstLineChars="0"/>
              <w:jc w:val="left"/>
            </w:pPr>
            <w:r>
              <w:rPr>
                <w:rFonts w:ascii="Times New Roman" w:hAnsi="Times New Roman" w:eastAsia="ＭＳ 明朝"/>
                <w:b w:val="0"/>
                <w:color w:val="000000"/>
                <w:sz w:val="20"/>
              </w:rPr>
              <w:t>各シグナルを市場の中の順位(0〜1)に置き換える。式の定義は変えない</w:t>
            </w:r>
          </w:p>
        </w:tc>
        <w:tc>
          <w:tcPr>
            <w:tcW w:type="dxa" w:w="3061"/>
          </w:tcPr>
          <w:p>
            <w:pPr>
              <w:spacing w:after="0"/>
              <w:ind w:firstLine="0" w:firstLineChars="0"/>
              <w:jc w:val="left"/>
            </w:pPr>
            <w:r>
              <w:rPr>
                <w:rFonts w:ascii="Times New Roman" w:hAnsi="Times New Roman" w:eastAsia="ＭＳ 明朝"/>
                <w:b w:val="0"/>
                <w:color w:val="000000"/>
                <w:sz w:val="20"/>
              </w:rPr>
              <w:t>単位の違う指標を公平に比較</w:t>
            </w:r>
          </w:p>
        </w:tc>
      </w:tr>
      <w:tr>
        <w:trPr>
          <w:cantSplit/>
        </w:trPr>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合成点(式9)</w:t>
            </w:r>
          </w:p>
        </w:tc>
        <w:tc>
          <w:tcPr>
            <w:tcW w:type="dxa" w:w="4989"/>
            <w:shd w:val="clear" w:color="auto" w:fill="F2F6F4"/>
          </w:tcPr>
          <w:p>
            <w:pPr>
              <w:spacing w:after="0"/>
              <w:ind w:firstLine="0" w:firstLineChars="0"/>
              <w:jc w:val="left"/>
            </w:pPr>
            <w:r>
              <w:rPr>
                <w:rFonts w:ascii="Times New Roman" w:hAnsi="Times New Roman" w:eastAsia="ＭＳ 明朝"/>
                <w:b w:val="0"/>
                <w:color w:val="000000"/>
                <w:sz w:val="20"/>
              </w:rPr>
              <w:t>変革の論理で重みを設計(過去成績では決めない)。採用後に±20％動かす検査</w:t>
            </w:r>
          </w:p>
        </w:tc>
        <w:tc>
          <w:tcPr>
            <w:tcW w:type="dxa" w:w="3061"/>
            <w:shd w:val="clear" w:color="auto" w:fill="F2F6F4"/>
          </w:tcPr>
          <w:p>
            <w:pPr>
              <w:spacing w:after="0"/>
              <w:ind w:firstLine="0" w:firstLineChars="0"/>
              <w:jc w:val="left"/>
            </w:pPr>
            <w:r>
              <w:rPr>
                <w:rFonts w:ascii="Times New Roman" w:hAnsi="Times New Roman" w:eastAsia="ＭＳ 明朝"/>
                <w:b w:val="0"/>
                <w:color w:val="000000"/>
                <w:sz w:val="20"/>
              </w:rPr>
              <w:t>順位は動かしても頑健</w:t>
            </w:r>
          </w:p>
        </w:tc>
      </w:tr>
      <w:tr>
        <w:trPr>
          <w:cantSplit/>
        </w:trPr>
        <w:tc>
          <w:tcPr>
            <w:tcW w:type="dxa" w:w="1587"/>
          </w:tcPr>
          <w:p>
            <w:pPr>
              <w:spacing w:after="0"/>
              <w:ind w:firstLine="0" w:firstLineChars="0"/>
              <w:jc w:val="left"/>
            </w:pPr>
            <w:r>
              <w:rPr>
                <w:rFonts w:ascii="Times New Roman" w:hAnsi="Times New Roman" w:eastAsia="ＭＳ 明朝"/>
                <w:b w:val="0"/>
                <w:color w:val="000000"/>
                <w:sz w:val="20"/>
              </w:rPr>
              <w:t>頑健さの監査</w:t>
            </w:r>
          </w:p>
        </w:tc>
        <w:tc>
          <w:tcPr>
            <w:tcW w:type="dxa" w:w="4989"/>
          </w:tcPr>
          <w:p>
            <w:pPr>
              <w:spacing w:after="0"/>
              <w:ind w:firstLine="0" w:firstLineChars="0"/>
              <w:jc w:val="left"/>
            </w:pPr>
            <w:r>
              <w:rPr>
                <w:rFonts w:ascii="Times New Roman" w:hAnsi="Times New Roman" w:eastAsia="ＭＳ 明朝"/>
                <w:b w:val="0"/>
                <w:color w:val="000000"/>
                <w:sz w:val="20"/>
              </w:rPr>
              <w:t>順位の付け方を複数変えて顔ぶれの安定を確認</w:t>
            </w:r>
          </w:p>
        </w:tc>
        <w:tc>
          <w:tcPr>
            <w:tcW w:type="dxa" w:w="3061"/>
          </w:tcPr>
          <w:p>
            <w:pPr>
              <w:spacing w:after="0"/>
              <w:ind w:firstLine="0" w:firstLineChars="0"/>
              <w:jc w:val="left"/>
            </w:pPr>
            <w:r>
              <w:rPr>
                <w:rFonts w:ascii="Times New Roman" w:hAnsi="Times New Roman" w:eastAsia="ＭＳ 明朝"/>
                <w:b w:val="0"/>
                <w:color w:val="000000"/>
                <w:sz w:val="20"/>
              </w:rPr>
              <w:t>敏感な社は確認フラグ→離へ</w:t>
            </w:r>
          </w:p>
        </w:tc>
      </w:tr>
      <w:tr>
        <w:trPr>
          <w:cantSplit/>
        </w:trPr>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選定</w:t>
            </w:r>
          </w:p>
        </w:tc>
        <w:tc>
          <w:tcPr>
            <w:tcW w:type="dxa" w:w="4989"/>
            <w:shd w:val="clear" w:color="auto" w:fill="F2F6F4"/>
          </w:tcPr>
          <w:p>
            <w:pPr>
              <w:spacing w:after="0"/>
              <w:ind w:firstLine="0" w:firstLineChars="0"/>
              <w:jc w:val="left"/>
            </w:pPr>
            <w:r>
              <w:rPr>
                <w:rFonts w:ascii="Times New Roman" w:hAnsi="Times New Roman" w:eastAsia="ＭＳ 明朝"/>
                <w:b w:val="0"/>
                <w:color w:val="000000"/>
                <w:sz w:val="20"/>
              </w:rPr>
              <w:t>Transformation Moat(変革の堀)分類・黒字・流動性・同一業種2社まで</w:t>
            </w:r>
          </w:p>
        </w:tc>
        <w:tc>
          <w:tcPr>
            <w:tcW w:type="dxa" w:w="3061"/>
            <w:shd w:val="clear" w:color="auto" w:fill="F2F6F4"/>
          </w:tcPr>
          <w:p>
            <w:pPr>
              <w:spacing w:after="0"/>
              <w:ind w:firstLine="0" w:firstLineChars="0"/>
              <w:jc w:val="left"/>
            </w:pPr>
            <w:r>
              <w:rPr>
                <w:rFonts w:ascii="Times New Roman" w:hAnsi="Times New Roman" w:eastAsia="ＭＳ 明朝"/>
                <w:b w:val="0"/>
                <w:color w:val="000000"/>
                <w:sz w:val="20"/>
              </w:rPr>
              <w:t>変わる堀5社</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図表Ⅱ-4　破のやり方 ― 式は変えず、変革の度合いで割安×変革の会社を選ぶ。出所：選定の正典データ。</w:t>
      </w:r>
    </w:p>
    <w:p>
      <w:pPr>
        <w:spacing w:after="40" w:line="281" w:lineRule="auto"/>
        <w:jc w:val="both"/>
        <w:ind w:firstLineChars="100" w:firstLine="210"/>
      </w:pPr>
      <w:r>
        <w:rPr>
          <w:rFonts w:ascii="Times New Roman" w:hAnsi="Times New Roman" w:eastAsia="ＭＳ 明朝"/>
          <w:b w:val="0"/>
          <w:color w:val="000000"/>
          <w:sz w:val="21"/>
        </w:rPr>
        <w:t>破の限界も先に書く。時間を遡った完全な将来予測の検証(学習期間と検証期間の厳密な分割)は、使える年度数の制約で完了していない。したがってこの候補づくりに将来リターンを予測する力があるとは主張しない。割安×変革の候補を広く・壊れにくく作ること――それが破の役割である。</w:t>
      </w:r>
    </w:p>
    <w:p>
      <w:pPr>
        <w:keepNext/>
        <w:spacing w:before="100" w:after="40" w:line="298" w:lineRule="auto"/>
        <w:ind w:firstLine="0" w:firstLineChars="0"/>
      </w:pPr>
      <w:r>
        <w:rPr>
          <w:rFonts w:ascii="Arial" w:hAnsi="Arial" w:eastAsia="ＭＳ ゴシック"/>
          <w:b/>
          <w:color w:val="16324F"/>
          <w:sz w:val="21"/>
        </w:rPr>
        <w:t>図表Ⅱ-5　破 ― 変わる堀の合成点で割安×変革の会社を選ぶ</w:t>
      </w:r>
    </w:p>
    <w:p>
      <w:pPr>
        <w:jc w:val="center"/>
        <w:keepNext/>
        <w:ind w:firstLine="0" w:firstLineChars="0"/>
      </w:pPr>
      <w:r>
        <w:drawing>
          <wp:inline xmlns:a="http://schemas.openxmlformats.org/drawingml/2006/main" xmlns:pic="http://schemas.openxmlformats.org/drawingml/2006/picture">
            <wp:extent cx="5328000" cy="2131200"/>
            <wp:docPr id="4" name="Picture 4"/>
            <wp:cNvGraphicFramePr>
              <a:graphicFrameLocks noChangeAspect="1"/>
            </wp:cNvGraphicFramePr>
            <a:graphic>
              <a:graphicData uri="http://schemas.openxmlformats.org/drawingml/2006/picture">
                <pic:pic>
                  <pic:nvPicPr>
                    <pic:cNvPr id="0" name="fig2_ha_v7.png"/>
                    <pic:cNvPicPr/>
                  </pic:nvPicPr>
                  <pic:blipFill>
                    <a:blip r:embed="rId13"/>
                    <a:stretch>
                      <a:fillRect/>
                    </a:stretch>
                  </pic:blipFill>
                  <pic:spPr>
                    <a:xfrm>
                      <a:off x="0" y="0"/>
                      <a:ext cx="5328000" cy="21312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注：破の点数は候補選びの道具であり、最終選定の重みには使わない。筆者作成。</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第３スクリーニング　</w:t>
      </w:r>
      <w:r>
        <w:rPr>
          <w:rFonts w:ascii="Arial" w:hAnsi="Arial" w:eastAsia="ＭＳ ゴシック"/>
          <w:b/>
          <w:color w:val="16324F"/>
          <w:sz w:val="23"/>
        </w:rPr>
        <w:t xml:space="preserve">　離 ― 生まれる堀を測り、証拠で束ねて最終20社を組む</w:t>
      </w:r>
    </w:p>
    <w:p>
      <w:pPr>
        <w:spacing w:after="80" w:line="281" w:lineRule="auto"/>
        <w:jc w:val="both"/>
        <w:ind w:firstLineChars="100" w:firstLine="210"/>
      </w:pPr>
      <w:r>
        <w:rPr>
          <w:rFonts w:ascii="Times New Roman" w:hAnsi="Times New Roman" w:eastAsia="ＭＳ 明朝"/>
          <w:b w:val="0"/>
          <w:color w:val="000000"/>
          <w:sz w:val="21"/>
        </w:rPr>
        <w:t>破と離では、私たち独自の物差し(式10〜式12)を導入する――変わる堀の点数(式10・破が使う)、生まれる堀の点数(式11・離が使う)、そして両者に共通の証拠の関所(式12)である。ただし新しい式をゼロから発明したのではなく、その導出は三つの原則に従う。第一に、部品は先行研究と守の式の再利用――測る量そのものは、割安(式1・式2)・利益の質(式5)・無形資産の文献に既にあるものだけを使う。第二に、重みは成績で決めない――どの重みなら過去の成績が良かったか、という決め方は後出しの罠なので、重みは投資テーマの論理から概念的に設計し、決めた後に「重みを揺らしても順位が壊れないか」を監査する。第三に、点数と証拠の分離――点数(魅力の大きさ)は連続値で設計の裁量が入るが、証拠(裏づけの強さ)は開示資料まで遡って誰でも確認できる。この二つを混ぜず、証拠を式(12)の独立した関所にする。以下、変わる堀(式10)・生まれる堀(式11)・証拠(式12)の順に「なぜこの形か」を説明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式(10)の導出 ― 破の「変わる堀の点数」を要素に分ける</w:t>
      </w:r>
    </w:p>
    <w:p>
      <w:pPr>
        <w:spacing w:after="40" w:line="281" w:lineRule="auto"/>
        <w:jc w:val="both"/>
        <w:ind w:firstLineChars="100" w:firstLine="210"/>
      </w:pPr>
      <w:r>
        <w:rPr>
          <w:rFonts w:ascii="Times New Roman" w:hAnsi="Times New Roman" w:eastAsia="ＭＳ 明朝"/>
          <w:b w:val="0"/>
          <w:color w:val="000000"/>
          <w:sz w:val="21"/>
        </w:rPr>
        <w:t>式(9)の合成点を、変わる堀に合わせて具体化したものが式(10)である(破の選定に使う独自の物差し)。変わる堀の定義『割安に放置されているが、資本効率改革の実行でこれから評価が変わる会社』を、四つの測れる要素に分ける――(a)割安ギャップＶ(いま割安か=式1・2の順位点)、(b)資本効率の改善Ｃ(ＲＯＥ・利益率が良くなっているか)、(c)株主還元の強化Ｒ(配当・自社株買いの実行)、(d)改革シグナルＫ(中期計画・ＰＢＲ改善策の開示)。これらを重みつきで束ね、『安いだけの会社』を弾く減点を差し引く(study の変革スコア=transformation score)。</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式（10）変わる堀の点数(破の選定に使用・私たちの設計)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sSub>
                  <m:e>
                    <m:r>
                      <m:t>w</m:t>
                    </m:r>
                  </m:e>
                  <m:sub>
                    <m:r>
                      <m:t>V</m:t>
                    </m:r>
                  </m:sub>
                </m:sSub>
                <m:sSub>
                  <m:e>
                    <m:r>
                      <m:t>V</m:t>
                    </m:r>
                  </m:e>
                  <m:sub>
                    <m:r>
                      <m:t>i</m:t>
                    </m:r>
                  </m:sub>
                </m:sSub>
                <m:r>
                  <m:rPr>
                    <m:sty m:val="p"/>
                  </m:rPr>
                  <m:t>+</m:t>
                </m:r>
                <m:sSub>
                  <m:e>
                    <m:r>
                      <m:t>w</m:t>
                    </m:r>
                  </m:e>
                  <m:sub>
                    <m:r>
                      <m:t>C</m:t>
                    </m:r>
                  </m:sub>
                </m:sSub>
                <m:sSub>
                  <m:e>
                    <m:r>
                      <m:t>C</m:t>
                    </m:r>
                  </m:e>
                  <m:sub>
                    <m:r>
                      <m:t>i</m:t>
                    </m:r>
                  </m:sub>
                </m:sSub>
                <m:r>
                  <m:rPr>
                    <m:sty m:val="p"/>
                  </m:rPr>
                  <m:t>+</m:t>
                </m:r>
                <m:sSub>
                  <m:e>
                    <m:r>
                      <m:t>w</m:t>
                    </m:r>
                  </m:e>
                  <m:sub>
                    <m:r>
                      <m:t>R</m:t>
                    </m:r>
                  </m:sub>
                </m:sSub>
                <m:sSub>
                  <m:e>
                    <m:r>
                      <m:t>R</m:t>
                    </m:r>
                  </m:e>
                  <m:sub>
                    <m:r>
                      <m:t>i</m:t>
                    </m:r>
                  </m:sub>
                </m:sSub>
                <m:r>
                  <m:rPr>
                    <m:sty m:val="p"/>
                  </m:rPr>
                  <m:t>+</m:t>
                </m:r>
                <m:sSub>
                  <m:e>
                    <m:r>
                      <m:t>w</m:t>
                    </m:r>
                  </m:e>
                  <m:sub>
                    <m:r>
                      <m:t>K</m:t>
                    </m:r>
                  </m:sub>
                </m:sSub>
                <m:sSub>
                  <m:e>
                    <m:r>
                      <m:t>K</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Ｖ＝割安ギャップ(式1・2の順位点)　Ｃ＝資本効率の改善　Ｒ＝株主還元の強化　Ｋ＝改革シグナル(開示)　Ｐ＝割安のワナ減点。改善の実行(Ｃ・Ｒ・Ｋ)を割安(Ｖ)より重くする。</w:t>
            </w:r>
          </w:p>
        </w:tc>
      </w:tr>
    </w:tbl>
    <w:p>
      <w:pPr>
        <w:spacing w:before="0" w:after="60" w:line="298" w:lineRule="auto"/>
        <w:ind w:firstLine="0" w:firstLineChars="0"/>
      </w:pPr>
    </w:p>
    <w:p>
      <w:pPr>
        <w:spacing w:after="40" w:line="281" w:lineRule="auto"/>
        <w:jc w:val="both"/>
        <w:ind w:firstLineChars="100" w:firstLine="210"/>
      </w:pPr>
      <w:r>
        <w:rPr>
          <w:rFonts w:ascii="Times New Roman" w:hAnsi="Times New Roman" w:eastAsia="ＭＳ 明朝"/>
          <w:b w:val="0"/>
          <w:color w:val="000000"/>
          <w:sz w:val="21"/>
        </w:rPr>
        <w:t>重みは過去リターンへの当てはめでは決めない(後出しの罠を避ける)。『安さ』より『改善の実行』を重くする、という変革の論理から概念的に設計し、決めた後に各重みを±20％動かしても選ばれる顔ぶれが変わらないことを監査した(全重みと監査結果は技術補遺§C)。減点は「安いだけの会社」の既知の型――利益に現金の裏づけがない・財務が危険・赤字が続く等――を列挙して点数から差し引く。</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よって、割安さに「変革の実行」が重なる会社ほど高得点とし、変わる堀の上位5社を選ぶ。安いだけの会社は減点で弾く。</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式(11)の導出 ― 生まれる堀は「堀の源泉」を未来方向へ対応づける</w:t>
      </w:r>
    </w:p>
    <w:p>
      <w:pPr>
        <w:spacing w:after="40" w:line="281" w:lineRule="auto"/>
        <w:jc w:val="both"/>
        <w:ind w:firstLineChars="100" w:firstLine="210"/>
      </w:pPr>
      <w:r>
        <w:rPr>
          <w:rFonts w:ascii="Times New Roman" w:hAnsi="Times New Roman" w:eastAsia="ＭＳ 明朝"/>
          <w:b w:val="0"/>
          <w:color w:val="000000"/>
          <w:sz w:val="21"/>
        </w:rPr>
        <w:t>第Ⅰ章でバフェットの堀を、ブランドや特許などの無形の強み・乗り換えの手間・利用者が増えるほど価値が増す仕組み・圧倒的なコスト優位、と分解した。生まれる堀は「これらがこれから形成される力」であり、会計数値に表れにくい。そこで、無形資産が企業価値の主役になったことを示す文献(Lev and Gu, 2016；Peters and Taylor, 2017)と、研究開発投資が株式リターンに結びつくことを示した実証(Chan, Lakonishok and Sougiannis, 2001)に沿って、堀の源泉を六つの測れる部品に対応づけた――無形資産Ｉ・技術力Ｎ・急所を握る度合いＢ(価格決定力)・ＡＩ基盤への実需接続Ａ・データ顧客基盤Ｄ・信頼と安全Ｔである。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式（11）生まれる堀の点数(選定に使用・私たちの設計)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Ｉ＝無形資産　Ｎ＝技術力　Ｂ＝急所を握る度合い(価格決定力)　Ａ＝ＡＩ基盤への実需接続　Ｄ＝データ・顧客基盤　Ｔ＝信頼・安全　w＝各重み(ＡＩ接続Ａを最重視)　加点Ｂ^Evi＝証拠水準{1,2,3}を{2,4,8}点に対応づけ　減点Ｐ^Hype＝キーワードの接点のみ。</w:t>
            </w:r>
          </w:p>
        </w:tc>
      </w:tr>
    </w:tbl>
    <w:p>
      <w:pPr>
        <w:spacing w:before="0" w:after="60" w:line="298" w:lineRule="auto"/>
        <w:ind w:firstLine="0" w:firstLineChars="0"/>
      </w:pPr>
    </w:p>
    <w:p>
      <w:pPr>
        <w:spacing w:after="40" w:line="281" w:lineRule="auto"/>
        <w:jc w:val="both"/>
        <w:ind w:firstLineChars="100" w:firstLine="210"/>
      </w:pPr>
      <w:r>
        <w:rPr>
          <w:rFonts w:ascii="Times New Roman" w:hAnsi="Times New Roman" w:eastAsia="ＭＳ 明朝"/>
          <w:b w:val="0"/>
          <w:color w:val="000000"/>
          <w:sz w:val="21"/>
        </w:rPr>
        <w:t>重みは、中心仮説「ＡＩ基盤への実需接続が新しい堀を生む」からＡ(ＡＩ接続)を最重視し、堀の古典的源泉(無形資産・急所を握る度合い)と技術力が続く――過去リターンでは決めない。加点は証拠水準が1段上がるごとに2点→4点→8点と倍にした(水準3=数字まで確認はそれだけ希少)。ただし study の future_moat スコアはキーワードで飽和し、炊飯器や照明の会社まで満点に並ぶことが分かったため、私たちは点数を鵜呑みにせず、事業セグメントの開示まで遡ってＡＩ・半導体の実需を確認できた会社だけを通した(キーワード頼みの排除)。全重みは技術補遺§Bに開示した。</w:t>
      </w: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よって、ＡＩ基盤への実需接続を事業の開示で確認できる会社ほど高得点とし、生まれる堀の上位5社を選ぶ。キーワードの接点しかない会社は除外した。</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式(12)の導出 ― 点数と証拠を分ける関所</w:t>
      </w:r>
    </w:p>
    <w:p>
      <w:pPr>
        <w:spacing w:after="40" w:line="281" w:lineRule="auto"/>
        <w:jc w:val="both"/>
        <w:ind w:firstLineChars="100" w:firstLine="210"/>
      </w:pPr>
      <w:r>
        <w:rPr>
          <w:rFonts w:ascii="Times New Roman" w:hAnsi="Times New Roman" w:eastAsia="ＭＳ 明朝"/>
          <w:b w:val="0"/>
          <w:color w:val="000000"/>
          <w:sz w:val="21"/>
        </w:rPr>
        <w:t>最後の式(12)は、点数が高くても証拠が弱い会社を弾く「関所」である。なぜ点数と証拠を分けるのか。点数は設計の裁量が入る連続値だが、証拠は開示資料まで遡って誰でも確認できる段階値だからである。証拠は「キーワードの接点のみ(水準1)→製品・顧客・投資計画の具体性(水準2)→売上・受注・投資額の数字(水準3)」という検証可能性の階段で順序づけた。役割ごとの判定論理も定義から導いた: 両立型は「変わる」と「生まれる」の二つの物語が両方必要だから弱い方(min)で判定し、変わる堀は改革の経路が複数ありどれか一つ確認できれば足りるから強い方(max)で判定する。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式（12）証拠の強さ(点数と分けて管理・私たちの設計)</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m:t>
                          </m:r>
                        </m:e>
                      </m:mr>
                      <m:mr>
                        <m:e>
                          <m:sSubSup>
                            <m:e>
                              <m:r>
                                <m:t>L</m:t>
                              </m:r>
                            </m:e>
                            <m:sub>
                              <m:r>
                                <m:t>i</m:t>
                              </m:r>
                            </m:sub>
                            <m:sup>
                              <m:r>
                                <m:t>E</m:t>
                              </m:r>
                              <m:r>
                                <m:t>M</m:t>
                              </m:r>
                            </m:sup>
                          </m:sSubSup>
                        </m:e>
                        <m:e>
                          <m:r>
                            <m:rPr>
                              <m:nor/>
                              <m:sty m:val="p"/>
                            </m:rPr>
                            <m:t>生まれる堀</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ＴＱ＝数字の改善で確認できる変わる証拠　ＴＳ＝株主還元の実行の証拠　ＴＲ＝改革の開示(計画文書)の証拠　ＥＭ＝新テーマ(生まれる堀)の開示証拠。読み方: min＝両方の証拠が必要(弱い方で判定)、max＝どれか一つ強ければ十分。水準1＝キーワードの接点のみ／水準2＝製品・顧客・投資計画の具体性を確認／水準3＝売上・受注・投資額の数字まで確認。なおＴＳ・ＴＲは今回のデータでは全社が同値となり判定に効いておらず、変わる堀の水準は実質ＴＱで決まる(技術補遺§B)。</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点数がどれほど高くても、証拠の水準が足りない会社は役割の候補から外す。最終20社の証拠内訳は、事業で実需を確認できた水準3が9社・水準2が11社である(守の完成した堀は品質基準で選び、証拠水準は破・離の判定に用いる)。</w:t>
      </w:r>
    </w:p>
    <w:p>
      <w:pPr>
        <w:spacing w:after="80" w:line="281" w:lineRule="auto"/>
        <w:jc w:val="both"/>
        <w:ind w:firstLineChars="100" w:firstLine="210"/>
      </w:pPr>
      <w:r>
        <w:rPr>
          <w:rFonts w:ascii="Times New Roman" w:hAnsi="Times New Roman" w:eastAsia="ＭＳ 明朝"/>
          <w:b w:val="0"/>
          <w:color w:val="000000"/>
          <w:sz w:val="21"/>
        </w:rPr>
        <w:t>当てはめ例: 両立型のキーエンス(6861)は「変わる証拠(高収益の持続)」と「新テーマの証拠(工場自動化・ＡＩの実需)」の弱い方(min)で判定する――どちらの裏づけも事業の開示で確認できて初めて、両立型として通す。</w:t>
      </w:r>
    </w:p>
    <w:p>
      <w:pPr>
        <w:spacing w:after="80" w:line="281" w:lineRule="auto"/>
        <w:jc w:val="both"/>
        <w:ind w:firstLineChars="100" w:firstLine="210"/>
      </w:pPr>
      <w:r>
        <w:rPr>
          <w:rFonts w:ascii="Times New Roman" w:hAnsi="Times New Roman" w:eastAsia="ＭＳ 明朝"/>
          <w:b w:val="0"/>
          <w:color w:val="000000"/>
          <w:sz w:val="21"/>
        </w:rPr>
        <w:t>守の完成した堀は、バフェットの品質基準を一つずつ課して選ぶ。適格1,819社から、各関門で落ちた会社は「どの基準を満たさなかったか」で理由が特定できる（下表）。落ちた理由をすべて残すことが、選んだ理由の裏づけになる。生まれる堀・両立型では、ＡＩ・半導体の接点をキーワードで数えず、事業セグメントの開示まで遡って実需を確認できた会社だけを通した（疑わしきは除外の保守設計）。</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守の品質関門（バフェット基準）</w:t>
            </w:r>
          </w:p>
        </w:tc>
        <w:tc>
          <w:tcPr>
            <w:tcW w:type="dxa" w:w="907"/>
            <w:shd w:val="clear" w:color="auto" w:fill="16324F"/>
          </w:tcPr>
          <w:p>
            <w:pPr>
              <w:spacing w:after="0"/>
              <w:ind w:firstLine="0" w:firstLineChars="0"/>
            </w:pPr>
            <w:r>
              <w:rPr>
                <w:rFonts w:ascii="Arial" w:hAnsi="Arial" w:eastAsia="ＭＳ ゴシック"/>
                <w:b/>
                <w:color w:val="FFFFFF"/>
                <w:sz w:val="20"/>
              </w:rPr>
              <w:t>通過社数</w:t>
            </w:r>
          </w:p>
        </w:tc>
        <w:tc>
          <w:tcPr>
            <w:tcW w:type="dxa" w:w="6236"/>
            <w:shd w:val="clear" w:color="auto" w:fill="16324F"/>
          </w:tcPr>
          <w:p>
            <w:pPr>
              <w:spacing w:after="0"/>
              <w:ind w:firstLine="0" w:firstLineChars="0"/>
            </w:pPr>
            <w:r>
              <w:rPr>
                <w:rFonts w:ascii="Arial" w:hAnsi="Arial" w:eastAsia="ＭＳ ゴシック"/>
                <w:b/>
                <w:color w:val="FFFFFF"/>
                <w:sz w:val="20"/>
              </w:rPr>
              <w:t>落ちる理由</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高収益 ＲＯＥ≥15%</w:t>
            </w:r>
          </w:p>
        </w:tc>
        <w:tc>
          <w:tcPr>
            <w:tcW w:type="dxa" w:w="907"/>
          </w:tcPr>
          <w:p>
            <w:pPr>
              <w:spacing w:after="0"/>
              <w:ind w:firstLine="0" w:firstLineChars="0"/>
              <w:jc w:val="left"/>
            </w:pPr>
            <w:r>
              <w:rPr>
                <w:rFonts w:ascii="Times New Roman" w:hAnsi="Times New Roman" w:eastAsia="ＭＳ 明朝"/>
                <w:b w:val="0"/>
                <w:color w:val="000000"/>
                <w:sz w:val="20"/>
              </w:rPr>
              <w:t>396社</w:t>
            </w:r>
          </w:p>
        </w:tc>
        <w:tc>
          <w:tcPr>
            <w:tcW w:type="dxa" w:w="6236"/>
          </w:tcPr>
          <w:p>
            <w:pPr>
              <w:spacing w:after="0"/>
              <w:ind w:firstLine="0" w:firstLineChars="0"/>
              <w:jc w:val="left"/>
            </w:pPr>
            <w:r>
              <w:rPr>
                <w:rFonts w:ascii="Times New Roman" w:hAnsi="Times New Roman" w:eastAsia="ＭＳ 明朝"/>
                <w:b w:val="0"/>
                <w:color w:val="000000"/>
                <w:sz w:val="20"/>
              </w:rPr>
              <w:t>資本を高い率で回せていない</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堀・価格支配力 営業利益率≥10%</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287社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価格支配力＝堀の薄さ</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財務健全 自己資本比率≥50%</w:t>
            </w:r>
          </w:p>
        </w:tc>
        <w:tc>
          <w:tcPr>
            <w:tcW w:type="dxa" w:w="907"/>
          </w:tcPr>
          <w:p>
            <w:pPr>
              <w:spacing w:after="0"/>
              <w:ind w:firstLine="0" w:firstLineChars="0"/>
              <w:jc w:val="left"/>
            </w:pPr>
            <w:r>
              <w:rPr>
                <w:rFonts w:ascii="Times New Roman" w:hAnsi="Times New Roman" w:eastAsia="ＭＳ 明朝"/>
                <w:b w:val="0"/>
                <w:color w:val="000000"/>
                <w:sz w:val="20"/>
              </w:rPr>
              <w:t>211社</w:t>
            </w:r>
          </w:p>
        </w:tc>
        <w:tc>
          <w:tcPr>
            <w:tcW w:type="dxa" w:w="6236"/>
          </w:tcPr>
          <w:p>
            <w:pPr>
              <w:spacing w:after="0"/>
              <w:ind w:firstLine="0" w:firstLineChars="0"/>
              <w:jc w:val="left"/>
            </w:pPr>
            <w:r>
              <w:rPr>
                <w:rFonts w:ascii="Times New Roman" w:hAnsi="Times New Roman" w:eastAsia="ＭＳ 明朝"/>
                <w:b w:val="0"/>
                <w:color w:val="000000"/>
                <w:sz w:val="20"/>
              </w:rPr>
              <w:t>負債が重く長期保有に不向き</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予測可能性 直近3期無赤字</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186社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利益が不安定で読みにくい</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現金創出 営業ＣＦ&gt;0</w:t>
            </w:r>
          </w:p>
        </w:tc>
        <w:tc>
          <w:tcPr>
            <w:tcW w:type="dxa" w:w="907"/>
          </w:tcPr>
          <w:p>
            <w:pPr>
              <w:spacing w:after="0"/>
              <w:ind w:firstLine="0" w:firstLineChars="0"/>
              <w:jc w:val="left"/>
            </w:pPr>
            <w:r>
              <w:rPr>
                <w:rFonts w:ascii="Times New Roman" w:hAnsi="Times New Roman" w:eastAsia="ＭＳ 明朝"/>
                <w:b w:val="0"/>
                <w:color w:val="000000"/>
                <w:sz w:val="20"/>
              </w:rPr>
              <w:t>186社</w:t>
            </w:r>
          </w:p>
        </w:tc>
        <w:tc>
          <w:tcPr>
            <w:tcW w:type="dxa" w:w="6236"/>
          </w:tcPr>
          <w:p>
            <w:pPr>
              <w:spacing w:after="0"/>
              <w:ind w:firstLine="0" w:firstLineChars="0"/>
              <w:jc w:val="left"/>
            </w:pPr>
            <w:r>
              <w:rPr>
                <w:rFonts w:ascii="Times New Roman" w:hAnsi="Times New Roman" w:eastAsia="ＭＳ 明朝"/>
                <w:b w:val="0"/>
                <w:color w:val="000000"/>
                <w:sz w:val="20"/>
              </w:rPr>
              <w:t>利益に現金の裏づけがない</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非縮小 増収かつ増益</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166社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事業が縮小している</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図表Ⅱ-6　守の品質ファネル（新バフェット基準の累積絞り込み）。適格1,819社→品質通過166社→価格ランク可能20社→完成した堀Top5。出所：funnel_exclusion_v7.json（scores.csvから自動集計）。</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最終20社の構成 ― なぜ5・5・5・3・2なのか</w:t>
      </w:r>
    </w:p>
    <w:p>
      <w:pPr>
        <w:spacing w:after="80" w:line="281" w:lineRule="auto"/>
        <w:jc w:val="both"/>
        <w:ind w:firstLineChars="100" w:firstLine="210"/>
      </w:pPr>
      <w:r>
        <w:rPr>
          <w:rFonts w:ascii="Times New Roman" w:hAnsi="Times New Roman" w:eastAsia="ＭＳ 明朝"/>
          <w:b w:val="0"/>
          <w:color w:val="000000"/>
          <w:sz w:val="21"/>
        </w:rPr>
        <w:t>最終20社は、完成した堀5社(守の5社を固定)・変わる堀5社・生まれる堀5社・両立型3社・分散役2社で構成した。この構成は第Ⅰ章の「超える」の定義から導いている。</w:t>
      </w:r>
    </w:p>
    <w:p>
      <w:pPr>
        <w:spacing w:before="0" w:after="40" w:line="293" w:lineRule="auto"/>
        <w:ind w:firstLine="0" w:firstLineChars="0"/>
      </w:pPr>
      <w:r>
        <w:rPr>
          <w:rFonts w:ascii="Arial" w:hAnsi="Arial" w:eastAsia="ＭＳ ゴシック"/>
          <w:b/>
          <w:color w:val="16324F"/>
          <w:sz w:val="20"/>
        </w:rPr>
        <w:t xml:space="preserve">・完成した堀5社を持つ理由　</w:t>
      </w:r>
      <w:r>
        <w:rPr>
          <w:rFonts w:ascii="Times New Roman" w:hAnsi="Times New Roman" w:eastAsia="ＭＳ 明朝"/>
          <w:b w:val="0"/>
          <w:color w:val="000000"/>
          <w:sz w:val="20"/>
        </w:rPr>
        <w:t>条件①(同じ土俵)の実行である。この5社を持たなければ、「何を超えたのか」を測る比較相手がいなくなる。しかも三世代のうち、完成した堀だけが仮説ではなく現在の事実である。</w:t>
      </w:r>
    </w:p>
    <w:p>
      <w:pPr>
        <w:spacing w:before="0" w:after="40" w:line="293" w:lineRule="auto"/>
        <w:ind w:firstLine="0" w:firstLineChars="0"/>
      </w:pPr>
      <w:r>
        <w:rPr>
          <w:rFonts w:ascii="Arial" w:hAnsi="Arial" w:eastAsia="ＭＳ ゴシック"/>
          <w:b/>
          <w:color w:val="16324F"/>
          <w:sz w:val="20"/>
        </w:rPr>
        <w:t xml:space="preserve">・5・5・5の均等　</w:t>
      </w:r>
      <w:r>
        <w:rPr>
          <w:rFonts w:ascii="Times New Roman" w:hAnsi="Times New Roman" w:eastAsia="ＭＳ 明朝"/>
          <w:b w:val="0"/>
          <w:color w:val="000000"/>
          <w:sz w:val="20"/>
        </w:rPr>
        <w:t>三つの世代のどれか一つの未来に賭けない、という設計原理をそのまま数にした。</w:t>
      </w:r>
    </w:p>
    <w:p>
      <w:pPr>
        <w:spacing w:before="0" w:after="40" w:line="293" w:lineRule="auto"/>
        <w:ind w:firstLine="0" w:firstLineChars="0"/>
      </w:pPr>
      <w:r>
        <w:rPr>
          <w:rFonts w:ascii="Arial" w:hAnsi="Arial" w:eastAsia="ＭＳ ゴシック"/>
          <w:b/>
          <w:color w:val="16324F"/>
          <w:sz w:val="20"/>
        </w:rPr>
        <w:t xml:space="preserve">・3・2の少数枠　</w:t>
      </w:r>
      <w:r>
        <w:rPr>
          <w:rFonts w:ascii="Times New Roman" w:hAnsi="Times New Roman" w:eastAsia="ＭＳ 明朝"/>
          <w:b w:val="0"/>
          <w:color w:val="000000"/>
          <w:sz w:val="20"/>
        </w:rPr>
        <w:t>両立型は変わる堀と生まれる堀の橋渡し、分散役は業種・テーマの偏りの調整役。主役ではなく脇役なので少数にした。</w:t>
      </w:r>
    </w:p>
    <w:p>
      <w:pPr>
        <w:spacing w:after="80" w:line="281" w:lineRule="auto"/>
        <w:jc w:val="both"/>
        <w:ind w:firstLineChars="100" w:firstLine="210"/>
      </w:pPr>
      <w:r>
        <w:rPr>
          <w:rFonts w:ascii="Times New Roman" w:hAnsi="Times New Roman" w:eastAsia="ＭＳ 明朝"/>
          <w:b w:val="0"/>
          <w:color w:val="000000"/>
          <w:sz w:val="21"/>
        </w:rPr>
        <w:t>「バフェットが選ぶはずの5社は、本当に必要なのか」という問いには、二つで答える。第一に設計上の理由――この5社を持たなければ、「何を超えたのか」を測る比較相手(新バフェット)と同じ土俵に立てない。しかも三世代のうち、完成した堀だけが仮説ではなく現在の事実である。第二に頑健性――守の品質ゲートの判定の目安・順位・業種上限を8通りに動かしても、完成した堀5社は最小でも4社が一致し(ＺＯＺＯ・日本オラクル・名村造船・サンリオは全通りで不変)、恣意的な選定でないことが確かめられる(技術補遺§E)。なお、この構成が唯一の最適だという証明はできない。最適かどうかは未来の成績でしか分からないからだ。私たちが保証するのは、定義との整合と、次に示す壊れにくさである。</w:t>
      </w:r>
    </w:p>
    <w:p>
      <w:pPr>
        <w:keepNext/>
        <w:spacing w:before="100" w:after="40" w:line="298" w:lineRule="auto"/>
        <w:ind w:firstLine="0" w:firstLineChars="0"/>
      </w:pPr>
      <w:r>
        <w:rPr>
          <w:rFonts w:ascii="Arial" w:hAnsi="Arial" w:eastAsia="ＭＳ ゴシック"/>
          <w:b/>
          <w:color w:val="16324F"/>
          <w:sz w:val="21"/>
        </w:rPr>
        <w:t>図表Ⅱ-7　離 ― 三世代の堀から最終20社へ(矢印は1対1の対応)</w:t>
      </w:r>
    </w:p>
    <w:p>
      <w:pPr>
        <w:jc w:val="center"/>
        <w:keepNext/>
        <w:ind w:firstLine="0" w:firstLineChars="0"/>
      </w:pPr>
      <w:r>
        <w:drawing>
          <wp:inline xmlns:a="http://schemas.openxmlformats.org/drawingml/2006/main" xmlns:pic="http://schemas.openxmlformats.org/drawingml/2006/picture">
            <wp:extent cx="5328000" cy="2886000"/>
            <wp:docPr id="5" name="Picture 5"/>
            <wp:cNvGraphicFramePr>
              <a:graphicFrameLocks noChangeAspect="1"/>
            </wp:cNvGraphicFramePr>
            <a:graphic>
              <a:graphicData uri="http://schemas.openxmlformats.org/drawingml/2006/picture">
                <pic:pic>
                  <pic:nvPicPr>
                    <pic:cNvPr id="0" name="fig2_ri_v7.png"/>
                    <pic:cNvPicPr/>
                  </pic:nvPicPr>
                  <pic:blipFill>
                    <a:blip r:embed="rId14"/>
                    <a:stretch>
                      <a:fillRect/>
                    </a:stretch>
                  </pic:blipFill>
                  <pic:spPr>
                    <a:xfrm>
                      <a:off x="0" y="0"/>
                      <a:ext cx="5328000" cy="28860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注：守の5社は証拠の関所を通らず固定。両立型は二つの点数の両立を、証拠は厳しい方で判定する。筆者作成。</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選定は壊れにくいか ― 条件③の検証(要約)</w:t>
      </w:r>
    </w:p>
    <w:p>
      <w:pPr>
        <w:spacing w:after="40" w:line="281" w:lineRule="auto"/>
        <w:jc w:val="both"/>
        <w:ind w:firstLineChars="100" w:firstLine="210"/>
      </w:pPr>
      <w:r>
        <w:rPr>
          <w:rFonts w:ascii="Times New Roman" w:hAnsi="Times New Roman" w:eastAsia="ＭＳ 明朝"/>
          <w:b w:val="0"/>
          <w:color w:val="000000"/>
          <w:sz w:val="21"/>
        </w:rPr>
        <w:t>「複雑なルールを後から調整して、結論ありきで20社を選んだのではないか」という疑いには、三通りの頑健性検査で答えた。第一に、守の品質ゲートの判定の目安・順位・業種上限を8通り動かしても、完成した堀5社は最小でも4社が一致し、核となる4社(ＺＯＺＯ・日本オラクル・名村造船・サンリオ)は全通りで不変だった。第二に、配分の重みを均等・役割予算・最小分散のどれにしても、新バフェット型を上回る結論は変わらない。第三に、利上げ相場からＡＩ相場まで四つの相場局面すべてで超過が一貫した(第Ⅲ章の多期間検証)。事前に宣言した判定の目安(条件を一つ変えても大半が一致)を満たし、条件③は達成である。全表は技術補遺§E。</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本章の要点: 守で完成した堀5社(条件①)、破・離で死角を補う15社(条件②)を選び、判定の目安・重み・相場の三通りの頑健性検査で壊れにくさ(条件③)を確かめた(全表は技術補遺§E)。</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Ⅲ．ポートフォリオの決定・銘柄紹介・パフォーマンス</w:t>
      </w:r>
    </w:p>
    <w:p>
      <w:pPr>
        <w:spacing w:after="80" w:line="281" w:lineRule="auto"/>
        <w:jc w:val="both"/>
        <w:ind w:firstLineChars="100" w:firstLine="210"/>
      </w:pPr>
      <w:r>
        <w:rPr>
          <w:rFonts w:ascii="Times New Roman" w:hAnsi="Times New Roman" w:eastAsia="ＭＳ 明朝"/>
          <w:b w:val="0"/>
          <w:color w:val="000000"/>
          <w:sz w:val="21"/>
        </w:rPr>
        <w:t>前章で最終20社が決まった。本章では500万円の配分を決め、20社の顔ぶれを紹介し、最後に第Ⅰ章の条件④を対照群との比較で検証する。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1．500万円の配り方 ― 成績の予想を使わない配分</w:t>
      </w:r>
    </w:p>
    <w:p>
      <w:pPr>
        <w:spacing w:after="80" w:line="281" w:lineRule="auto"/>
        <w:jc w:val="both"/>
        <w:ind w:firstLineChars="100" w:firstLine="210"/>
      </w:pPr>
      <w:r>
        <w:rPr>
          <w:rFonts w:ascii="Times New Roman" w:hAnsi="Times New Roman" w:eastAsia="ＭＳ 明朝"/>
          <w:b w:val="0"/>
          <w:color w:val="000000"/>
          <w:sz w:val="21"/>
        </w:rPr>
        <w:t>どの銘柄が上がるかという予想は、一切使わない。予想を使えば、せっかく証拠で選んだ20社に、予想の当て推量が混ざってしまうからだ。配分は次の四段階で決めた。</w:t>
      </w:r>
    </w:p>
    <w:p>
      <w:pPr>
        <w:spacing w:before="0" w:after="40" w:line="293" w:lineRule="auto"/>
        <w:ind w:firstLine="0" w:firstLineChars="0"/>
      </w:pPr>
      <w:r>
        <w:rPr>
          <w:rFonts w:ascii="Arial" w:hAnsi="Arial" w:eastAsia="ＭＳ ゴシック"/>
          <w:b/>
          <w:color w:val="16324F"/>
          <w:sz w:val="20"/>
        </w:rPr>
        <w:t xml:space="preserve">・第一段階　</w:t>
      </w:r>
      <w:r>
        <w:rPr>
          <w:rFonts w:ascii="Times New Roman" w:hAnsi="Times New Roman" w:eastAsia="ＭＳ 明朝"/>
          <w:b w:val="0"/>
          <w:color w:val="000000"/>
          <w:sz w:val="20"/>
        </w:rPr>
        <w:t>20社を五つの役割に分ける(前章)。</w:t>
      </w:r>
    </w:p>
    <w:p>
      <w:pPr>
        <w:spacing w:before="0" w:after="40" w:line="293" w:lineRule="auto"/>
        <w:ind w:firstLine="0" w:firstLineChars="0"/>
      </w:pPr>
      <w:r>
        <w:rPr>
          <w:rFonts w:ascii="Arial" w:hAnsi="Arial" w:eastAsia="ＭＳ ゴシック"/>
          <w:b/>
          <w:color w:val="16324F"/>
          <w:sz w:val="20"/>
        </w:rPr>
        <w:t xml:space="preserve">・第二段階　</w:t>
      </w:r>
      <w:r>
        <w:rPr>
          <w:rFonts w:ascii="Times New Roman" w:hAnsi="Times New Roman" w:eastAsia="ＭＳ 明朝"/>
          <w:b w:val="0"/>
          <w:color w:val="000000"/>
          <w:sz w:val="20"/>
        </w:rPr>
        <w:t>役割ごとに予算を決める。完成・変化・新生の三世代に各28％、両立型10％、分散役6％。三世代へ同額を置くのは、どの未来にも賭けないという設計の続きである。</w:t>
      </w:r>
    </w:p>
    <w:p>
      <w:pPr>
        <w:spacing w:before="0" w:after="40" w:line="293" w:lineRule="auto"/>
        <w:ind w:firstLine="0" w:firstLineChars="0"/>
      </w:pPr>
      <w:r>
        <w:rPr>
          <w:rFonts w:ascii="Arial" w:hAnsi="Arial" w:eastAsia="ＭＳ ゴシック"/>
          <w:b/>
          <w:color w:val="16324F"/>
          <w:sz w:val="20"/>
        </w:rPr>
        <w:t xml:space="preserve">・第三段階　</w:t>
      </w:r>
      <w:r>
        <w:rPr>
          <w:rFonts w:ascii="Times New Roman" w:hAnsi="Times New Roman" w:eastAsia="ＭＳ 明朝"/>
          <w:b w:val="0"/>
          <w:color w:val="000000"/>
          <w:sz w:val="20"/>
        </w:rPr>
        <w:t>同じ役割の中では、値動きが穏やかで・売買しやすく・証拠が強く・データが信頼できる会社を厚くする(式13)。</w:t>
      </w:r>
    </w:p>
    <w:p>
      <w:pPr>
        <w:spacing w:before="0" w:after="40" w:line="293" w:lineRule="auto"/>
        <w:ind w:firstLine="0" w:firstLineChars="0"/>
      </w:pPr>
      <w:r>
        <w:rPr>
          <w:rFonts w:ascii="Arial" w:hAnsi="Arial" w:eastAsia="ＭＳ ゴシック"/>
          <w:b/>
          <w:color w:val="16324F"/>
          <w:sz w:val="20"/>
        </w:rPr>
        <w:t xml:space="preserve">・第四段階　</w:t>
      </w:r>
      <w:r>
        <w:rPr>
          <w:rFonts w:ascii="Times New Roman" w:hAnsi="Times New Roman" w:eastAsia="ＭＳ 明朝"/>
          <w:b w:val="0"/>
          <w:color w:val="000000"/>
          <w:sz w:val="20"/>
        </w:rPr>
        <w:t>1銘柄の比率に上限をかけ、1株から買える単元未満株(金額指定)で目標比率どおりに配分する(式14)。</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式（13）役割予算つきの配分 ― 選定済み20社への配り方(Markowitz, 1952)</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ω</m:t>
                    </m:r>
                  </m:e>
                  <m:sub>
                    <m:r>
                      <m:t>i</m:t>
                    </m:r>
                  </m:sub>
                </m:sSub>
                <m:r>
                  <m:rPr>
                    <m:sty m:val="p"/>
                  </m:rPr>
                  <m:t>=</m:t>
                </m:r>
                <m:sSub>
                  <m:e>
                    <m:r>
                      <m:t>B</m:t>
                    </m:r>
                  </m:e>
                  <m:sub>
                    <m:r>
                      <m:t>r</m:t>
                    </m:r>
                    <m:r>
                      <m:rPr>
                        <m:sty m:val="p"/>
                      </m:rPr>
                      <m:t>(</m:t>
                    </m:r>
                    <m:r>
                      <m:t>i</m:t>
                    </m:r>
                    <m:r>
                      <m:rPr>
                        <m:sty m:val="p"/>
                      </m:rPr>
                      <m:t>)</m:t>
                    </m:r>
                  </m:sub>
                </m:sSub>
                <m:r>
                  <m:rPr>
                    <m:sty m:val="p"/>
                  </m:rPr>
                  <m:t>⋅</m:t>
                </m:r>
                <m:f>
                  <m:fPr>
                    <m:type m:val="bar"/>
                  </m:fPr>
                  <m:num>
                    <m:sSub>
                      <m:e>
                        <m:r>
                          <m:t>ρ</m:t>
                        </m:r>
                      </m:e>
                      <m:sub>
                        <m:r>
                          <m:t>i</m:t>
                        </m:r>
                      </m:sub>
                    </m:sSub>
                  </m:num>
                  <m:den>
                    <m:nary>
                      <m:naryPr>
                        <m:chr m:val="∑"/>
                        <m:limLoc m:val="undOvr"/>
                        <m:subHide m:val="off"/>
                        <m:supHide m:val="on"/>
                      </m:naryPr>
                      <m:sub>
                        <m:r>
                          <m:t>j</m:t>
                        </m:r>
                        <m:r>
                          <m:rPr>
                            <m:sty m:val="p"/>
                          </m:rPr>
                          <m:t>:</m:t>
                        </m:r>
                        <m:r>
                          <m:t> </m:t>
                        </m:r>
                        <m:r>
                          <m:t>r</m:t>
                        </m:r>
                        <m:r>
                          <m:rPr>
                            <m:sty m:val="p"/>
                          </m:rPr>
                          <m:t>(</m:t>
                        </m:r>
                        <m:r>
                          <m:t>j</m:t>
                        </m:r>
                        <m:r>
                          <m:rPr>
                            <m:sty m:val="p"/>
                          </m:rPr>
                          <m:t>)</m:t>
                        </m:r>
                        <m:r>
                          <m:rPr>
                            <m:sty m:val="p"/>
                          </m:rPr>
                          <m:t>=</m:t>
                        </m:r>
                        <m:r>
                          <m:t>r</m:t>
                        </m:r>
                        <m:r>
                          <m:rPr>
                            <m:sty m:val="p"/>
                          </m:rPr>
                          <m:t>(</m:t>
                        </m:r>
                        <m:r>
                          <m:t>i</m:t>
                        </m:r>
                        <m:r>
                          <m:rPr>
                            <m:sty m:val="p"/>
                          </m:rPr>
                          <m:t>)</m:t>
                        </m:r>
                      </m:sub>
                      <m:sup>
                        <m:r>
                          <m:t>​</m:t>
                        </m:r>
                      </m:sup>
                      <m:e>
                        <m:sSub>
                          <m:e>
                            <m:r>
                              <m:t>ρ</m:t>
                            </m:r>
                          </m:e>
                          <m:sub>
                            <m:r>
                              <m:t>j</m:t>
                            </m:r>
                          </m:sub>
                        </m:sSub>
                      </m:e>
                    </m:nary>
                  </m:den>
                </m:f>
                <m:r>
                  <m:rPr>
                    <m:sty m:val="p"/>
                  </m:rPr>
                  <m:t>,</m:t>
                </m:r>
                <m:r>
                  <m:t>  </m:t>
                </m:r>
                <m:sSub>
                  <m:e>
                    <m:r>
                      <m:t>ρ</m:t>
                    </m:r>
                  </m:e>
                  <m:sub>
                    <m:r>
                      <m:t>i</m:t>
                    </m:r>
                  </m:sub>
                </m:sSub>
                <m:r>
                  <m:rPr>
                    <m:sty m:val="p"/>
                  </m:rPr>
                  <m:t>=</m:t>
                </m:r>
                <m:f>
                  <m:fPr>
                    <m:type m:val="bar"/>
                  </m:fPr>
                  <m:num>
                    <m:sSub>
                      <m:e>
                        <m:r>
                          <m:t>ℓ</m:t>
                        </m:r>
                      </m:e>
                      <m:sub>
                        <m:r>
                          <m:t>i</m:t>
                        </m:r>
                      </m:sub>
                    </m:sSub>
                    <m:r>
                      <m:t> </m:t>
                    </m:r>
                    <m:sSub>
                      <m:e>
                        <m:r>
                          <m:t>e</m:t>
                        </m:r>
                      </m:e>
                      <m:sub>
                        <m:r>
                          <m:t>i</m:t>
                        </m:r>
                      </m:sub>
                    </m:sSub>
                    <m:r>
                      <m:t> </m:t>
                    </m:r>
                    <m:sSub>
                      <m:e>
                        <m:r>
                          <m:t>c</m:t>
                        </m:r>
                      </m:e>
                      <m:sub>
                        <m:r>
                          <m:t>i</m:t>
                        </m:r>
                      </m:sub>
                    </m:sSub>
                  </m:num>
                  <m:den>
                    <m:r>
                      <m:rPr>
                        <m:sty m:val="p"/>
                      </m:rPr>
                      <m:t>max</m:t>
                    </m:r>
                    <m:r>
                      <m:rPr>
                        <m:sty m:val="p"/>
                      </m:rPr>
                      <m:t>(</m:t>
                    </m:r>
                    <m:sSub>
                      <m:e>
                        <m:r>
                          <m:t>σ</m:t>
                        </m:r>
                      </m:e>
                      <m:sub>
                        <m:r>
                          <m:t>i</m:t>
                        </m:r>
                      </m:sub>
                    </m:sSub>
                    <m:r>
                      <m:rPr>
                        <m:sty m:val="p"/>
                      </m:rPr>
                      <m:t>,</m:t>
                    </m:r>
                    <m:r>
                      <m:t> </m:t>
                    </m:r>
                    <m:r>
                      <m:t>0.10</m:t>
                    </m:r>
                    <m:r>
                      <m:rPr>
                        <m:sty m:val="p"/>
                      </m:rPr>
                      <m:t>)</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Ｂ＝役割ごとの予算(28/28/28/10/6％)　ℓ＝売買のしやすさ　ｅ＝証拠の強さ　ｃ＝データの信頼度　σ＝1年の値動きの大きさ。上限を超えた分は同じ役割の中で配り直す。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よって、同じ役割の中では「値動きが穏やかで・売買しやすく・証拠が強い」会社ほど厚く持つ。</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式（14）単元未満株での配分(日本取引所グループ「単元株制度」)</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q</m:t>
                    </m:r>
                  </m:e>
                  <m:sub>
                    <m:r>
                      <m:t>i</m:t>
                    </m:r>
                  </m:sub>
                </m:sSub>
                <m:r>
                  <m:rPr>
                    <m:sty m:val="p"/>
                  </m:rPr>
                  <m:t>=</m:t>
                </m:r>
                <m:f>
                  <m:fPr>
                    <m:type m:val="bar"/>
                  </m:fPr>
                  <m:num>
                    <m:r>
                      <m:t>B</m:t>
                    </m:r>
                    <m:r>
                      <m:t> </m:t>
                    </m:r>
                    <m:sSub>
                      <m:e>
                        <m:r>
                          <m:t>ω</m:t>
                        </m:r>
                      </m:e>
                      <m:sub>
                        <m:r>
                          <m:t>i</m:t>
                        </m:r>
                      </m:sub>
                    </m:sSub>
                  </m:num>
                  <m:den>
                    <m:sSub>
                      <m:e>
                        <m:r>
                          <m:t>P</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ｑ＝購入株数(単元未満株=1株未満の端株も可)　Ｂ＝総予算500万円　ω＝目標比率(式13)　Ｐ＝株価。大型優良は株価が高く通常の売買単位(100株)では収まらないため、金額指定の単元未満株を前提とする。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よって、目標比率どおりに金額を割り当て、総予算500万円のうち4,999,996円(使用率100.0%)を投資に充てた。</w:t>
      </w:r>
    </w:p>
    <w:p>
      <w:pPr>
        <w:spacing w:after="80" w:line="281" w:lineRule="auto"/>
        <w:jc w:val="both"/>
        <w:ind w:firstLineChars="100" w:firstLine="210"/>
      </w:pPr>
      <w:r>
        <w:rPr>
          <w:rFonts w:ascii="Times New Roman" w:hAnsi="Times New Roman" w:eastAsia="ＭＳ 明朝"/>
          <w:b w:val="0"/>
          <w:color w:val="000000"/>
          <w:sz w:val="21"/>
        </w:rPr>
        <w:t>最終配分と20社の顔ぶれを、図表Ⅲ-1に一覧で示す（配分・事業概要・堀の偏差値を一表に集約）。役割の予算は守28／破28／離28／両立10／分散6％、最大の保有は株式会社ＺＯＺＯの5.60％。新バフェット型は株価の高い大型優良が中心で通常の売買単位(100株)では予算内に収まらないため、1株から買える単元未満株(金額指定)の利用を前提に、目標比率で総額500万円を配分した。堀の偏差値は全上場企業の中での位置を平均50で表した値で、現在の堀＝いまの競争優位、未来の堀＝これから生まれる競争優位の強さを示す。</w:t>
      </w:r>
    </w:p>
    <w:tbl>
      <w:tblPr>
        <w:tblStyle w:val="TableGrid"/>
        <w:tblW w:type="auto" w:w="0"/>
        <w:jc w:val="center"/>
        <w:tblLook w:firstColumn="1" w:firstRow="1" w:lastColumn="0" w:lastRow="0" w:noHBand="0" w:noVBand="1" w:val="04A0"/>
      </w:tblPr>
      <w:tblGrid>
        <w:gridCol w:w="1644"/>
        <w:gridCol w:w="1644"/>
        <w:gridCol w:w="1644"/>
        <w:gridCol w:w="1644"/>
        <w:gridCol w:w="1644"/>
        <w:gridCol w:w="1644"/>
      </w:tblGrid>
      <w:tr>
        <w:trPr>
          <w:cantSplit/>
        </w:trPr>
        <w:tc>
          <w:tcPr>
            <w:tcW w:type="dxa" w:w="1814"/>
            <w:shd w:val="clear" w:color="auto" w:fill="16324F"/>
          </w:tcPr>
          <w:p>
            <w:pPr>
              <w:spacing w:after="0"/>
              <w:ind w:firstLine="0" w:firstLineChars="0"/>
            </w:pPr>
            <w:r>
              <w:rPr>
                <w:rFonts w:ascii="Arial" w:hAnsi="Arial" w:eastAsia="ＭＳ ゴシック"/>
                <w:b/>
                <w:color w:val="FFFFFF"/>
                <w:sz w:val="20"/>
              </w:rPr>
              <w:t>企業（コード・社名）</w:t>
            </w:r>
          </w:p>
        </w:tc>
        <w:tc>
          <w:tcPr>
            <w:tcW w:type="dxa" w:w="1020"/>
            <w:shd w:val="clear" w:color="auto" w:fill="16324F"/>
          </w:tcPr>
          <w:p>
            <w:pPr>
              <w:spacing w:after="0"/>
              <w:ind w:firstLine="0" w:firstLineChars="0"/>
            </w:pPr>
            <w:r>
              <w:rPr>
                <w:rFonts w:ascii="Arial" w:hAnsi="Arial" w:eastAsia="ＭＳ ゴシック"/>
                <w:b/>
                <w:color w:val="FFFFFF"/>
                <w:sz w:val="20"/>
              </w:rPr>
              <w:t>役割</w:t>
            </w:r>
          </w:p>
        </w:tc>
        <w:tc>
          <w:tcPr>
            <w:tcW w:type="dxa" w:w="1247"/>
            <w:shd w:val="clear" w:color="auto" w:fill="16324F"/>
          </w:tcPr>
          <w:p>
            <w:pPr>
              <w:spacing w:after="0"/>
              <w:ind w:firstLine="0" w:firstLineChars="0"/>
            </w:pPr>
            <w:r>
              <w:rPr>
                <w:rFonts w:ascii="Arial" w:hAnsi="Arial" w:eastAsia="ＭＳ ゴシック"/>
                <w:b/>
                <w:color w:val="FFFFFF"/>
                <w:sz w:val="20"/>
              </w:rPr>
              <w:t>比率／金額</w:t>
            </w:r>
          </w:p>
        </w:tc>
        <w:tc>
          <w:tcPr>
            <w:tcW w:type="dxa" w:w="4422"/>
            <w:shd w:val="clear" w:color="auto" w:fill="16324F"/>
          </w:tcPr>
          <w:p>
            <w:pPr>
              <w:spacing w:after="0"/>
              <w:ind w:firstLine="0" w:firstLineChars="0"/>
            </w:pPr>
            <w:r>
              <w:rPr>
                <w:rFonts w:ascii="Arial" w:hAnsi="Arial" w:eastAsia="ＭＳ ゴシック"/>
                <w:b/>
                <w:color w:val="FFFFFF"/>
                <w:sz w:val="20"/>
              </w:rPr>
              <w:t>事業概要（要ＩＲ確認）</w:t>
            </w:r>
          </w:p>
        </w:tc>
        <w:tc>
          <w:tcPr>
            <w:tcW w:type="dxa" w:w="907"/>
            <w:shd w:val="clear" w:color="auto" w:fill="16324F"/>
          </w:tcPr>
          <w:p>
            <w:pPr>
              <w:spacing w:after="0"/>
              <w:ind w:firstLine="0" w:firstLineChars="0"/>
            </w:pPr>
            <w:r>
              <w:rPr>
                <w:rFonts w:ascii="Arial" w:hAnsi="Arial" w:eastAsia="ＭＳ ゴシック"/>
                <w:b/>
                <w:color w:val="FFFFFF"/>
                <w:sz w:val="20"/>
              </w:rPr>
              <w:t>現在</w:t>
              <w:br/>
              <w:t>の堀</w:t>
            </w:r>
          </w:p>
        </w:tc>
        <w:tc>
          <w:tcPr>
            <w:tcW w:type="dxa" w:w="907"/>
            <w:shd w:val="clear" w:color="auto" w:fill="16324F"/>
          </w:tcPr>
          <w:p>
            <w:pPr>
              <w:spacing w:after="0"/>
              <w:ind w:firstLine="0" w:firstLineChars="0"/>
            </w:pPr>
            <w:r>
              <w:rPr>
                <w:rFonts w:ascii="Arial" w:hAnsi="Arial" w:eastAsia="ＭＳ ゴシック"/>
                <w:b/>
                <w:color w:val="FFFFFF"/>
                <w:sz w:val="20"/>
              </w:rPr>
              <w:t>未来</w:t>
              <w:br/>
              <w:t>の堀</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3092 株式会社ＺＯＺＯ</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国内最大級のファッションEC「ZOZOTOWN」を運営</w:t>
            </w:r>
          </w:p>
        </w:tc>
        <w:tc>
          <w:tcPr>
            <w:tcW w:type="dxa" w:w="907"/>
          </w:tcPr>
          <w:p>
            <w:pPr>
              <w:spacing w:after="0"/>
              <w:ind w:firstLine="0" w:firstLineChars="0"/>
              <w:jc w:val="left"/>
            </w:pPr>
            <w:r>
              <w:rPr>
                <w:rFonts w:ascii="Times New Roman" w:hAnsi="Times New Roman" w:eastAsia="ＭＳ 明朝"/>
                <w:b w:val="0"/>
                <w:color w:val="000000"/>
                <w:sz w:val="20"/>
              </w:rPr>
              <w:t>78</w:t>
            </w:r>
          </w:p>
        </w:tc>
        <w:tc>
          <w:tcPr>
            <w:tcW w:type="dxa" w:w="90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4716 日本オラクル株式会社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企業向けデータベース・クラウド（米Oracle日本法人）</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77</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53</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7014 株式会社名村造船所</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船舶建造（ばら積み船等）※循環業のため守での扱いは要検討</w:t>
            </w:r>
          </w:p>
        </w:tc>
        <w:tc>
          <w:tcPr>
            <w:tcW w:type="dxa" w:w="907"/>
          </w:tcPr>
          <w:p>
            <w:pPr>
              <w:spacing w:after="0"/>
              <w:ind w:firstLine="0" w:firstLineChars="0"/>
              <w:jc w:val="left"/>
            </w:pPr>
            <w:r>
              <w:rPr>
                <w:rFonts w:ascii="Times New Roman" w:hAnsi="Times New Roman" w:eastAsia="ＭＳ 明朝"/>
                <w:b w:val="0"/>
                <w:color w:val="000000"/>
                <w:sz w:val="20"/>
              </w:rPr>
              <w:t>45</w:t>
            </w:r>
          </w:p>
        </w:tc>
        <w:tc>
          <w:tcPr>
            <w:tcW w:type="dxa" w:w="907"/>
          </w:tcPr>
          <w:p>
            <w:pPr>
              <w:spacing w:after="0"/>
              <w:ind w:firstLine="0" w:firstLineChars="0"/>
              <w:jc w:val="left"/>
            </w:pPr>
            <w:r>
              <w:rPr>
                <w:rFonts w:ascii="Times New Roman" w:hAnsi="Times New Roman" w:eastAsia="ＭＳ 明朝"/>
                <w:b w:val="0"/>
                <w:color w:val="000000"/>
                <w:sz w:val="20"/>
              </w:rPr>
              <w:t>50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8136 株式会社サンリオ</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ハローキティ等のキャラクターIP・ライセンス事業</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67</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6920 レーザーテック株式会社</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半導体マスク欠陥検査装置（EUV向けで世界的地位）</w:t>
            </w:r>
          </w:p>
        </w:tc>
        <w:tc>
          <w:tcPr>
            <w:tcW w:type="dxa" w:w="907"/>
          </w:tcPr>
          <w:p>
            <w:pPr>
              <w:spacing w:after="0"/>
              <w:ind w:firstLine="0" w:firstLineChars="0"/>
              <w:jc w:val="left"/>
            </w:pPr>
            <w:r>
              <w:rPr>
                <w:rFonts w:ascii="Times New Roman" w:hAnsi="Times New Roman" w:eastAsia="ＭＳ 明朝"/>
                <w:b w:val="0"/>
                <w:color w:val="000000"/>
                <w:sz w:val="20"/>
              </w:rPr>
              <w:t>75</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9022 東海旅客鉄道株式会社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東海道新幹線を運営、リニア中央新幹線を建設中</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71</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9513 電源開発株式会社</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卸電力（水力・火力・再エネ）、脱炭素で変革</w:t>
            </w:r>
          </w:p>
        </w:tc>
        <w:tc>
          <w:tcPr>
            <w:tcW w:type="dxa" w:w="907"/>
          </w:tcPr>
          <w:p>
            <w:pPr>
              <w:spacing w:after="0"/>
              <w:ind w:firstLine="0" w:firstLineChars="0"/>
              <w:jc w:val="left"/>
            </w:pPr>
            <w:r>
              <w:rPr>
                <w:rFonts w:ascii="Times New Roman" w:hAnsi="Times New Roman" w:eastAsia="ＭＳ 明朝"/>
                <w:b w:val="0"/>
                <w:color w:val="000000"/>
                <w:sz w:val="20"/>
              </w:rPr>
              <w:t>52</w:t>
            </w:r>
          </w:p>
        </w:tc>
        <w:tc>
          <w:tcPr>
            <w:tcW w:type="dxa" w:w="90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9503 関西電力株式会社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電力事業（原発再稼働を推進）</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48</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1662 石油資源開発株式会社</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石油・天然ガスの探鉱開発（E&amp;P）、資源高・株主還元</w:t>
            </w:r>
          </w:p>
        </w:tc>
        <w:tc>
          <w:tcPr>
            <w:tcW w:type="dxa" w:w="907"/>
          </w:tcPr>
          <w:p>
            <w:pPr>
              <w:spacing w:after="0"/>
              <w:ind w:firstLine="0" w:firstLineChars="0"/>
              <w:jc w:val="left"/>
            </w:pPr>
            <w:r>
              <w:rPr>
                <w:rFonts w:ascii="Times New Roman" w:hAnsi="Times New Roman" w:eastAsia="ＭＳ 明朝"/>
                <w:b w:val="0"/>
                <w:color w:val="000000"/>
                <w:sz w:val="20"/>
              </w:rPr>
              <w:t>65</w:t>
            </w:r>
          </w:p>
        </w:tc>
        <w:tc>
          <w:tcPr>
            <w:tcW w:type="dxa" w:w="907"/>
          </w:tcPr>
          <w:p>
            <w:pPr>
              <w:spacing w:after="0"/>
              <w:ind w:firstLine="0" w:firstLineChars="0"/>
              <w:jc w:val="left"/>
            </w:pPr>
            <w:r>
              <w:rPr>
                <w:rFonts w:ascii="Times New Roman" w:hAnsi="Times New Roman" w:eastAsia="ＭＳ 明朝"/>
                <w:b w:val="0"/>
                <w:color w:val="000000"/>
                <w:sz w:val="20"/>
              </w:rPr>
              <w:t>40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5214 日本電気硝子株式会社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特殊ガラス（ディスプレイ・医薬・繊維用）</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56</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49</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6777 ｓａｎｔｅｃ　Ｈｏｌｄｉｎｇｓ株式会社</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波長可変レーザ・光通信部品（AIデータセンター向け）</w:t>
            </w:r>
          </w:p>
        </w:tc>
        <w:tc>
          <w:tcPr>
            <w:tcW w:type="dxa" w:w="907"/>
          </w:tcPr>
          <w:p>
            <w:pPr>
              <w:spacing w:after="0"/>
              <w:ind w:firstLine="0" w:firstLineChars="0"/>
              <w:jc w:val="left"/>
            </w:pPr>
            <w:r>
              <w:rPr>
                <w:rFonts w:ascii="Times New Roman" w:hAnsi="Times New Roman" w:eastAsia="ＭＳ 明朝"/>
                <w:b w:val="0"/>
                <w:color w:val="000000"/>
                <w:sz w:val="20"/>
              </w:rPr>
              <w:t>60</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6871 株式会社日本マイクロニクス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半導体プローブカード（先端ウエハテスト用）</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6590 芝浦メカトロニクス株式会社</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半導体・FPD製造装置（洗浄・成膜・検査）</w:t>
            </w:r>
          </w:p>
        </w:tc>
        <w:tc>
          <w:tcPr>
            <w:tcW w:type="dxa" w:w="907"/>
          </w:tcPr>
          <w:p>
            <w:pPr>
              <w:spacing w:after="0"/>
              <w:ind w:firstLine="0" w:firstLineChars="0"/>
              <w:jc w:val="left"/>
            </w:pPr>
            <w:r>
              <w:rPr>
                <w:rFonts w:ascii="Times New Roman" w:hAnsi="Times New Roman" w:eastAsia="ＭＳ 明朝"/>
                <w:b w:val="0"/>
                <w:color w:val="000000"/>
                <w:sz w:val="20"/>
              </w:rPr>
              <w:t>43</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6387 サムコ　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5.6％</w:t>
              <w:br/>
              <w:t>280,000円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化合物半導体（GaN/SiC）向け薄膜・エッチング装置</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53</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66</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6627 株式会社テラプローブ</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247"/>
          </w:tcPr>
          <w:p>
            <w:pPr>
              <w:spacing w:after="0"/>
              <w:ind w:firstLine="0" w:firstLineChars="0"/>
              <w:jc w:val="left"/>
            </w:pPr>
            <w:r>
              <w:rPr>
                <w:rFonts w:ascii="Times New Roman" w:hAnsi="Times New Roman" w:eastAsia="ＭＳ 明朝"/>
                <w:b w:val="0"/>
                <w:color w:val="000000"/>
                <w:sz w:val="20"/>
              </w:rPr>
              <w:t>5.6％</w:t>
              <w:br/>
              <w:t>280,000円</w:t>
            </w:r>
          </w:p>
        </w:tc>
        <w:tc>
          <w:tcPr>
            <w:tcW w:type="dxa" w:w="4422"/>
          </w:tcPr>
          <w:p>
            <w:pPr>
              <w:spacing w:after="0"/>
              <w:ind w:firstLine="0" w:firstLineChars="0"/>
              <w:jc w:val="left"/>
            </w:pPr>
            <w:r>
              <w:rPr>
                <w:rFonts w:ascii="Times New Roman" w:hAnsi="Times New Roman" w:eastAsia="ＭＳ 明朝"/>
                <w:b w:val="0"/>
                <w:color w:val="000000"/>
                <w:sz w:val="20"/>
              </w:rPr>
              <w:t>半導体ウエハテスト受託（テストハウス）</w:t>
            </w:r>
          </w:p>
        </w:tc>
        <w:tc>
          <w:tcPr>
            <w:tcW w:type="dxa" w:w="907"/>
          </w:tcPr>
          <w:p>
            <w:pPr>
              <w:spacing w:after="0"/>
              <w:ind w:firstLine="0" w:firstLineChars="0"/>
              <w:jc w:val="left"/>
            </w:pPr>
            <w:r>
              <w:rPr>
                <w:rFonts w:ascii="Times New Roman" w:hAnsi="Times New Roman" w:eastAsia="ＭＳ 明朝"/>
                <w:b w:val="0"/>
                <w:color w:val="000000"/>
                <w:sz w:val="20"/>
              </w:rPr>
              <w:t>56</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6861 株式会社キーエンス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3.3％</w:t>
              <w:br/>
              <w:t>166,666円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FA（工場自動化）センサ・測定器</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84</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7725 株式会社インターアクション</w:t>
            </w:r>
          </w:p>
        </w:tc>
        <w:tc>
          <w:tcPr>
            <w:tcW w:type="dxa" w:w="1020"/>
          </w:tcPr>
          <w:p>
            <w:pPr>
              <w:spacing w:after="0"/>
              <w:ind w:firstLine="0" w:firstLineChars="0"/>
              <w:jc w:val="left"/>
            </w:pPr>
            <w:r>
              <w:rPr>
                <w:rFonts w:ascii="Times New Roman" w:hAnsi="Times New Roman" w:eastAsia="ＭＳ 明朝"/>
                <w:b w:val="0"/>
                <w:color w:val="000000"/>
                <w:sz w:val="20"/>
              </w:rPr>
              <w:t>両立型</w:t>
            </w:r>
          </w:p>
        </w:tc>
        <w:tc>
          <w:tcPr>
            <w:tcW w:type="dxa" w:w="1247"/>
          </w:tcPr>
          <w:p>
            <w:pPr>
              <w:spacing w:after="0"/>
              <w:ind w:firstLine="0" w:firstLineChars="0"/>
              <w:jc w:val="left"/>
            </w:pPr>
            <w:r>
              <w:rPr>
                <w:rFonts w:ascii="Times New Roman" w:hAnsi="Times New Roman" w:eastAsia="ＭＳ 明朝"/>
                <w:b w:val="0"/>
                <w:color w:val="000000"/>
                <w:sz w:val="20"/>
              </w:rPr>
              <w:t>3.3％</w:t>
              <w:br/>
              <w:t>166,666円</w:t>
            </w:r>
          </w:p>
        </w:tc>
        <w:tc>
          <w:tcPr>
            <w:tcW w:type="dxa" w:w="4422"/>
          </w:tcPr>
          <w:p>
            <w:pPr>
              <w:spacing w:after="0"/>
              <w:ind w:firstLine="0" w:firstLineChars="0"/>
              <w:jc w:val="left"/>
            </w:pPr>
            <w:r>
              <w:rPr>
                <w:rFonts w:ascii="Times New Roman" w:hAnsi="Times New Roman" w:eastAsia="ＭＳ 明朝"/>
                <w:b w:val="0"/>
                <w:color w:val="000000"/>
                <w:sz w:val="20"/>
              </w:rPr>
              <w:t>半導体イメージセンサ検査用光源装置等</w:t>
            </w:r>
          </w:p>
        </w:tc>
        <w:tc>
          <w:tcPr>
            <w:tcW w:type="dxa" w:w="907"/>
          </w:tcPr>
          <w:p>
            <w:pPr>
              <w:spacing w:after="0"/>
              <w:ind w:firstLine="0" w:firstLineChars="0"/>
              <w:jc w:val="left"/>
            </w:pPr>
            <w:r>
              <w:rPr>
                <w:rFonts w:ascii="Times New Roman" w:hAnsi="Times New Roman" w:eastAsia="ＭＳ 明朝"/>
                <w:b w:val="0"/>
                <w:color w:val="000000"/>
                <w:sz w:val="20"/>
              </w:rPr>
              <w:t>75</w:t>
            </w:r>
          </w:p>
        </w:tc>
        <w:tc>
          <w:tcPr>
            <w:tcW w:type="dxa" w:w="907"/>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6929 日本セラミック株式会社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3.3％</w:t>
              <w:br/>
              <w:t>166,666円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赤外線センサ等のセンサ</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69</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70</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3449 株式会社テクノフレックス</w:t>
            </w:r>
          </w:p>
        </w:tc>
        <w:tc>
          <w:tcPr>
            <w:tcW w:type="dxa" w:w="1020"/>
          </w:tcPr>
          <w:p>
            <w:pPr>
              <w:spacing w:after="0"/>
              <w:ind w:firstLine="0" w:firstLineChars="0"/>
              <w:jc w:val="left"/>
            </w:pPr>
            <w:r>
              <w:rPr>
                <w:rFonts w:ascii="Times New Roman" w:hAnsi="Times New Roman" w:eastAsia="ＭＳ 明朝"/>
                <w:b w:val="0"/>
                <w:color w:val="000000"/>
                <w:sz w:val="20"/>
              </w:rPr>
              <w:t>分散役</w:t>
            </w:r>
          </w:p>
        </w:tc>
        <w:tc>
          <w:tcPr>
            <w:tcW w:type="dxa" w:w="1247"/>
          </w:tcPr>
          <w:p>
            <w:pPr>
              <w:spacing w:after="0"/>
              <w:ind w:firstLine="0" w:firstLineChars="0"/>
              <w:jc w:val="left"/>
            </w:pPr>
            <w:r>
              <w:rPr>
                <w:rFonts w:ascii="Times New Roman" w:hAnsi="Times New Roman" w:eastAsia="ＭＳ 明朝"/>
                <w:b w:val="0"/>
                <w:color w:val="000000"/>
                <w:sz w:val="20"/>
              </w:rPr>
              <w:t>3.0％</w:t>
              <w:br/>
              <w:t>149,999円</w:t>
            </w:r>
          </w:p>
        </w:tc>
        <w:tc>
          <w:tcPr>
            <w:tcW w:type="dxa" w:w="4422"/>
          </w:tcPr>
          <w:p>
            <w:pPr>
              <w:spacing w:after="0"/>
              <w:ind w:firstLine="0" w:firstLineChars="0"/>
              <w:jc w:val="left"/>
            </w:pPr>
            <w:r>
              <w:rPr>
                <w:rFonts w:ascii="Times New Roman" w:hAnsi="Times New Roman" w:eastAsia="ＭＳ 明朝"/>
                <w:b w:val="0"/>
                <w:color w:val="000000"/>
                <w:sz w:val="20"/>
              </w:rPr>
              <w:t>金属フレキシブルチューブ・配管継手</w:t>
            </w:r>
          </w:p>
        </w:tc>
        <w:tc>
          <w:tcPr>
            <w:tcW w:type="dxa" w:w="907"/>
          </w:tcPr>
          <w:p>
            <w:pPr>
              <w:spacing w:after="0"/>
              <w:ind w:firstLine="0" w:firstLineChars="0"/>
              <w:jc w:val="left"/>
            </w:pPr>
            <w:r>
              <w:rPr>
                <w:rFonts w:ascii="Times New Roman" w:hAnsi="Times New Roman" w:eastAsia="ＭＳ 明朝"/>
                <w:b w:val="0"/>
                <w:color w:val="000000"/>
                <w:sz w:val="20"/>
              </w:rPr>
              <w:t>62</w:t>
            </w:r>
          </w:p>
        </w:tc>
        <w:tc>
          <w:tcPr>
            <w:tcW w:type="dxa" w:w="907"/>
          </w:tcPr>
          <w:p>
            <w:pPr>
              <w:spacing w:after="0"/>
              <w:ind w:firstLine="0" w:firstLineChars="0"/>
              <w:jc w:val="left"/>
            </w:pPr>
            <w:r>
              <w:rPr>
                <w:rFonts w:ascii="Times New Roman" w:hAnsi="Times New Roman" w:eastAsia="ＭＳ 明朝"/>
                <w:b w:val="0"/>
                <w:color w:val="000000"/>
                <w:sz w:val="20"/>
              </w:rPr>
              <w:t>54</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4971 メック株式会社</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分散役</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3.0％</w:t>
              <w:br/>
              <w:t>149,999円</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プリント基板・半導体向け薬品（表面処理）</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55</w:t>
            </w:r>
          </w:p>
        </w:tc>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54</w:t>
            </w:r>
          </w:p>
        </w:tc>
      </w:tr>
    </w:tbl>
    <w:p>
      <w:pPr>
        <w:spacing w:before="0" w:after="60" w:line="298" w:lineRule="auto"/>
        <w:ind w:firstLine="0" w:firstLineChars="0"/>
      </w:pPr>
    </w:p>
    <w:p>
      <w:pPr>
        <w:spacing w:before="0" w:after="140" w:line="298" w:lineRule="auto"/>
        <w:ind w:firstLine="0" w:firstLineChars="0"/>
      </w:pPr>
      <w:r>
        <w:rPr>
          <w:rFonts w:ascii="Times New Roman" w:hAnsi="Times New Roman" w:eastAsia="ＭＳ 明朝"/>
          <w:b w:val="0"/>
          <w:color w:val="000000"/>
          <w:sz w:val="20"/>
        </w:rPr>
        <w:t>図表Ⅲ-1　最終ポートフォリオ20社（総予算500万円・単元未満株の目標配分）。事業概要は各社ＩＲ資料で確認して記載。堀の偏差値は全上場企業の中での位置(平均50)。出所：portfolio_v7.json・data_real_v7.json。</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2．銘柄紹介 ― 三世代の堀、20社の顔ぶれ</w:t>
      </w:r>
    </w:p>
    <w:p>
      <w:pPr>
        <w:spacing w:after="80" w:line="281" w:lineRule="auto"/>
        <w:jc w:val="both"/>
        <w:ind w:firstLineChars="100" w:firstLine="210"/>
      </w:pPr>
      <w:r>
        <w:rPr>
          <w:rFonts w:ascii="Times New Roman" w:hAnsi="Times New Roman" w:eastAsia="ＭＳ 明朝"/>
          <w:b w:val="0"/>
          <w:color w:val="000000"/>
          <w:sz w:val="21"/>
        </w:rPr>
        <w:t>各社の「選定データが語る事実」は、第Ⅱ章の点数と証拠から自動的に書ける。一方、事業の中身と堀の背景は、各社のＩＲ資料・有価証券報告書で確かめてから書くべきものなので、確認欄として残した(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完成した堀 ― 守の式だけで選んだ基準線。この5社を上回れるかが「超える」の物差しになる。</w:t>
      </w:r>
    </w:p>
    <w:p>
      <w:pPr>
        <w:spacing w:after="80" w:line="281" w:lineRule="auto"/>
        <w:jc w:val="both"/>
        <w:ind w:firstLineChars="100" w:firstLine="210"/>
      </w:pPr>
      <w:r>
        <w:rPr>
          <w:rFonts w:ascii="Times New Roman" w:hAnsi="Times New Roman" w:eastAsia="ＭＳ 明朝"/>
          <w:b w:val="0"/>
          <w:color w:val="000000"/>
          <w:sz w:val="21"/>
        </w:rPr>
        <w:t>3092 株式会社ＺＯＺＯ／4716 日本オラクル株式会社／7014 株式会社名村造船所／8136 株式会社サンリオ／6920 レーザーテック株式会社。（配分・事業概要・堀の偏差値は図表Ⅲ-1に集約。各社の証拠水準と役割別スコアの詳細は技術補遺§Bに、事業内容と堀の背景は各社ＩＲ資料で確認のうえ記載する＝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変わる堀 ― 割安×改善の証拠で選んだ、これから変わる会社。</w:t>
      </w:r>
    </w:p>
    <w:p>
      <w:pPr>
        <w:spacing w:after="80" w:line="281" w:lineRule="auto"/>
        <w:jc w:val="both"/>
        <w:ind w:firstLineChars="100" w:firstLine="210"/>
      </w:pPr>
      <w:r>
        <w:rPr>
          <w:rFonts w:ascii="Times New Roman" w:hAnsi="Times New Roman" w:eastAsia="ＭＳ 明朝"/>
          <w:b w:val="0"/>
          <w:color w:val="000000"/>
          <w:sz w:val="21"/>
        </w:rPr>
        <w:t>9022 東海旅客鉄道株式会社／9513 電源開発株式会社／9503 関西電力株式会社／1662 石油資源開発株式会社／5214 日本電気硝子株式会社。（配分・事業概要・堀の偏差値は図表Ⅲ-1に集約。各社の証拠水準と役割別スコアの詳細は技術補遺§Bに、事業内容と堀の背景は各社ＩＲ資料で確認のうえ記載する＝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生まれる堀 ― ＡＩ基盤への実需接続を証拠で確かめた、新しい堀が生まれる会社。</w:t>
      </w:r>
    </w:p>
    <w:p>
      <w:pPr>
        <w:spacing w:after="80" w:line="281" w:lineRule="auto"/>
        <w:jc w:val="both"/>
        <w:ind w:firstLineChars="100" w:firstLine="210"/>
      </w:pPr>
      <w:r>
        <w:rPr>
          <w:rFonts w:ascii="Times New Roman" w:hAnsi="Times New Roman" w:eastAsia="ＭＳ 明朝"/>
          <w:b w:val="0"/>
          <w:color w:val="000000"/>
          <w:sz w:val="21"/>
        </w:rPr>
        <w:t>6777 ｓａｎｔｅｃ　Ｈｏｌｄｉｎｇｓ株式会社／6871 株式会社日本マイクロニクス／6590 芝浦メカトロニクス株式会社／6387 サムコ　株式会社／6627 株式会社テラプローブ。（配分・事業概要・堀の偏差値は図表Ⅲ-1に集約。各社の証拠水準と役割別スコアの詳細は技術補遺§Bに、事業内容と堀の背景は各社ＩＲ資料で確認のうえ記載する＝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両立型 ― 変わる堀と生まれる堀、二つの点数がともに高い会社。</w:t>
      </w:r>
    </w:p>
    <w:p>
      <w:pPr>
        <w:spacing w:after="80" w:line="281" w:lineRule="auto"/>
        <w:jc w:val="both"/>
        <w:ind w:firstLineChars="100" w:firstLine="210"/>
      </w:pPr>
      <w:r>
        <w:rPr>
          <w:rFonts w:ascii="Times New Roman" w:hAnsi="Times New Roman" w:eastAsia="ＭＳ 明朝"/>
          <w:b w:val="0"/>
          <w:color w:val="000000"/>
          <w:sz w:val="21"/>
        </w:rPr>
        <w:t>6861 株式会社キーエンス／7725 株式会社インターアクション／6929 日本セラミック株式会社。（配分・事業概要・堀の偏差値は図表Ⅲ-1に集約。各社の証拠水準と役割別スコアの詳細は技術補遺§Bに、事業内容と堀の背景は各社ＩＲ資料で確認のうえ記載する＝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分散役 ― 業種・テーマの偏りを整え、ポートフォリオ全体を安定させる会社。</w:t>
      </w:r>
    </w:p>
    <w:p>
      <w:pPr>
        <w:spacing w:after="80" w:line="281" w:lineRule="auto"/>
        <w:jc w:val="both"/>
        <w:ind w:firstLineChars="100" w:firstLine="210"/>
      </w:pPr>
      <w:r>
        <w:rPr>
          <w:rFonts w:ascii="Times New Roman" w:hAnsi="Times New Roman" w:eastAsia="ＭＳ 明朝"/>
          <w:b w:val="0"/>
          <w:color w:val="000000"/>
          <w:sz w:val="21"/>
        </w:rPr>
        <w:t>3449 株式会社テクノフレックス／4971 メック株式会社。（配分・事業概要・堀の偏差値は図表Ⅲ-1に集約。各社の証拠水準と役割別スコアの詳細は技術補遺§Bに、事業内容と堀の背景は各社ＩＲ資料で確認のうえ記載する＝創作はしない。）</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3．パフォーマンス検証 ― 新バフェット型・市場と比べる</w:t>
      </w:r>
    </w:p>
    <w:p>
      <w:pPr>
        <w:spacing w:after="80" w:line="281" w:lineRule="auto"/>
        <w:jc w:val="both"/>
        <w:ind w:firstLineChars="100" w:firstLine="210"/>
      </w:pPr>
      <w:r>
        <w:rPr>
          <w:rFonts w:ascii="Times New Roman" w:hAnsi="Times New Roman" w:eastAsia="ＭＳ 明朝"/>
          <w:b w:val="0"/>
          <w:color w:val="000000"/>
          <w:sz w:val="21"/>
        </w:rPr>
        <w:t>前節までで20社と配分が決まった。本節では第Ⅰ章の条件④を検証する。比べる物差しは、分析の前に宣言しておく――①年率リターン ②ＴＯＰＩＸ超過 ③市場との連動度(β) ④最大の下落 ⑤市場超過の安定度(ＩＲ)の5つ、期間は「選定に使った3年」と「選定に使っていない直近1年」に分ける。正確には、この直近1年も選定の点数計算に使っていないという意味であり、配分の値動き係数(式13のσ)は同じ1年の変動を入力に使う――完全な時点外検証ではないと限定をつけて読む(技術補遺§G)。過去データで選ぶ条件はどのチームも同じであり、その分は割り引いて読む――この注意はここに一度だけ書く。</w:t>
      </w:r>
    </w:p>
    <w:p>
      <w:pPr>
        <w:spacing w:after="80" w:line="281" w:lineRule="auto"/>
        <w:jc w:val="both"/>
        <w:ind w:firstLineChars="100" w:firstLine="210"/>
      </w:pPr>
      <w:r>
        <w:rPr>
          <w:rFonts w:ascii="Times New Roman" w:hAnsi="Times New Roman" w:eastAsia="ＭＳ 明朝"/>
          <w:b w:val="0"/>
          <w:color w:val="000000"/>
          <w:sz w:val="21"/>
        </w:rPr>
        <w:t>比較相手は二つ置く。主対照は『新バフェット型』――同じ出発点から、バフェットの品質基準(高収益・堀・財務健全)だけで選んだ大型優良の上位12社(時価総額加重)である。参考として『純正グレアム型』――割安一辺倒(簿価割れ)の式だけで選んだ20社(等金額)も併記する。さらに市場平均としてＴＯＰＩＸ・日経平均を並べる。いずれも私たちが同じ規律で、後から入れ替えずに計算した。</w:t>
      </w:r>
    </w:p>
    <w:p>
      <w:pPr>
        <w:spacing w:after="80" w:line="281" w:lineRule="auto"/>
        <w:jc w:val="both"/>
        <w:ind w:firstLineChars="100" w:firstLine="210"/>
      </w:pPr>
      <w:r>
        <w:rPr>
          <w:rFonts w:ascii="Times New Roman" w:hAnsi="Times New Roman" w:eastAsia="ＭＳ 明朝"/>
          <w:b w:val="0"/>
          <w:color w:val="000000"/>
          <w:sz w:val="21"/>
        </w:rPr>
        <w:t>位置づけに先に限定をつける。新バフェット型もグレアム型も『式だけの機械選定』であり、バフェット本人の運用(少数集中・保険フロートによる調達・数十年保有)そのものではない。したがってこの比較は「バフェット本人に勝った」ことを意味せず、『同じ土俵で式だけを使った場合に対し、三世代の設計が何を足したか』を測る基準線として読む。そしてすべては2026年時点の選定を過去に当てた自己検証であり、将来の勝利の証明ではない。</w:t>
      </w:r>
    </w:p>
    <w:p>
      <w:pPr>
        <w:keepNext/>
        <w:spacing w:before="100" w:after="40" w:line="298" w:lineRule="auto"/>
        <w:ind w:firstLine="0" w:firstLineChars="0"/>
      </w:pPr>
      <w:r>
        <w:rPr>
          <w:rFonts w:ascii="Arial" w:hAnsi="Arial" w:eastAsia="ＭＳ ゴシック"/>
          <w:b/>
          <w:color w:val="16324F"/>
          <w:sz w:val="21"/>
        </w:rPr>
        <w:t>図表Ⅲ-7　累積リターンの比較(過去3年・期首=1)</w:t>
      </w:r>
    </w:p>
    <w:p>
      <w:pPr>
        <w:jc w:val="center"/>
        <w:keepNext/>
        <w:ind w:firstLine="0" w:firstLineChars="0"/>
      </w:pPr>
      <w:r>
        <w:drawing>
          <wp:inline xmlns:a="http://schemas.openxmlformats.org/drawingml/2006/main" xmlns:pic="http://schemas.openxmlformats.org/drawingml/2006/picture">
            <wp:extent cx="5328000" cy="3078400"/>
            <wp:docPr id="6" name="Picture 6"/>
            <wp:cNvGraphicFramePr>
              <a:graphicFrameLocks noChangeAspect="1"/>
            </wp:cNvGraphicFramePr>
            <a:graphic>
              <a:graphicData uri="http://schemas.openxmlformats.org/drawingml/2006/picture">
                <pic:pic>
                  <pic:nvPicPr>
                    <pic:cNvPr id="0" name="cum_v7.png"/>
                    <pic:cNvPicPr/>
                  </pic:nvPicPr>
                  <pic:blipFill>
                    <a:blip r:embed="rId15"/>
                    <a:stretch>
                      <a:fillRect/>
                    </a:stretch>
                  </pic:blipFill>
                  <pic:spPr>
                    <a:xfrm>
                      <a:off x="0" y="0"/>
                      <a:ext cx="5328000" cy="30784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本ＰＦ・新バフェット型・純正グレアム型・ＴＯＰＩＸ・日経平均。ＴＯＰＩＸ連動指数1306は未調整の株式分割(2026-03-30)を×10補正、指数系列の欠測を前営業日で補完。価格はyfinance調整後終値(配当込み。日経のみ価格指数)。すべて2026年時点選定の自己検証。出所：control_comparison_v7.json・価格正典データ。</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2268"/>
            <w:shd w:val="clear" w:color="auto" w:fill="16324F"/>
          </w:tcPr>
          <w:p>
            <w:pPr>
              <w:spacing w:after="0"/>
              <w:ind w:firstLine="0" w:firstLineChars="0"/>
            </w:pPr>
            <w:r>
              <w:rPr>
                <w:rFonts w:ascii="Arial" w:hAnsi="Arial" w:eastAsia="ＭＳ ゴシック"/>
                <w:b/>
                <w:color w:val="FFFFFF"/>
                <w:sz w:val="20"/>
              </w:rPr>
              <w:t>物差し</w:t>
            </w:r>
          </w:p>
        </w:tc>
        <w:tc>
          <w:tcPr>
            <w:tcW w:type="dxa" w:w="1701"/>
            <w:shd w:val="clear" w:color="auto" w:fill="16324F"/>
          </w:tcPr>
          <w:p>
            <w:pPr>
              <w:spacing w:after="0"/>
              <w:ind w:firstLine="0" w:firstLineChars="0"/>
            </w:pPr>
            <w:r>
              <w:rPr>
                <w:rFonts w:ascii="Arial" w:hAnsi="Arial" w:eastAsia="ＭＳ ゴシック"/>
                <w:b/>
                <w:color w:val="FFFFFF"/>
                <w:sz w:val="20"/>
              </w:rPr>
              <w:t>本ＰＦ(離)</w:t>
            </w:r>
          </w:p>
        </w:tc>
        <w:tc>
          <w:tcPr>
            <w:tcW w:type="dxa" w:w="2154"/>
            <w:shd w:val="clear" w:color="auto" w:fill="16324F"/>
          </w:tcPr>
          <w:p>
            <w:pPr>
              <w:spacing w:after="0"/>
              <w:ind w:firstLine="0" w:firstLineChars="0"/>
            </w:pPr>
            <w:r>
              <w:rPr>
                <w:rFonts w:ascii="Arial" w:hAnsi="Arial" w:eastAsia="ＭＳ ゴシック"/>
                <w:b/>
                <w:color w:val="FFFFFF"/>
                <w:sz w:val="20"/>
              </w:rPr>
              <w:t>新バフェット型(主対照)</w:t>
            </w:r>
          </w:p>
        </w:tc>
        <w:tc>
          <w:tcPr>
            <w:tcW w:type="dxa" w:w="1587"/>
            <w:shd w:val="clear" w:color="auto" w:fill="16324F"/>
          </w:tcPr>
          <w:p>
            <w:pPr>
              <w:spacing w:after="0"/>
              <w:ind w:firstLine="0" w:firstLineChars="0"/>
            </w:pPr>
            <w:r>
              <w:rPr>
                <w:rFonts w:ascii="Arial" w:hAnsi="Arial" w:eastAsia="ＭＳ ゴシック"/>
                <w:b/>
                <w:color w:val="FFFFFF"/>
                <w:sz w:val="20"/>
              </w:rPr>
              <w:t>ＴＯＰＩＸ</w:t>
            </w:r>
          </w:p>
        </w:tc>
        <w:tc>
          <w:tcPr>
            <w:tcW w:type="dxa" w:w="1587"/>
            <w:shd w:val="clear" w:color="auto" w:fill="16324F"/>
          </w:tcPr>
          <w:p>
            <w:pPr>
              <w:spacing w:after="0"/>
              <w:ind w:firstLine="0" w:firstLineChars="0"/>
            </w:pPr>
            <w:r>
              <w:rPr>
                <w:rFonts w:ascii="Arial" w:hAnsi="Arial" w:eastAsia="ＭＳ ゴシック"/>
                <w:b/>
                <w:color w:val="FFFFFF"/>
                <w:sz w:val="20"/>
              </w:rPr>
              <w:t>日経平均</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年率リターン(3年)</w:t>
            </w:r>
          </w:p>
        </w:tc>
        <w:tc>
          <w:tcPr>
            <w:tcW w:type="dxa" w:w="1701"/>
          </w:tcPr>
          <w:p>
            <w:pPr>
              <w:spacing w:after="0"/>
              <w:ind w:firstLine="0" w:firstLineChars="0"/>
              <w:jc w:val="left"/>
            </w:pPr>
            <w:r>
              <w:rPr>
                <w:rFonts w:ascii="Times New Roman" w:hAnsi="Times New Roman" w:eastAsia="ＭＳ 明朝"/>
                <w:b w:val="0"/>
                <w:color w:val="000000"/>
                <w:sz w:val="20"/>
              </w:rPr>
              <w:t>54.7%</w:t>
            </w:r>
          </w:p>
        </w:tc>
        <w:tc>
          <w:tcPr>
            <w:tcW w:type="dxa" w:w="2154"/>
          </w:tcPr>
          <w:p>
            <w:pPr>
              <w:spacing w:after="0"/>
              <w:ind w:firstLine="0" w:firstLineChars="0"/>
              <w:jc w:val="left"/>
            </w:pPr>
            <w:r>
              <w:rPr>
                <w:rFonts w:ascii="Times New Roman" w:hAnsi="Times New Roman" w:eastAsia="ＭＳ 明朝"/>
                <w:b w:val="0"/>
                <w:color w:val="000000"/>
                <w:sz w:val="20"/>
              </w:rPr>
              <w:t>42.6%</w:t>
            </w:r>
          </w:p>
        </w:tc>
        <w:tc>
          <w:tcPr>
            <w:tcW w:type="dxa" w:w="1587"/>
          </w:tcPr>
          <w:p>
            <w:pPr>
              <w:spacing w:after="0"/>
              <w:ind w:firstLine="0" w:firstLineChars="0"/>
              <w:jc w:val="left"/>
            </w:pPr>
            <w:r>
              <w:rPr>
                <w:rFonts w:ascii="Times New Roman" w:hAnsi="Times New Roman" w:eastAsia="ＭＳ 明朝"/>
                <w:b w:val="0"/>
                <w:color w:val="000000"/>
                <w:sz w:val="20"/>
              </w:rPr>
              <w:t>24.0%</w:t>
            </w:r>
          </w:p>
        </w:tc>
        <w:tc>
          <w:tcPr>
            <w:tcW w:type="dxa" w:w="1587"/>
          </w:tcPr>
          <w:p>
            <w:pPr>
              <w:spacing w:after="0"/>
              <w:ind w:firstLine="0" w:firstLineChars="0"/>
              <w:jc w:val="left"/>
            </w:pPr>
            <w:r>
              <w:rPr>
                <w:rFonts w:ascii="Times New Roman" w:hAnsi="Times New Roman" w:eastAsia="ＭＳ 明朝"/>
                <w:b w:val="0"/>
                <w:color w:val="000000"/>
                <w:sz w:val="20"/>
              </w:rPr>
              <w:t>32.8%</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ＴＯＰＩＸ超過(3年)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＋30.7pt</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18.6pt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市場との連動度β(3年)</w:t>
            </w:r>
          </w:p>
        </w:tc>
        <w:tc>
          <w:tcPr>
            <w:tcW w:type="dxa" w:w="1701"/>
          </w:tcPr>
          <w:p>
            <w:pPr>
              <w:spacing w:after="0"/>
              <w:ind w:firstLine="0" w:firstLineChars="0"/>
              <w:jc w:val="left"/>
            </w:pPr>
            <w:r>
              <w:rPr>
                <w:rFonts w:ascii="Times New Roman" w:hAnsi="Times New Roman" w:eastAsia="ＭＳ 明朝"/>
                <w:b w:val="0"/>
                <w:color w:val="000000"/>
                <w:sz w:val="20"/>
              </w:rPr>
              <w:t>1.074</w:t>
            </w:r>
          </w:p>
        </w:tc>
        <w:tc>
          <w:tcPr>
            <w:tcW w:type="dxa" w:w="2154"/>
          </w:tcPr>
          <w:p>
            <w:pPr>
              <w:spacing w:after="0"/>
              <w:ind w:firstLine="0" w:firstLineChars="0"/>
              <w:jc w:val="left"/>
            </w:pPr>
            <w:r>
              <w:rPr>
                <w:rFonts w:ascii="Times New Roman" w:hAnsi="Times New Roman" w:eastAsia="ＭＳ 明朝"/>
                <w:b w:val="0"/>
                <w:color w:val="000000"/>
                <w:sz w:val="20"/>
              </w:rPr>
              <w:t>1.183</w:t>
            </w:r>
          </w:p>
        </w:tc>
        <w:tc>
          <w:tcPr>
            <w:tcW w:type="dxa" w:w="1587"/>
          </w:tcPr>
          <w:p>
            <w:pPr>
              <w:spacing w:after="0"/>
              <w:ind w:firstLine="0" w:firstLineChars="0"/>
              <w:jc w:val="left"/>
            </w:pPr>
            <w:r>
              <w:rPr>
                <w:rFonts w:ascii="Times New Roman" w:hAnsi="Times New Roman" w:eastAsia="ＭＳ 明朝"/>
                <w:b w:val="0"/>
                <w:color w:val="000000"/>
                <w:sz w:val="20"/>
              </w:rPr>
              <w:t>1.000</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最大の下落(3年)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-30.1%</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-32.7%</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-23.3%</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超過の安定度ＩＲ(3年)</w:t>
            </w:r>
          </w:p>
        </w:tc>
        <w:tc>
          <w:tcPr>
            <w:tcW w:type="dxa" w:w="1701"/>
          </w:tcPr>
          <w:p>
            <w:pPr>
              <w:spacing w:after="0"/>
              <w:ind w:firstLine="0" w:firstLineChars="0"/>
              <w:jc w:val="left"/>
            </w:pPr>
            <w:r>
              <w:rPr>
                <w:rFonts w:ascii="Times New Roman" w:hAnsi="Times New Roman" w:eastAsia="ＭＳ 明朝"/>
                <w:b w:val="0"/>
                <w:color w:val="000000"/>
                <w:sz w:val="20"/>
              </w:rPr>
              <w:t>＋1.565</w:t>
            </w:r>
          </w:p>
        </w:tc>
        <w:tc>
          <w:tcPr>
            <w:tcW w:type="dxa" w:w="2154"/>
          </w:tcPr>
          <w:p>
            <w:pPr>
              <w:spacing w:after="0"/>
              <w:ind w:firstLine="0" w:firstLineChars="0"/>
              <w:jc w:val="left"/>
            </w:pPr>
            <w:r>
              <w:rPr>
                <w:rFonts w:ascii="Times New Roman" w:hAnsi="Times New Roman" w:eastAsia="ＭＳ 明朝"/>
                <w:b w:val="0"/>
                <w:color w:val="000000"/>
                <w:sz w:val="20"/>
              </w:rPr>
              <w:t>0.760</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年率リターン(直近1年)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124.0%</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61.0%</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41.1%</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78.8%</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ＴＯＰＩＸ超過(直近1年)</w:t>
            </w:r>
          </w:p>
        </w:tc>
        <w:tc>
          <w:tcPr>
            <w:tcW w:type="dxa" w:w="1701"/>
          </w:tcPr>
          <w:p>
            <w:pPr>
              <w:spacing w:after="0"/>
              <w:ind w:firstLine="0" w:firstLineChars="0"/>
              <w:jc w:val="left"/>
            </w:pPr>
            <w:r>
              <w:rPr>
                <w:rFonts w:ascii="Times New Roman" w:hAnsi="Times New Roman" w:eastAsia="ＭＳ 明朝"/>
                <w:b w:val="0"/>
                <w:color w:val="000000"/>
                <w:sz w:val="20"/>
              </w:rPr>
              <w:t>83.0pt</w:t>
            </w:r>
          </w:p>
        </w:tc>
        <w:tc>
          <w:tcPr>
            <w:tcW w:type="dxa" w:w="2154"/>
          </w:tcPr>
          <w:p>
            <w:pPr>
              <w:spacing w:after="0"/>
              <w:ind w:firstLine="0" w:firstLineChars="0"/>
              <w:jc w:val="left"/>
            </w:pPr>
            <w:r>
              <w:rPr>
                <w:rFonts w:ascii="Times New Roman" w:hAnsi="Times New Roman" w:eastAsia="ＭＳ 明朝"/>
                <w:b w:val="0"/>
                <w:color w:val="000000"/>
                <w:sz w:val="20"/>
              </w:rPr>
              <w:t>20.0pt</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市場との連動度β(直近1年)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1.051</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1.136</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1.000</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最大の下落(直近1年)</w:t>
            </w:r>
          </w:p>
        </w:tc>
        <w:tc>
          <w:tcPr>
            <w:tcW w:type="dxa" w:w="1701"/>
          </w:tcPr>
          <w:p>
            <w:pPr>
              <w:spacing w:after="0"/>
              <w:ind w:firstLine="0" w:firstLineChars="0"/>
              <w:jc w:val="left"/>
            </w:pPr>
            <w:r>
              <w:rPr>
                <w:rFonts w:ascii="Times New Roman" w:hAnsi="Times New Roman" w:eastAsia="ＭＳ 明朝"/>
                <w:b w:val="0"/>
                <w:color w:val="000000"/>
                <w:sz w:val="20"/>
              </w:rPr>
              <w:t>-9.7%</w:t>
            </w:r>
          </w:p>
        </w:tc>
        <w:tc>
          <w:tcPr>
            <w:tcW w:type="dxa" w:w="2154"/>
          </w:tcPr>
          <w:p>
            <w:pPr>
              <w:spacing w:after="0"/>
              <w:ind w:firstLine="0" w:firstLineChars="0"/>
              <w:jc w:val="left"/>
            </w:pPr>
            <w:r>
              <w:rPr>
                <w:rFonts w:ascii="Times New Roman" w:hAnsi="Times New Roman" w:eastAsia="ＭＳ 明朝"/>
                <w:b w:val="0"/>
                <w:color w:val="000000"/>
                <w:sz w:val="20"/>
              </w:rPr>
              <w:t>-13.3%</w:t>
            </w:r>
          </w:p>
        </w:tc>
        <w:tc>
          <w:tcPr>
            <w:tcW w:type="dxa" w:w="1587"/>
          </w:tcPr>
          <w:p>
            <w:pPr>
              <w:spacing w:after="0"/>
              <w:ind w:firstLine="0" w:firstLineChars="0"/>
              <w:jc w:val="left"/>
            </w:pPr>
            <w:r>
              <w:rPr>
                <w:rFonts w:ascii="Times New Roman" w:hAnsi="Times New Roman" w:eastAsia="ＭＳ 明朝"/>
                <w:b w:val="0"/>
                <w:color w:val="000000"/>
                <w:sz w:val="20"/>
              </w:rPr>
              <w:t>-11.4%</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超過の安定度ＩＲ(直近1年)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2.920</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0.564</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図表Ⅲ-8　対照群・参照ベンチマークとの比較(5つの物差し×2期間)。日経平均は値がさハイテク株の比重が高くＡＩ相場で大きく伸びやすい参照値(配当抜き)。出所：control_comparison_v5.json(phase5と同一の計算規約、指数系列の欠測は補完済み)。</w:t>
      </w:r>
    </w:p>
    <w:p>
      <w:pPr>
        <w:spacing w:after="80" w:line="281" w:lineRule="auto"/>
        <w:jc w:val="both"/>
        <w:ind w:firstLineChars="100" w:firstLine="210"/>
      </w:pPr>
      <w:r>
        <w:rPr>
          <w:rFonts w:ascii="Times New Roman" w:hAnsi="Times New Roman" w:eastAsia="ＭＳ 明朝"/>
          <w:b w:val="0"/>
          <w:color w:val="000000"/>
          <w:sz w:val="21"/>
        </w:rPr>
        <w:t>読み取りは三つ。第一に、本ポートフォリオは主対照の新バフェット型を、選定に使った3年間で年12.1ポイント、直近1年でも年63.0ポイント上回り、割安一辺倒のグレアム型には3年で年41.4ポイント上回った。ただし正直に言えば、新バフェット型への超過は統計的には確実でない――日次超過のNewey-Westｔ値は3年0.76で有意水準に届かない。点推定と四つの相場局面すべてでの一貫性では上回るが、新バフェット型に対しては「互角〜やや上」と評価する。統計的に有意に上回るのは、グレアム型(ｔ＝2.99)と市場ＴＯＰＩＸ(ｔ＝2.80)に対してである。第二に、新バフェット型に対しては守り――最大の下落(-30.1% 対 -32.7%)と市場との連動度β(1.07 対 1.18)――でも上回った。過度な集中を避けた三世代分散が、攻めと守りの両面で効いている。第三に、これはすべて2026年時点の選定を過去に当てた自己検証であり、将来の市場超過の証明ではない――この限界は言い換えずに残す。</w:t>
      </w:r>
    </w:p>
    <w:p>
      <w:pPr>
        <w:spacing w:after="80" w:line="281" w:lineRule="auto"/>
        <w:jc w:val="both"/>
        <w:ind w:firstLineChars="100" w:firstLine="210"/>
      </w:pPr>
      <w:r>
        <w:rPr>
          <w:rFonts w:ascii="Times New Roman" w:hAnsi="Times New Roman" w:eastAsia="ＭＳ 明朝"/>
          <w:b w:val="0"/>
          <w:color w:val="000000"/>
          <w:sz w:val="21"/>
        </w:rPr>
        <w:t>役割の分担も確かめた(図表Ⅲ-9)。過去3年の値上がり寄与は、生まれる堀(ＡＩ・半導体)が約58％と牽引し、完成した堀(守)も約21％と土台以上に寄与、変わる堀(公益・資源)は約10％で下げ相場の緩衝材として効いた。旧来の割安一辺倒(グレアム型)に比べ、三世代へ寄与が分散している点が特徴である。なお本検証は取引コスト・税を考慮せず、毎日同じ比率へ戻す固定重み規約で計算した。株数を固定して買い持ちにすると値動きが変わる(参考値は技術補遺§D)。</w:t>
      </w:r>
    </w:p>
    <w:p>
      <w:pPr>
        <w:keepNext/>
        <w:spacing w:before="100" w:after="40" w:line="298" w:lineRule="auto"/>
        <w:ind w:firstLine="0" w:firstLineChars="0"/>
      </w:pPr>
      <w:r>
        <w:rPr>
          <w:rFonts w:ascii="Arial" w:hAnsi="Arial" w:eastAsia="ＭＳ ゴシック"/>
          <w:b/>
          <w:color w:val="16324F"/>
          <w:sz w:val="21"/>
        </w:rPr>
        <w:t>図表Ⅲ-9　役割別の寄与 ― 生まれる堀が牽引し、守も土台以上に寄与</w:t>
      </w:r>
    </w:p>
    <w:p>
      <w:pPr>
        <w:jc w:val="center"/>
        <w:keepNext/>
        <w:ind w:firstLine="0" w:firstLineChars="0"/>
      </w:pPr>
      <w:r>
        <w:drawing>
          <wp:inline xmlns:a="http://schemas.openxmlformats.org/drawingml/2006/main" xmlns:pic="http://schemas.openxmlformats.org/drawingml/2006/picture">
            <wp:extent cx="5328000" cy="2397600"/>
            <wp:docPr id="7" name="Picture 7"/>
            <wp:cNvGraphicFramePr>
              <a:graphicFrameLocks noChangeAspect="1"/>
            </wp:cNvGraphicFramePr>
            <a:graphic>
              <a:graphicData uri="http://schemas.openxmlformats.org/drawingml/2006/picture">
                <pic:pic>
                  <pic:nvPicPr>
                    <pic:cNvPr id="0" name="fig3_roles_v7.png"/>
                    <pic:cNvPicPr/>
                  </pic:nvPicPr>
                  <pic:blipFill>
                    <a:blip r:embed="rId16"/>
                    <a:stretch>
                      <a:fillRect/>
                    </a:stretch>
                  </pic:blipFill>
                  <pic:spPr>
                    <a:xfrm>
                      <a:off x="0" y="0"/>
                      <a:ext cx="5328000" cy="23976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注：過去3年・選定に使った期間。出所：検証の正典データ(phase5_validation_summary.json)。</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4．結論 ― 結局、バフェットを超えたのか</w:t>
      </w:r>
    </w:p>
    <w:p>
      <w:pPr>
        <w:spacing w:after="80" w:line="281" w:lineRule="auto"/>
        <w:jc w:val="both"/>
        <w:ind w:firstLineChars="100" w:firstLine="210"/>
      </w:pPr>
      <w:r>
        <w:rPr>
          <w:rFonts w:ascii="Times New Roman" w:hAnsi="Times New Roman" w:eastAsia="ＭＳ 明朝"/>
          <w:b w:val="0"/>
          <w:color w:val="000000"/>
          <w:sz w:val="21"/>
        </w:rPr>
        <w:t>第Ⅰ章で立てた投資仮説と四つの条件に、正面から答える。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701"/>
            <w:shd w:val="clear" w:color="auto" w:fill="16324F"/>
          </w:tcPr>
          <w:p>
            <w:pPr>
              <w:spacing w:after="0"/>
              <w:ind w:firstLine="0" w:firstLineChars="0"/>
            </w:pPr>
            <w:r>
              <w:rPr>
                <w:rFonts w:ascii="Arial" w:hAnsi="Arial" w:eastAsia="ＭＳ ゴシック"/>
                <w:b/>
                <w:color w:val="FFFFFF"/>
                <w:sz w:val="20"/>
              </w:rPr>
              <w:t>「超える」の条件</w:t>
            </w:r>
          </w:p>
        </w:tc>
        <w:tc>
          <w:tcPr>
            <w:tcW w:type="dxa" w:w="6690"/>
            <w:shd w:val="clear" w:color="auto" w:fill="16324F"/>
          </w:tcPr>
          <w:p>
            <w:pPr>
              <w:spacing w:after="0"/>
              <w:ind w:firstLine="0" w:firstLineChars="0"/>
            </w:pPr>
            <w:r>
              <w:rPr>
                <w:rFonts w:ascii="Arial" w:hAnsi="Arial" w:eastAsia="ＭＳ ゴシック"/>
                <w:b/>
                <w:color w:val="FFFFFF"/>
                <w:sz w:val="20"/>
              </w:rPr>
              <w:t>結果</w:t>
            </w:r>
          </w:p>
        </w:tc>
        <w:tc>
          <w:tcPr>
            <w:tcW w:type="dxa" w:w="1247"/>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① 同じ土俵に立つ</w:t>
            </w:r>
          </w:p>
        </w:tc>
        <w:tc>
          <w:tcPr>
            <w:tcW w:type="dxa" w:w="6690"/>
          </w:tcPr>
          <w:p>
            <w:pPr>
              <w:spacing w:after="0"/>
              <w:ind w:firstLine="0" w:firstLineChars="0"/>
              <w:jc w:val="left"/>
            </w:pPr>
            <w:r>
              <w:rPr>
                <w:rFonts w:ascii="Times New Roman" w:hAnsi="Times New Roman" w:eastAsia="ＭＳ 明朝"/>
                <w:b w:val="0"/>
                <w:color w:val="000000"/>
                <w:sz w:val="20"/>
              </w:rPr>
              <w:t>守で新バフェットの品質基準(高収益・堀・財務健全)を式から再現し、その完成した堀5社を固定保有(第Ⅱ章)</w:t>
            </w:r>
          </w:p>
        </w:tc>
        <w:tc>
          <w:tcPr>
            <w:tcW w:type="dxa" w:w="1247"/>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② 師に見えない領域へ届く</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新バフェットの『いまの品質』レンズが映さない変わる堀・生まれる堀の15社を、事業で検証した証拠つきで選定(証拠水準3=約9社・水準2=約11社)</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③ 壊れにくい</w:t>
            </w:r>
          </w:p>
        </w:tc>
        <w:tc>
          <w:tcPr>
            <w:tcW w:type="dxa" w:w="6690"/>
          </w:tcPr>
          <w:p>
            <w:pPr>
              <w:spacing w:after="0"/>
              <w:ind w:firstLine="0" w:firstLineChars="0"/>
              <w:jc w:val="left"/>
            </w:pPr>
            <w:r>
              <w:rPr>
                <w:rFonts w:ascii="Times New Roman" w:hAnsi="Times New Roman" w:eastAsia="ＭＳ 明朝"/>
                <w:b w:val="0"/>
                <w:color w:val="000000"/>
                <w:sz w:val="20"/>
              </w:rPr>
              <w:t>判定の目安・重み方式・相場局面の三通りの頑健性検査で確認。守5は動かしても最小4/5一致、『超え』は重み方式・局面に不変(第Ⅱ章末)</w:t>
            </w:r>
          </w:p>
        </w:tc>
        <w:tc>
          <w:tcPr>
            <w:tcW w:type="dxa" w:w="1247"/>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④ 総体で上回る</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新バフェット型を3年で年＋12.1pt・1年で年＋63.0pt上回り、グレアム型には3年＋41.4pt。有意に勝つのはグレアム型と市場ＴＯＰＩＸ、新バフェットへの超過は有意差なし＝互角〜やや上(図表Ⅲ-8)</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達成(新バフェットは有意差なし)</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図表Ⅲ-10　判定表 ― 四条件に対する現時点の答え(すべて2026年時点選定の自己検証)。</w:t>
      </w:r>
    </w:p>
    <w:p>
      <w:pPr>
        <w:spacing w:after="80" w:line="281" w:lineRule="auto"/>
        <w:jc w:val="both"/>
        <w:ind w:firstLineChars="100" w:firstLine="210"/>
      </w:pPr>
      <w:r>
        <w:rPr>
          <w:rFonts w:ascii="Times New Roman" w:hAnsi="Times New Roman" w:eastAsia="ＭＳ 明朝"/>
          <w:b w:val="0"/>
          <w:color w:val="000000"/>
          <w:sz w:val="21"/>
        </w:rPr>
        <w:t>結局、超えたのか。答えは明快に分けて書く。割安一辺倒のグレアム型と市場平均(ＴＯＰＩＸ)には、リスクを抑えつつ統計的にも有意に上回った。師である新バフェット型に対しては、リターン・効率(シャープ)・最大の下落のすべてで、しかも利上げ相場からＡＩ相場まで四つの局面すべてで一貫して上回ったが、その差は統計的には確実とは言えない――正直に「互角〜やや上」と評価する。第Ⅰ章の投資仮説――三世代を束ねた選定はリスク調整後で師の型を上回る――は、この範囲で支持された。</w:t>
      </w:r>
    </w:p>
    <w:p>
      <w:pPr>
        <w:spacing w:after="80" w:line="281" w:lineRule="auto"/>
        <w:jc w:val="both"/>
        <w:ind w:firstLineChars="100" w:firstLine="210"/>
      </w:pPr>
      <w:r>
        <w:rPr>
          <w:rFonts w:ascii="Times New Roman" w:hAnsi="Times New Roman" w:eastAsia="ＭＳ 明朝"/>
          <w:b w:val="0"/>
          <w:color w:val="000000"/>
          <w:sz w:val="21"/>
        </w:rPr>
        <w:t>そして最も大切な限界を先に置く。以上はすべて2026年時点の選定を過去に当てた自己検証であり、将来の市場超過を約束するものではない。私たちが胸を張れるのは成績の大きさではなく、三世代の堀という枠組みと、それを事前規律(後から銘柄を入れ替えない・事業で証拠を確かめる)で実行したことに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5．リスクと限界 ― 正直に書き残す</w:t>
      </w:r>
    </w:p>
    <w:p>
      <w:pPr>
        <w:spacing w:after="80" w:line="281" w:lineRule="auto"/>
        <w:jc w:val="both"/>
        <w:ind w:firstLineChars="100" w:firstLine="210"/>
      </w:pPr>
      <w:r>
        <w:rPr>
          <w:rFonts w:ascii="Times New Roman" w:hAnsi="Times New Roman" w:eastAsia="ＭＳ 明朝"/>
          <w:b w:val="0"/>
          <w:color w:val="000000"/>
          <w:sz w:val="21"/>
        </w:rPr>
        <w:t>最後に、この設計の弱点を私たち自身の手で記録しておく――強みだけを並べたレポートは検証に耐えないからである。</w:t>
      </w:r>
    </w:p>
    <w:p>
      <w:pPr>
        <w:spacing w:before="0" w:after="40" w:line="293" w:lineRule="auto"/>
        <w:ind w:firstLine="0" w:firstLineChars="0"/>
      </w:pPr>
      <w:r>
        <w:rPr>
          <w:rFonts w:ascii="Arial" w:hAnsi="Arial" w:eastAsia="ＭＳ ゴシック"/>
          <w:b/>
          <w:color w:val="16324F"/>
          <w:sz w:val="20"/>
        </w:rPr>
        <w:t xml:space="preserve">・テーマの偏り(意図的な賭け)　</w:t>
      </w:r>
      <w:r>
        <w:rPr>
          <w:rFonts w:ascii="Times New Roman" w:hAnsi="Times New Roman" w:eastAsia="ＭＳ 明朝"/>
          <w:b w:val="0"/>
          <w:color w:val="000000"/>
          <w:sz w:val="20"/>
        </w:rPr>
        <w:t>過去3年の値上がり寄与の約58%は生まれる堀(ＡＩ・半導体)に集中し、ＡＩ/半導体テーマの重みは約40%(業種HHI0.16)と高い。これは『生まれる堀＝ＡＩ・半導体バリューチェーンへの意図的な賭け』であり隠さず開示する。テーマが崩れる未来では市場に劣りうるため、守(大型優良)・破(変革・公益)に予算を置いて緩衝している。</w:t>
      </w:r>
    </w:p>
    <w:p>
      <w:pPr>
        <w:spacing w:before="0" w:after="40" w:line="293" w:lineRule="auto"/>
        <w:ind w:firstLine="0" w:firstLineChars="0"/>
      </w:pPr>
      <w:r>
        <w:rPr>
          <w:rFonts w:ascii="Arial" w:hAnsi="Arial" w:eastAsia="ＭＳ ゴシック"/>
          <w:b/>
          <w:color w:val="16324F"/>
          <w:sz w:val="20"/>
        </w:rPr>
        <w:t xml:space="preserve">・単元未満株の前提　</w:t>
      </w:r>
      <w:r>
        <w:rPr>
          <w:rFonts w:ascii="Times New Roman" w:hAnsi="Times New Roman" w:eastAsia="ＭＳ 明朝"/>
          <w:b w:val="0"/>
          <w:color w:val="000000"/>
          <w:sz w:val="20"/>
        </w:rPr>
        <w:t>新バフェット型は大型優良で株価が高く、通常の売買単位(100株)では株価の高い16社が¥500万の予算内で買えない。本配分は1株から買える単元未満株(金額指定)の取扱いを前提とした目標ウェイトであり、取扱いのない証券会社ではそのまま再現できない。</w:t>
      </w:r>
    </w:p>
    <w:p>
      <w:pPr>
        <w:spacing w:before="0" w:after="40" w:line="293" w:lineRule="auto"/>
        <w:ind w:firstLine="0" w:firstLineChars="0"/>
      </w:pPr>
      <w:r>
        <w:rPr>
          <w:rFonts w:ascii="Arial" w:hAnsi="Arial" w:eastAsia="ＭＳ ゴシック"/>
          <w:b/>
          <w:color w:val="16324F"/>
          <w:sz w:val="20"/>
        </w:rPr>
        <w:t xml:space="preserve">・証拠は開示ベース　</w:t>
      </w:r>
      <w:r>
        <w:rPr>
          <w:rFonts w:ascii="Times New Roman" w:hAnsi="Times New Roman" w:eastAsia="ＭＳ 明朝"/>
          <w:b w:val="0"/>
          <w:color w:val="000000"/>
          <w:sz w:val="20"/>
        </w:rPr>
        <w:t>証拠の強さは開示資料に基づく判定であり、現場の実態までは測れない。第Ⅳ章の取材は、この限界を埋めるために設計している。</w:t>
      </w:r>
    </w:p>
    <w:p>
      <w:pPr>
        <w:spacing w:before="0" w:after="40" w:line="293" w:lineRule="auto"/>
        <w:ind w:firstLine="0" w:firstLineChars="0"/>
      </w:pPr>
      <w:r>
        <w:rPr>
          <w:rFonts w:ascii="Arial" w:hAnsi="Arial" w:eastAsia="ＭＳ ゴシック"/>
          <w:b/>
          <w:color w:val="16324F"/>
          <w:sz w:val="20"/>
        </w:rPr>
        <w:t xml:space="preserve">・出発点は生存者のみ　</w:t>
      </w:r>
      <w:r>
        <w:rPr>
          <w:rFonts w:ascii="Times New Roman" w:hAnsi="Times New Roman" w:eastAsia="ＭＳ 明朝"/>
          <w:b w:val="0"/>
          <w:color w:val="000000"/>
          <w:sz w:val="20"/>
        </w:rPr>
        <w:t>出発点の3,481社は直近時点の上場一覧で、期間中に上場廃止となった企業を含まない(生存者バイアス)。成績はその分有利に出うる(技術補遺§A)。</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グレアム型と市場には有意に超え、新バフェットには全指標・全局面で上回るが有意差なし(互角〜やや上)。すべて自己検証であること、テーマ集中とデータの限界まで、先に書き残した。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Ⅳ．インタビュー・アンケート</w:t>
      </w:r>
    </w:p>
    <w:p>
      <w:pPr>
        <w:spacing w:after="80" w:line="281" w:lineRule="auto"/>
        <w:jc w:val="both"/>
        <w:ind w:firstLineChars="100" w:firstLine="210"/>
      </w:pPr>
      <w:r>
        <w:rPr>
          <w:rFonts w:ascii="Times New Roman" w:hAnsi="Times New Roman" w:eastAsia="ＭＳ 明朝"/>
          <w:b w:val="0"/>
          <w:color w:val="000000"/>
          <w:sz w:val="21"/>
        </w:rPr>
        <w:t>前章までの選定と検証は、すべて開示データの上に立っている。本章では、その見立てが現場の実態と合っているかを確かめる取材の計画を示す。質問は思いつきではなく、各社を選んだ理由(点数と証拠)から導いた(実施記録は記入欄)。</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val="clear" w:color="auto" w:fill="16324F"/>
          </w:tcPr>
          <w:p>
            <w:pPr>
              <w:spacing w:after="0"/>
              <w:ind w:firstLine="0" w:firstLineChars="0"/>
            </w:pPr>
            <w:r>
              <w:rPr>
                <w:rFonts w:ascii="Arial" w:hAnsi="Arial" w:eastAsia="ＭＳ ゴシック"/>
                <w:b/>
                <w:color w:val="FFFFFF"/>
                <w:sz w:val="20"/>
              </w:rPr>
              <w:t>対象(役割)</w:t>
            </w:r>
          </w:p>
        </w:tc>
        <w:tc>
          <w:tcPr>
            <w:tcW w:type="dxa" w:w="6690"/>
            <w:shd w:val="clear" w:color="auto" w:fill="16324F"/>
          </w:tcPr>
          <w:p>
            <w:pPr>
              <w:spacing w:after="0"/>
              <w:ind w:firstLine="0" w:firstLineChars="0"/>
            </w:pPr>
            <w:r>
              <w:rPr>
                <w:rFonts w:ascii="Arial" w:hAnsi="Arial" w:eastAsia="ＭＳ ゴシック"/>
                <w:b/>
                <w:color w:val="FFFFFF"/>
                <w:sz w:val="20"/>
              </w:rPr>
              <w:t>選定理由から導いた質問草案</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6777 santec(生まれる堀)</w:t>
            </w:r>
          </w:p>
        </w:tc>
        <w:tc>
          <w:tcPr>
            <w:tcW w:type="dxa" w:w="6690"/>
          </w:tcPr>
          <w:p>
            <w:pPr>
              <w:spacing w:after="0"/>
              <w:ind w:firstLine="0" w:firstLineChars="0"/>
              <w:jc w:val="left"/>
            </w:pPr>
            <w:r>
              <w:rPr>
                <w:rFonts w:ascii="Times New Roman" w:hAnsi="Times New Roman" w:eastAsia="ＭＳ 明朝"/>
                <w:b w:val="0"/>
                <w:color w:val="000000"/>
                <w:sz w:val="20"/>
              </w:rPr>
              <w:t>①ＡＩデータセンター向け光通信部品の受注動向と生産能力投資　②ＡＩ需要が一巡した場合の下支え事業</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6590 芝浦メカトロニクス(生まれる堀)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①半導体製造装置の需要見通し　②競合に対する技術優位の源泉</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6920 レーザーテック(完成した堀)</w:t>
            </w:r>
          </w:p>
        </w:tc>
        <w:tc>
          <w:tcPr>
            <w:tcW w:type="dxa" w:w="6690"/>
          </w:tcPr>
          <w:p>
            <w:pPr>
              <w:spacing w:after="0"/>
              <w:ind w:firstLine="0" w:firstLineChars="0"/>
              <w:jc w:val="left"/>
            </w:pPr>
            <w:r>
              <w:rPr>
                <w:rFonts w:ascii="Times New Roman" w:hAnsi="Times New Roman" w:eastAsia="ＭＳ 明朝"/>
                <w:b w:val="0"/>
                <w:color w:val="000000"/>
                <w:sz w:val="20"/>
              </w:rPr>
              <w:t>①半導体マスク検査での独占的地位の持続性　②研究開発投資の方向</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3092 ＺＯＺＯ(完成した堀)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①出店ブランドと購買データの両面ネットワークの堀　②海外・新規事業の成長余地</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1662 石油資源開発(変わる堀)</w:t>
            </w:r>
          </w:p>
        </w:tc>
        <w:tc>
          <w:tcPr>
            <w:tcW w:type="dxa" w:w="6690"/>
          </w:tcPr>
          <w:p>
            <w:pPr>
              <w:spacing w:after="0"/>
              <w:ind w:firstLine="0" w:firstLineChars="0"/>
              <w:jc w:val="left"/>
            </w:pPr>
            <w:r>
              <w:rPr>
                <w:rFonts w:ascii="Times New Roman" w:hAnsi="Times New Roman" w:eastAsia="ＭＳ 明朝"/>
                <w:b w:val="0"/>
                <w:color w:val="000000"/>
                <w:sz w:val="20"/>
              </w:rPr>
              <w:t>①資源価格の変動への耐性と株主還元の方針　②ＣＣＳ(ＣＯ２貯留)など変革の進捗</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9503 関西電力(変わる堀)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①原発再稼働と資本効率改革の進捗　②株主還元と設備投資の優先順位</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6861 キーエンス(両立型)</w:t>
            </w:r>
          </w:p>
        </w:tc>
        <w:tc>
          <w:tcPr>
            <w:tcW w:type="dxa" w:w="6690"/>
          </w:tcPr>
          <w:p>
            <w:pPr>
              <w:spacing w:after="0"/>
              <w:ind w:firstLine="0" w:firstLineChars="0"/>
              <w:jc w:val="left"/>
            </w:pPr>
            <w:r>
              <w:rPr>
                <w:rFonts w:ascii="Times New Roman" w:hAnsi="Times New Roman" w:eastAsia="ＭＳ 明朝"/>
                <w:b w:val="0"/>
                <w:color w:val="000000"/>
                <w:sz w:val="20"/>
              </w:rPr>
              <w:t>①高い営業利益率(価格支配力)の持続性　②工場自動化・ＡＩ活用による事業機会</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3449 テクノフレックス(分散役)</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①ニッチ配管部材の参入障壁　②財務の安定性と成長計画</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実施記録(記入・取材ごとに1列)</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154"/>
            <w:shd w:val="clear" w:color="auto" w:fill="16324F"/>
          </w:tcPr>
          <w:p>
            <w:pPr>
              <w:spacing w:after="0"/>
              <w:ind w:firstLine="0" w:firstLineChars="0"/>
            </w:pPr>
            <w:r>
              <w:rPr>
                <w:rFonts w:ascii="Arial" w:hAnsi="Arial" w:eastAsia="ＭＳ ゴシック"/>
                <w:b/>
                <w:color w:val="FFFFFF"/>
                <w:sz w:val="20"/>
              </w:rPr>
              <w:t>項目</w:t>
            </w:r>
          </w:p>
        </w:tc>
        <w:tc>
          <w:tcPr>
            <w:tcW w:type="dxa" w:w="3742"/>
            <w:shd w:val="clear" w:color="auto" w:fill="16324F"/>
          </w:tcPr>
          <w:p>
            <w:pPr>
              <w:spacing w:after="0"/>
              <w:ind w:firstLine="0" w:firstLineChars="0"/>
            </w:pPr>
            <w:r>
              <w:rPr>
                <w:rFonts w:ascii="Arial" w:hAnsi="Arial" w:eastAsia="ＭＳ ゴシック"/>
                <w:b/>
                <w:color w:val="FFFFFF"/>
                <w:sz w:val="20"/>
              </w:rPr>
              <w:t>取材1(記入)</w:t>
            </w:r>
          </w:p>
        </w:tc>
        <w:tc>
          <w:tcPr>
            <w:tcW w:type="dxa" w:w="3742"/>
            <w:shd w:val="clear" w:color="auto" w:fill="16324F"/>
          </w:tcPr>
          <w:p>
            <w:pPr>
              <w:spacing w:after="0"/>
              <w:ind w:firstLine="0" w:firstLineChars="0"/>
            </w:pPr>
            <w:r>
              <w:rPr>
                <w:rFonts w:ascii="Arial" w:hAnsi="Arial" w:eastAsia="ＭＳ ゴシック"/>
                <w:b/>
                <w:color w:val="FFFFFF"/>
                <w:sz w:val="20"/>
              </w:rPr>
              <w:t>取材2(記入)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企業名・対象者(名字)・部署</w:t>
            </w:r>
          </w:p>
        </w:tc>
        <w:tc>
          <w:tcPr>
            <w:tcW w:type="dxa" w:w="3742"/>
          </w:tcPr>
          <w:p>
            <w:pPr>
              <w:spacing w:after="0"/>
              <w:ind w:firstLine="0" w:firstLineChars="0"/>
              <w:jc w:val="left"/>
            </w:pPr>
            <w:r>
              <w:rPr>
                <w:rFonts w:ascii="Times New Roman" w:hAnsi="Times New Roman" w:eastAsia="ＭＳ 明朝"/>
                <w:b w:val="0"/>
                <w:color w:val="000000"/>
                <w:sz w:val="20"/>
              </w:rPr>
              <w:t>［記入］</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日時・方法(対面/オンライン/書面)</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質問と回答の要点</w:t>
            </w:r>
          </w:p>
        </w:tc>
        <w:tc>
          <w:tcPr>
            <w:tcW w:type="dxa" w:w="3742"/>
          </w:tcPr>
          <w:p>
            <w:pPr>
              <w:spacing w:after="0"/>
              <w:ind w:firstLine="0" w:firstLineChars="0"/>
              <w:jc w:val="left"/>
            </w:pPr>
            <w:r>
              <w:rPr>
                <w:rFonts w:ascii="Times New Roman" w:hAnsi="Times New Roman" w:eastAsia="ＭＳ 明朝"/>
                <w:b w:val="0"/>
                <w:color w:val="000000"/>
                <w:sz w:val="20"/>
              </w:rPr>
              <w:t>［記入：質問草案の番号と対応させる］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写真(オンライン画面も可)</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分析への反映</w:t>
            </w:r>
          </w:p>
        </w:tc>
        <w:tc>
          <w:tcPr>
            <w:tcW w:type="dxa" w:w="3742"/>
          </w:tcPr>
          <w:p>
            <w:pPr>
              <w:spacing w:after="0"/>
              <w:ind w:firstLine="0" w:firstLineChars="0"/>
              <w:jc w:val="left"/>
            </w:pPr>
            <w:r>
              <w:rPr>
                <w:rFonts w:ascii="Times New Roman" w:hAnsi="Times New Roman" w:eastAsia="ＭＳ 明朝"/>
                <w:b w:val="0"/>
                <w:color w:val="000000"/>
                <w:sz w:val="20"/>
              </w:rPr>
              <w:t>［記入：証拠水準・役割の見立てをどう見直したか］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取材の還流(総括・記入)</w:t>
      </w:r>
    </w:p>
    <w:p>
      <w:pPr>
        <w:spacing w:before="0" w:after="40" w:line="298" w:lineRule="auto"/>
        <w:ind w:firstLine="0" w:firstLineChars="0"/>
      </w:pPr>
      <w:r>
        <w:rPr>
          <w:rFonts w:ascii="Times New Roman" w:hAnsi="Times New Roman" w:eastAsia="ＭＳ 明朝"/>
          <w:b w:val="0"/>
          <w:color w:val="000000"/>
          <w:sz w:val="20"/>
        </w:rPr>
        <w:t>書き方の型：「取材の結果、○○社の△△が確認でき、証拠水準の見立てを□□と見直した／仮説どおりだった。第Ⅱ章の××の判断は現場の実態と整合していた」――分析へ何が返ってきたかを必ず書く。</w:t>
      </w:r>
    </w:p>
    <w:p>
      <w:pPr>
        <w:spacing w:before="0" w:after="40" w:line="298" w:lineRule="auto"/>
        <w:ind w:firstLine="0" w:firstLineChars="0"/>
      </w:pPr>
      <w:r>
        <w:rPr>
          <w:rFonts w:ascii="Times New Roman" w:hAnsi="Times New Roman" w:eastAsia="ＭＳ 明朝"/>
          <w:b/>
          <w:color w:val="000000"/>
          <w:sz w:val="21"/>
        </w:rPr>
        <w:t>・総括(3〜5文)：</w:t>
      </w:r>
      <w:r>
        <w:rPr>
          <w:rFonts w:ascii="Times New Roman" w:hAnsi="Times New Roman" w:eastAsia="ＭＳ 明朝"/>
          <w:b w:val="0"/>
          <w:color w:val="888888"/>
          <w:sz w:val="21"/>
        </w:rPr>
        <w:t>［記入］</w:t>
      </w:r>
    </w:p>
    <w:p>
      <w:pPr>
        <w:spacing w:before="0" w:after="120" w:line="298" w:lineRule="auto"/>
        <w:ind w:firstLine="0" w:firstLineChars="0"/>
      </w:pPr>
      <w:r>
        <w:rPr>
          <w:rFonts w:ascii="Times New Roman" w:hAnsi="Times New Roman" w:eastAsia="ＭＳ 明朝"/>
          <w:b w:val="0"/>
          <w:color w:val="000000"/>
          <w:sz w:val="20"/>
        </w:rPr>
        <w:t>(未実施の場合は本章を「今後の課題」とし、その旨を明記する。回答の創作はしない。)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Ⅴ．日経ＳＴＯＣＫリーグを通じて学んだこと</w:t>
      </w:r>
    </w:p>
    <w:p>
      <w:pPr>
        <w:spacing w:before="0" w:after="40" w:line="298" w:lineRule="auto"/>
        <w:ind w:firstLine="0" w:firstLineChars="0"/>
      </w:pPr>
      <w:r>
        <w:rPr>
          <w:rFonts w:ascii="Times New Roman" w:hAnsi="Times New Roman" w:eastAsia="ＭＳ 明朝"/>
          <w:b/>
          <w:color w:val="000000"/>
          <w:sz w:val="21"/>
        </w:rPr>
        <w:t>・直面した困難と乗り越え方：</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書き方のヒント：例の問い：仮説はどこで崩れたか。候補を広げすぎて確認が回らなくなったとき、どう折り合いをつけたか</w:t>
      </w:r>
    </w:p>
    <w:p>
      <w:pPr>
        <w:spacing w:before="0" w:after="40" w:line="298" w:lineRule="auto"/>
        <w:ind w:firstLine="0" w:firstLineChars="0"/>
      </w:pPr>
      <w:r>
        <w:rPr>
          <w:rFonts w:ascii="Times New Roman" w:hAnsi="Times New Roman" w:eastAsia="ＭＳ 明朝"/>
          <w:b/>
          <w:color w:val="000000"/>
          <w:sz w:val="21"/>
        </w:rPr>
        <w:t>・インタビューと結びついた学び：</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書き方のヒント：例の問い：取材で確かめて初めて分かったことは何か。開示データだけでは見えなかったものは何か</w:t>
      </w:r>
    </w:p>
    <w:p>
      <w:pPr>
        <w:spacing w:before="0" w:after="40" w:line="298" w:lineRule="auto"/>
        <w:ind w:firstLine="0" w:firstLineChars="0"/>
      </w:pPr>
      <w:r>
        <w:rPr>
          <w:rFonts w:ascii="Times New Roman" w:hAnsi="Times New Roman" w:eastAsia="ＭＳ 明朝"/>
          <w:b/>
          <w:color w:val="000000"/>
          <w:sz w:val="21"/>
        </w:rPr>
        <w:t>・チームでの役割分担と今後の課題：</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書き方のヒント：例の問い：互いの誤りをどう見つけ合ったか。単元未満株の扱い・証拠確認の自動化など残った宿題</w:t>
      </w:r>
    </w:p>
    <w:p>
      <w:pPr>
        <w:spacing w:before="0" w:after="40" w:line="298" w:lineRule="auto"/>
        <w:ind w:firstLine="0" w:firstLineChars="0"/>
      </w:pPr>
      <w:r>
        <w:rPr>
          <w:rFonts w:ascii="Times New Roman" w:hAnsi="Times New Roman" w:eastAsia="ＭＳ 明朝"/>
          <w:b/>
          <w:color w:val="000000"/>
          <w:sz w:val="21"/>
        </w:rPr>
        <w:t>・謝辞：</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書き方のヒント：取材先・助言をくれた方・支えてくれた人へ(個人は名字のみ)</w:t>
      </w:r>
    </w:p>
    <w:p>
      <w:pPr>
        <w:spacing w:before="0" w:after="120" w:line="298" w:lineRule="auto"/>
        <w:ind w:firstLine="0" w:firstLineChars="0"/>
      </w:pPr>
      <w:r>
        <w:rPr>
          <w:rFonts w:ascii="Times New Roman" w:hAnsi="Times New Roman" w:eastAsia="ＭＳ 明朝"/>
          <w:b w:val="0"/>
          <w:color w:val="000000"/>
          <w:sz w:val="20"/>
        </w:rPr>
        <w:t>(提出者の実体験として記入する。下書きの創作はしない。)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参考文献</w:t>
      </w:r>
    </w:p>
    <w:p>
      <w:pPr>
        <w:spacing w:after="100" w:line="281" w:lineRule="auto"/>
        <w:jc w:val="both"/>
        <w:ind w:firstLineChars="100" w:firstLine="210"/>
      </w:pPr>
      <w:r>
        <w:rPr>
          <w:rFonts w:ascii="Times New Roman" w:hAnsi="Times New Roman" w:eastAsia="ＭＳ 明朝"/>
          <w:b w:val="0"/>
          <w:color w:val="000000"/>
          <w:sz w:val="21"/>
        </w:rPr>
        <w:t>本文で直接引用した文献に加え、選定・検証・データ取得の設計にあたって参照した文献を、分野別にすべて記載する(正典: docs/references_master.md)。新バフェットの品質基準はBuffett's Alpha(Frazzini, Kabiller and Pedersen 2018)とQuality Minus Junk(Asness, Frazzini and Pedersen 2019)に、割安×優良の複合順位はGreenblatt(2006)に依拠する。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一次資料 ― バフェット株主への手紙(原文)</w:t>
      </w:r>
    </w:p>
    <w:p>
      <w:pPr>
        <w:spacing w:after="20"/>
        <w:ind w:left="360" w:hanging="360"/>
      </w:pPr>
      <w:r>
        <w:rPr>
          <w:rFonts w:ascii="Times New Roman" w:hAnsi="Times New Roman" w:eastAsia="ＭＳ 明朝"/>
          <w:b w:val="0"/>
          <w:color w:val="000000"/>
          <w:sz w:val="20"/>
        </w:rPr>
        <w:t>Buffett, W. E. (1988) Chairman's Letter to the Shareholders of Berkshire Hathaway Inc. Berkshire Hathaway Inc., https://www.berkshirehathaway.com/letters/1988.html (2026年7月18日)</w:t>
      </w:r>
    </w:p>
    <w:p>
      <w:pPr>
        <w:spacing w:after="20"/>
        <w:ind w:left="360" w:hanging="360"/>
      </w:pPr>
      <w:r>
        <w:rPr>
          <w:rFonts w:ascii="Times New Roman" w:hAnsi="Times New Roman" w:eastAsia="ＭＳ 明朝"/>
          <w:b w:val="0"/>
          <w:color w:val="000000"/>
          <w:sz w:val="20"/>
        </w:rPr>
        <w:t>Buffett, W. E. (1989) Chairman's Letter to the Shareholders of Berkshire Hathaway Inc. Berkshire Hathaway Inc., https://www.berkshirehathaway.com/letters/1989.html (2026年7月18日)</w:t>
      </w:r>
    </w:p>
    <w:p>
      <w:pPr>
        <w:spacing w:after="20"/>
        <w:ind w:left="360" w:hanging="360"/>
      </w:pPr>
      <w:r>
        <w:rPr>
          <w:rFonts w:ascii="Times New Roman" w:hAnsi="Times New Roman" w:eastAsia="ＭＳ 明朝"/>
          <w:b w:val="0"/>
          <w:color w:val="000000"/>
          <w:sz w:val="20"/>
        </w:rPr>
        <w:t>Buffett, W. E. (2007) Chairman's Letter to the Shareholders of Berkshire Hathaway Inc. Berkshire Hathaway Inc., https://www.berkshirehathaway.com/letters/2007ltr.pdf (2026年7月18日)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英語文献Ⅰ ― 投資・会計・無形資産(第Ⅱ章 守・離の式典拠)</w:t>
      </w:r>
    </w:p>
    <w:p>
      <w:pPr>
        <w:spacing w:after="20"/>
        <w:ind w:left="360" w:hanging="360"/>
      </w:pPr>
      <w:r>
        <w:rPr>
          <w:rFonts w:ascii="Times New Roman" w:hAnsi="Times New Roman" w:eastAsia="ＭＳ 明朝"/>
          <w:b w:val="0"/>
          <w:color w:val="000000"/>
          <w:sz w:val="20"/>
        </w:rPr>
        <w:t>Altman, E. I. (1968) Financial Ratios, Discriminant Analysis and the Prediction of Corporate Bankruptcy. The Journal of Finance, 23(4), pp.589-609.</w:t>
      </w:r>
    </w:p>
    <w:p>
      <w:pPr>
        <w:spacing w:after="20"/>
        <w:ind w:left="360" w:hanging="360"/>
      </w:pPr>
      <w:r>
        <w:rPr>
          <w:rFonts w:ascii="Times New Roman" w:hAnsi="Times New Roman" w:eastAsia="ＭＳ 明朝"/>
          <w:b w:val="0"/>
          <w:color w:val="000000"/>
          <w:sz w:val="20"/>
        </w:rPr>
        <w:t>Amihud, Y. (2002) Illiquidity and Stock Returns: Cross-Section and Time-Series Effects. Journal of Financial Markets, 5(1), pp.31-56.</w:t>
      </w:r>
    </w:p>
    <w:p>
      <w:pPr>
        <w:spacing w:after="20"/>
        <w:ind w:left="360" w:hanging="360"/>
      </w:pPr>
      <w:r>
        <w:rPr>
          <w:rFonts w:ascii="Times New Roman" w:hAnsi="Times New Roman" w:eastAsia="ＭＳ 明朝"/>
          <w:b w:val="0"/>
          <w:color w:val="000000"/>
          <w:sz w:val="20"/>
        </w:rPr>
        <w:t>Asness, C. S., Frazzini, A., &amp; Pedersen, L. H. (2019) Quality Minus Junk. Review of Accounting Studies, 24, pp.34-112.</w:t>
      </w:r>
    </w:p>
    <w:p>
      <w:pPr>
        <w:spacing w:after="20"/>
        <w:ind w:left="360" w:hanging="360"/>
      </w:pPr>
      <w:r>
        <w:rPr>
          <w:rFonts w:ascii="Times New Roman" w:hAnsi="Times New Roman" w:eastAsia="ＭＳ 明朝"/>
          <w:b w:val="0"/>
          <w:color w:val="000000"/>
          <w:sz w:val="20"/>
        </w:rPr>
        <w:t>Basu, S. (1977) Investment Performance of Common Stocks in Relation to Their Price-Earnings Ratios: A Test of the Efficient Market Hypothesis. The Journal of Finance, 32(3), pp.663-682.</w:t>
      </w:r>
    </w:p>
    <w:p>
      <w:pPr>
        <w:spacing w:after="20"/>
        <w:ind w:left="360" w:hanging="360"/>
      </w:pPr>
      <w:r>
        <w:rPr>
          <w:rFonts w:ascii="Times New Roman" w:hAnsi="Times New Roman" w:eastAsia="ＭＳ 明朝"/>
          <w:b w:val="0"/>
          <w:color w:val="000000"/>
          <w:sz w:val="20"/>
        </w:rPr>
        <w:t>Basu, S. (1983) The Relationship between Earnings' Yield, Market Value and Return for NYSE Common Stocks: Further Evidence. Journal of Financial Economics, 12(1), pp.129-156.</w:t>
      </w:r>
    </w:p>
    <w:p>
      <w:pPr>
        <w:spacing w:after="20"/>
        <w:ind w:left="360" w:hanging="360"/>
      </w:pPr>
      <w:r>
        <w:rPr>
          <w:rFonts w:ascii="Times New Roman" w:hAnsi="Times New Roman" w:eastAsia="ＭＳ 明朝"/>
          <w:b w:val="0"/>
          <w:color w:val="000000"/>
          <w:sz w:val="20"/>
        </w:rPr>
        <w:t>Chan, L. K. C., Lakonishok, J., &amp; Sougiannis, T. (2001) The Stock Market Valuation of Research and Development Expenditures. The Journal of Finance, 56(6), pp.2431-2456.</w:t>
      </w:r>
    </w:p>
    <w:p>
      <w:pPr>
        <w:spacing w:after="20"/>
        <w:ind w:left="360" w:hanging="360"/>
      </w:pPr>
      <w:r>
        <w:rPr>
          <w:rFonts w:ascii="Times New Roman" w:hAnsi="Times New Roman" w:eastAsia="ＭＳ 明朝"/>
          <w:b w:val="0"/>
          <w:color w:val="000000"/>
          <w:sz w:val="20"/>
        </w:rPr>
        <w:t>Fama, E. F., &amp; French, K. R. (1993) Common Risk Factors in the Returns on Stocks and Bonds. Journal of Financial Economics, 33(1), pp.3-56.</w:t>
      </w:r>
    </w:p>
    <w:p>
      <w:pPr>
        <w:spacing w:after="20"/>
        <w:ind w:left="360" w:hanging="360"/>
      </w:pPr>
      <w:r>
        <w:rPr>
          <w:rFonts w:ascii="Times New Roman" w:hAnsi="Times New Roman" w:eastAsia="ＭＳ 明朝"/>
          <w:b w:val="0"/>
          <w:color w:val="000000"/>
          <w:sz w:val="20"/>
        </w:rPr>
        <w:t>Fama, E. F., &amp; French, K. R. (2015) A Five-Factor Asset Pricing Model. Journal of Financial Economics, 116(1), pp.1-22.</w:t>
      </w:r>
    </w:p>
    <w:p>
      <w:pPr>
        <w:spacing w:after="20"/>
        <w:ind w:left="360" w:hanging="360"/>
      </w:pPr>
      <w:r>
        <w:rPr>
          <w:rFonts w:ascii="Times New Roman" w:hAnsi="Times New Roman" w:eastAsia="ＭＳ 明朝"/>
          <w:b w:val="0"/>
          <w:color w:val="000000"/>
          <w:sz w:val="20"/>
        </w:rPr>
        <w:t>Frazzini, A., Kabiller, D., &amp; Pedersen, L. H. (2018) Buffett's Alpha. Financial Analysts Journal, 74(4), pp.35-55.</w:t>
      </w:r>
    </w:p>
    <w:p>
      <w:pPr>
        <w:spacing w:after="20"/>
        <w:ind w:left="360" w:hanging="360"/>
      </w:pPr>
      <w:r>
        <w:rPr>
          <w:rFonts w:ascii="Times New Roman" w:hAnsi="Times New Roman" w:eastAsia="ＭＳ 明朝"/>
          <w:b w:val="0"/>
          <w:color w:val="000000"/>
          <w:sz w:val="20"/>
        </w:rPr>
        <w:t>Jensen, M. C. (1968) The Performance of Mutual Funds in the Period 1945-1964. The Journal of Finance, 23(2), pp.389-416.</w:t>
      </w:r>
    </w:p>
    <w:p>
      <w:pPr>
        <w:spacing w:after="20"/>
        <w:ind w:left="360" w:hanging="360"/>
      </w:pPr>
      <w:r>
        <w:rPr>
          <w:rFonts w:ascii="Times New Roman" w:hAnsi="Times New Roman" w:eastAsia="ＭＳ 明朝"/>
          <w:b w:val="0"/>
          <w:color w:val="000000"/>
          <w:sz w:val="20"/>
        </w:rPr>
        <w:t>Lev, B., &amp; Gu, F. (2016) The End of Accounting and the Path Forward for Investors and Managers, John Wiley &amp; Sons.</w:t>
      </w:r>
    </w:p>
    <w:p>
      <w:pPr>
        <w:spacing w:after="20"/>
        <w:ind w:left="360" w:hanging="360"/>
      </w:pPr>
      <w:r>
        <w:rPr>
          <w:rFonts w:ascii="Times New Roman" w:hAnsi="Times New Roman" w:eastAsia="ＭＳ 明朝"/>
          <w:b w:val="0"/>
          <w:color w:val="000000"/>
          <w:sz w:val="20"/>
        </w:rPr>
        <w:t>Markowitz, H. (1952) Portfolio Selection. The Journal of Finance, 7(1), pp.77-91.</w:t>
      </w:r>
    </w:p>
    <w:p>
      <w:pPr>
        <w:spacing w:after="20"/>
        <w:ind w:left="360" w:hanging="360"/>
      </w:pPr>
      <w:r>
        <w:rPr>
          <w:rFonts w:ascii="Times New Roman" w:hAnsi="Times New Roman" w:eastAsia="ＭＳ 明朝"/>
          <w:b w:val="0"/>
          <w:color w:val="000000"/>
          <w:sz w:val="20"/>
        </w:rPr>
        <w:t>Novy-Marx, R. (2013) The Other Side of Value: The Gross Profitability Premium. Journal of Financial Economics, 108(1), pp.1-28.</w:t>
      </w:r>
    </w:p>
    <w:p>
      <w:pPr>
        <w:spacing w:after="20"/>
        <w:ind w:left="360" w:hanging="360"/>
      </w:pPr>
      <w:r>
        <w:rPr>
          <w:rFonts w:ascii="Times New Roman" w:hAnsi="Times New Roman" w:eastAsia="ＭＳ 明朝"/>
          <w:b w:val="0"/>
          <w:color w:val="000000"/>
          <w:sz w:val="20"/>
        </w:rPr>
        <w:t>Ohlson, J. A. (1980) Financial Ratios and the Probabilistic Prediction of Bankruptcy. Journal of Accounting Research, 18(1), pp.109-131.</w:t>
      </w:r>
    </w:p>
    <w:p>
      <w:pPr>
        <w:spacing w:after="20"/>
        <w:ind w:left="360" w:hanging="360"/>
      </w:pPr>
      <w:r>
        <w:rPr>
          <w:rFonts w:ascii="Times New Roman" w:hAnsi="Times New Roman" w:eastAsia="ＭＳ 明朝"/>
          <w:b w:val="0"/>
          <w:color w:val="000000"/>
          <w:sz w:val="20"/>
        </w:rPr>
        <w:t>Peters, R. H., &amp; Taylor, L. A. (2017) Intangible Capital and the Investment-q Relation. Journal of Financial Economics, 123(2), pp.251-272.</w:t>
      </w:r>
    </w:p>
    <w:p>
      <w:pPr>
        <w:spacing w:after="20"/>
        <w:ind w:left="360" w:hanging="360"/>
      </w:pPr>
      <w:r>
        <w:rPr>
          <w:rFonts w:ascii="Times New Roman" w:hAnsi="Times New Roman" w:eastAsia="ＭＳ 明朝"/>
          <w:b w:val="0"/>
          <w:color w:val="000000"/>
          <w:sz w:val="20"/>
        </w:rPr>
        <w:t>Piotroski, J. D. (2000) Value Investing: The Use of Historical Financial Statement Information to Separate Winners from Losers. Journal of Accounting Research, 38, Supplement, pp.1-41.</w:t>
      </w:r>
    </w:p>
    <w:p>
      <w:pPr>
        <w:spacing w:after="20"/>
        <w:ind w:left="360" w:hanging="360"/>
      </w:pPr>
      <w:r>
        <w:rPr>
          <w:rFonts w:ascii="Times New Roman" w:hAnsi="Times New Roman" w:eastAsia="ＭＳ 明朝"/>
          <w:b w:val="0"/>
          <w:color w:val="000000"/>
          <w:sz w:val="20"/>
        </w:rPr>
        <w:t>Sharpe, W. F. (1966) Mutual Fund Performance. The Journal of Business, 39(1), pp.119-138.</w:t>
      </w:r>
    </w:p>
    <w:p>
      <w:pPr>
        <w:spacing w:after="20"/>
        <w:ind w:left="360" w:hanging="360"/>
      </w:pPr>
      <w:r>
        <w:rPr>
          <w:rFonts w:ascii="Times New Roman" w:hAnsi="Times New Roman" w:eastAsia="ＭＳ 明朝"/>
          <w:b w:val="0"/>
          <w:color w:val="000000"/>
          <w:sz w:val="20"/>
        </w:rPr>
        <w:t>Sharpe, W. F. (1994) The Sharpe Ratio. The Journal of Portfolio Management, 21(1), pp.49-58.</w:t>
      </w:r>
    </w:p>
    <w:p>
      <w:pPr>
        <w:spacing w:after="20"/>
        <w:ind w:left="360" w:hanging="360"/>
      </w:pPr>
      <w:r>
        <w:rPr>
          <w:rFonts w:ascii="Times New Roman" w:hAnsi="Times New Roman" w:eastAsia="ＭＳ 明朝"/>
          <w:b w:val="0"/>
          <w:color w:val="000000"/>
          <w:sz w:val="20"/>
        </w:rPr>
        <w:t>Sloan, R. G. (1996) Do Stock Prices Fully Reflect Information in Accruals and Cash Flows about Future Earnings? The Accounting Review, 71(3), pp.289-315.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英語文献Ⅱ ― 最適化・探索(第Ⅱ章 破の方法典拠)</w:t>
      </w:r>
    </w:p>
    <w:p>
      <w:pPr>
        <w:spacing w:after="20"/>
        <w:ind w:left="360" w:hanging="360"/>
      </w:pPr>
      <w:r>
        <w:rPr>
          <w:rFonts w:ascii="Times New Roman" w:hAnsi="Times New Roman" w:eastAsia="ＭＳ 明朝"/>
          <w:b w:val="0"/>
          <w:color w:val="000000"/>
          <w:sz w:val="20"/>
        </w:rPr>
        <w:t>Akiba, T., Sano, S., Yanase, T., Ohta, T., &amp; Koyama, M. (2019) Optuna: A Next-generation Hyperparameter Optimization Framework. In Proceedings of the 25th ACM SIGKDD International Conference on Knowledge Discovery &amp; Data Mining, pp.2623-2631.</w:t>
      </w:r>
    </w:p>
    <w:p>
      <w:pPr>
        <w:spacing w:after="20"/>
        <w:ind w:left="360" w:hanging="360"/>
      </w:pPr>
      <w:r>
        <w:rPr>
          <w:rFonts w:ascii="Times New Roman" w:hAnsi="Times New Roman" w:eastAsia="ＭＳ 明朝"/>
          <w:b w:val="0"/>
          <w:color w:val="000000"/>
          <w:sz w:val="20"/>
        </w:rPr>
        <w:t>Bergstra, J., Bardenet, R., Bengio, Y., &amp; Kégl, B. (2011) Algorithms for Hyper-Parameter Optimization. In Advances in Neural Information Processing Systems, 24, pp.2546-2554.</w:t>
      </w:r>
    </w:p>
    <w:p>
      <w:pPr>
        <w:spacing w:after="20"/>
        <w:ind w:left="360" w:hanging="360"/>
      </w:pPr>
      <w:r>
        <w:rPr>
          <w:rFonts w:ascii="Times New Roman" w:hAnsi="Times New Roman" w:eastAsia="ＭＳ 明朝"/>
          <w:b w:val="0"/>
          <w:color w:val="000000"/>
          <w:sz w:val="20"/>
        </w:rPr>
        <w:t>Bergstra, J., &amp; Bengio, Y. (2012) Random Search for Hyper-Parameter Optimization. Journal of Machine Learning Research, 13, pp.281-305.</w:t>
      </w:r>
    </w:p>
    <w:p>
      <w:pPr>
        <w:spacing w:after="20"/>
        <w:ind w:left="360" w:hanging="360"/>
      </w:pPr>
      <w:r>
        <w:rPr>
          <w:rFonts w:ascii="Times New Roman" w:hAnsi="Times New Roman" w:eastAsia="ＭＳ 明朝"/>
          <w:b w:val="0"/>
          <w:color w:val="000000"/>
          <w:sz w:val="20"/>
        </w:rPr>
        <w:t>Brochu, E., Cora, V. M., &amp; de Freitas, N. (2010) A Tutorial on Bayesian Optimization of Expensive Cost Functions. arXiv, https://arxiv.org/abs/1012.2599 (2026年7月8日)</w:t>
      </w:r>
    </w:p>
    <w:p>
      <w:pPr>
        <w:spacing w:after="20"/>
        <w:ind w:left="360" w:hanging="360"/>
      </w:pPr>
      <w:r>
        <w:rPr>
          <w:rFonts w:ascii="Times New Roman" w:hAnsi="Times New Roman" w:eastAsia="ＭＳ 明朝"/>
          <w:b w:val="0"/>
          <w:color w:val="000000"/>
          <w:sz w:val="20"/>
        </w:rPr>
        <w:t>Deb, K. (2001) Multi-Objective Optimization Using Evolutionary Algorithms, John Wiley &amp; Sons.</w:t>
      </w:r>
    </w:p>
    <w:p>
      <w:pPr>
        <w:spacing w:after="20"/>
        <w:ind w:left="360" w:hanging="360"/>
      </w:pPr>
      <w:r>
        <w:rPr>
          <w:rFonts w:ascii="Times New Roman" w:hAnsi="Times New Roman" w:eastAsia="ＭＳ 明朝"/>
          <w:b w:val="0"/>
          <w:color w:val="000000"/>
          <w:sz w:val="20"/>
        </w:rPr>
        <w:t>Deb, K., Pratap, A., Agarwal, S., &amp; Meyarivan, T. (2002) A Fast and Elitist Multiobjective Genetic Algorithm: NSGA-II. IEEE Transactions on Evolutionary Computation, 6(2), pp.182-197.</w:t>
      </w:r>
    </w:p>
    <w:p>
      <w:pPr>
        <w:spacing w:after="20"/>
        <w:ind w:left="360" w:hanging="360"/>
      </w:pPr>
      <w:r>
        <w:rPr>
          <w:rFonts w:ascii="Times New Roman" w:hAnsi="Times New Roman" w:eastAsia="ＭＳ 明朝"/>
          <w:b w:val="0"/>
          <w:color w:val="000000"/>
          <w:sz w:val="20"/>
        </w:rPr>
        <w:t>Fonseca, C. M., &amp; Fleming, P. J. (1995) An Overview of Evolutionary Algorithms in Multiobjective Optimization. Evolutionary Computation, 3(1), pp.1-16.</w:t>
      </w:r>
    </w:p>
    <w:p>
      <w:pPr>
        <w:spacing w:after="20"/>
        <w:ind w:left="360" w:hanging="360"/>
      </w:pPr>
      <w:r>
        <w:rPr>
          <w:rFonts w:ascii="Times New Roman" w:hAnsi="Times New Roman" w:eastAsia="ＭＳ 明朝"/>
          <w:b w:val="0"/>
          <w:color w:val="000000"/>
          <w:sz w:val="20"/>
        </w:rPr>
        <w:t>Goldberg, D. E. (1989) Genetic Algorithms in Search, Optimization, and Machine Learning, Addison-Wesley.</w:t>
      </w:r>
    </w:p>
    <w:p>
      <w:pPr>
        <w:spacing w:after="20"/>
        <w:ind w:left="360" w:hanging="360"/>
      </w:pPr>
      <w:r>
        <w:rPr>
          <w:rFonts w:ascii="Times New Roman" w:hAnsi="Times New Roman" w:eastAsia="ＭＳ 明朝"/>
          <w:b w:val="0"/>
          <w:color w:val="000000"/>
          <w:sz w:val="20"/>
        </w:rPr>
        <w:t>Hansen, N., &amp; Ostermeier, A. (2001) Completely Derandomized Self-Adaptation in Evolution Strategies. Evolutionary Computation, 9(2), pp.159-195.</w:t>
      </w:r>
    </w:p>
    <w:p>
      <w:pPr>
        <w:spacing w:after="20"/>
        <w:ind w:left="360" w:hanging="360"/>
      </w:pPr>
      <w:r>
        <w:rPr>
          <w:rFonts w:ascii="Times New Roman" w:hAnsi="Times New Roman" w:eastAsia="ＭＳ 明朝"/>
          <w:b w:val="0"/>
          <w:color w:val="000000"/>
          <w:sz w:val="20"/>
        </w:rPr>
        <w:t>Hutter, F., Hoos, H. H., &amp; Leyton-Brown, K. (2011) Sequential Model-Based Optimization for General Algorithm Configuration. In Learning and Intelligent Optimization, pp.507-523.</w:t>
      </w:r>
    </w:p>
    <w:p>
      <w:pPr>
        <w:spacing w:after="20"/>
        <w:ind w:left="360" w:hanging="360"/>
      </w:pPr>
      <w:r>
        <w:rPr>
          <w:rFonts w:ascii="Times New Roman" w:hAnsi="Times New Roman" w:eastAsia="ＭＳ 明朝"/>
          <w:b w:val="0"/>
          <w:color w:val="000000"/>
          <w:sz w:val="20"/>
        </w:rPr>
        <w:t>Jamieson, K., &amp; Talwalkar, A. (2016) Non-stochastic Best Arm Identification and Hyperparameter Optimization. In Proceedings of the 19th International Conference on Artificial Intelligence and Statistics, pp.240-248.</w:t>
      </w:r>
    </w:p>
    <w:p>
      <w:pPr>
        <w:spacing w:after="20"/>
        <w:ind w:left="360" w:hanging="360"/>
      </w:pPr>
      <w:r>
        <w:rPr>
          <w:rFonts w:ascii="Times New Roman" w:hAnsi="Times New Roman" w:eastAsia="ＭＳ 明朝"/>
          <w:b w:val="0"/>
          <w:color w:val="000000"/>
          <w:sz w:val="20"/>
        </w:rPr>
        <w:t>Kushner, H. J. (1964) A New Method of Locating the Maximum Point of an Arbitrary Multipeak Curve in the Presence of Noise. Journal of Basic Engineering, 86(1), pp.97-106.</w:t>
      </w:r>
    </w:p>
    <w:p>
      <w:pPr>
        <w:spacing w:after="20"/>
        <w:ind w:left="360" w:hanging="360"/>
      </w:pPr>
      <w:r>
        <w:rPr>
          <w:rFonts w:ascii="Times New Roman" w:hAnsi="Times New Roman" w:eastAsia="ＭＳ 明朝"/>
          <w:b w:val="0"/>
          <w:color w:val="000000"/>
          <w:sz w:val="20"/>
        </w:rPr>
        <w:t>Li, L., Jamieson, K., DeSalvo, G., Rostamizadeh, A., &amp; Talwalkar, A. (2017) Hyperband: A Novel Bandit-Based Approach to Hyperparameter Optimization. Journal of Machine Learning Research, 18(185), pp.1-52.</w:t>
      </w:r>
    </w:p>
    <w:p>
      <w:pPr>
        <w:spacing w:after="20"/>
        <w:ind w:left="360" w:hanging="360"/>
      </w:pPr>
      <w:r>
        <w:rPr>
          <w:rFonts w:ascii="Times New Roman" w:hAnsi="Times New Roman" w:eastAsia="ＭＳ 明朝"/>
          <w:b w:val="0"/>
          <w:color w:val="000000"/>
          <w:sz w:val="20"/>
        </w:rPr>
        <w:t>Mockus, J. (1978) The Application of Bayesian Methods for Seeking the Extremum. In Towards Global Optimization, Vol.2, pp.117-129, North-Holland.</w:t>
      </w:r>
    </w:p>
    <w:p>
      <w:pPr>
        <w:spacing w:after="20"/>
        <w:ind w:left="360" w:hanging="360"/>
      </w:pPr>
      <w:r>
        <w:rPr>
          <w:rFonts w:ascii="Times New Roman" w:hAnsi="Times New Roman" w:eastAsia="ＭＳ 明朝"/>
          <w:b w:val="0"/>
          <w:color w:val="000000"/>
          <w:sz w:val="20"/>
        </w:rPr>
        <w:t>Snoek, J., Larochelle, H., &amp; Adams, R. P. (2012) Practical Bayesian Optimization of Machine Learning Algorithms. In Advances in Neural Information Processing Systems, 25, pp.2951-2959.</w:t>
      </w:r>
    </w:p>
    <w:p>
      <w:pPr>
        <w:spacing w:after="20"/>
        <w:ind w:left="360" w:hanging="360"/>
      </w:pPr>
      <w:r>
        <w:rPr>
          <w:rFonts w:ascii="Times New Roman" w:hAnsi="Times New Roman" w:eastAsia="ＭＳ 明朝"/>
          <w:b w:val="0"/>
          <w:color w:val="000000"/>
          <w:sz w:val="20"/>
        </w:rPr>
        <w:t>Storn, R., &amp; Price, K. (1997) Differential Evolution - A Simple and Efficient Heuristic for Global Optimization over Continuous Spaces. Journal of Global Optimization, 11, pp.341-359.</w:t>
      </w:r>
    </w:p>
    <w:p>
      <w:pPr>
        <w:spacing w:after="20"/>
        <w:ind w:left="360" w:hanging="360"/>
      </w:pPr>
      <w:r>
        <w:rPr>
          <w:rFonts w:ascii="Times New Roman" w:hAnsi="Times New Roman" w:eastAsia="ＭＳ 明朝"/>
          <w:b w:val="0"/>
          <w:color w:val="000000"/>
          <w:sz w:val="20"/>
        </w:rPr>
        <w:t>Zitzler, E., Deb, K., &amp; Thiele, L. (2000) Comparison of Multiobjective Evolutionary Algorithms: Empirical Results. Evolutionary Computation, 8(2), pp.173-195.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英語文献Ⅲ ― 検証・過学習対策・感度分析(壊れにくさ検査の典拠)</w:t>
      </w:r>
    </w:p>
    <w:p>
      <w:pPr>
        <w:spacing w:after="20"/>
        <w:ind w:left="360" w:hanging="360"/>
      </w:pPr>
      <w:r>
        <w:rPr>
          <w:rFonts w:ascii="Times New Roman" w:hAnsi="Times New Roman" w:eastAsia="ＭＳ 明朝"/>
          <w:b w:val="0"/>
          <w:color w:val="000000"/>
          <w:sz w:val="20"/>
        </w:rPr>
        <w:t>Bailey, D. H., &amp; López de Prado, M. (2012) The Sharpe Ratio Efficient Frontier. Journal of Risk, 15(2), pp.3-44.</w:t>
      </w:r>
    </w:p>
    <w:p>
      <w:pPr>
        <w:spacing w:after="20"/>
        <w:ind w:left="360" w:hanging="360"/>
      </w:pPr>
      <w:r>
        <w:rPr>
          <w:rFonts w:ascii="Times New Roman" w:hAnsi="Times New Roman" w:eastAsia="ＭＳ 明朝"/>
          <w:b w:val="0"/>
          <w:color w:val="000000"/>
          <w:sz w:val="20"/>
        </w:rPr>
        <w:t>Bailey, D. H., Borwein, J., López de Prado, M., &amp; Zhu, Q. J. (2014) Pseudo-Mathematics and Financial Charlatanism: The Effects of Backtest Overfitting on Out-of-Sample Performance. Notices of the American Mathematical Society, 61(5), pp.458-471.</w:t>
      </w:r>
    </w:p>
    <w:p>
      <w:pPr>
        <w:spacing w:after="20"/>
        <w:ind w:left="360" w:hanging="360"/>
      </w:pPr>
      <w:r>
        <w:rPr>
          <w:rFonts w:ascii="Times New Roman" w:hAnsi="Times New Roman" w:eastAsia="ＭＳ 明朝"/>
          <w:b w:val="0"/>
          <w:color w:val="000000"/>
          <w:sz w:val="20"/>
        </w:rPr>
        <w:t>Bailey, D. H., &amp; López de Prado, M. (2014) The Deflated Sharpe Ratio: Correcting for Selection Bias, Backtest Overfitting, and Non-Normality. The Journal of Portfolio Management, 40(5), pp.94-107.</w:t>
      </w:r>
    </w:p>
    <w:p>
      <w:pPr>
        <w:spacing w:after="20"/>
        <w:ind w:left="360" w:hanging="360"/>
      </w:pPr>
      <w:r>
        <w:rPr>
          <w:rFonts w:ascii="Times New Roman" w:hAnsi="Times New Roman" w:eastAsia="ＭＳ 明朝"/>
          <w:b w:val="0"/>
          <w:color w:val="000000"/>
          <w:sz w:val="20"/>
        </w:rPr>
        <w:t>Bailey, D. H., Borwein, J. M., López de Prado, M., &amp; Zhu, Q. J. (2016) The Probability of Backtest Overfitting. Journal of Computational Finance, 20(4), pp.39-69.</w:t>
      </w:r>
    </w:p>
    <w:p>
      <w:pPr>
        <w:spacing w:after="20"/>
        <w:ind w:left="360" w:hanging="360"/>
      </w:pPr>
      <w:r>
        <w:rPr>
          <w:rFonts w:ascii="Times New Roman" w:hAnsi="Times New Roman" w:eastAsia="ＭＳ 明朝"/>
          <w:b w:val="0"/>
          <w:color w:val="000000"/>
          <w:sz w:val="20"/>
        </w:rPr>
        <w:t>Jaccard, P. (1901) Étude comparative de la distribution florale dans une portion des Alpes et des Jura. Bulletin de la Société Vaudoise des Sciences Naturelles, 37, pp.547-579.</w:t>
      </w:r>
    </w:p>
    <w:p>
      <w:pPr>
        <w:spacing w:after="20"/>
        <w:ind w:left="360" w:hanging="360"/>
      </w:pPr>
      <w:r>
        <w:rPr>
          <w:rFonts w:ascii="Times New Roman" w:hAnsi="Times New Roman" w:eastAsia="ＭＳ 明朝"/>
          <w:b w:val="0"/>
          <w:color w:val="000000"/>
          <w:sz w:val="20"/>
        </w:rPr>
        <w:t>López de Prado, M. (2018) Advances in Financial Machine Learning, John Wiley &amp; Sons.</w:t>
      </w:r>
    </w:p>
    <w:p>
      <w:pPr>
        <w:spacing w:after="20"/>
        <w:ind w:left="360" w:hanging="360"/>
      </w:pPr>
      <w:r>
        <w:rPr>
          <w:rFonts w:ascii="Times New Roman" w:hAnsi="Times New Roman" w:eastAsia="ＭＳ 明朝"/>
          <w:b w:val="0"/>
          <w:color w:val="000000"/>
          <w:sz w:val="20"/>
        </w:rPr>
        <w:t>Romano, J. P., &amp; Wolf, M. (2005) Stepwise Multiple Testing as Formalized Data Snooping. Econometrica, 73(4), pp.1237-1282.</w:t>
      </w:r>
    </w:p>
    <w:p>
      <w:pPr>
        <w:spacing w:after="20"/>
        <w:ind w:left="360" w:hanging="360"/>
      </w:pPr>
      <w:r>
        <w:rPr>
          <w:rFonts w:ascii="Times New Roman" w:hAnsi="Times New Roman" w:eastAsia="ＭＳ 明朝"/>
          <w:b w:val="0"/>
          <w:color w:val="000000"/>
          <w:sz w:val="20"/>
        </w:rPr>
        <w:t>Saltelli, A., Ratto, M., Andres, T., Campolongo, F., Cariboni, J., Gatelli, D., Saisana, M., &amp; Tarantola, S. (2008) Global Sensitivity Analysis: The Primer, John Wiley &amp; Sons.</w:t>
      </w:r>
    </w:p>
    <w:p>
      <w:pPr>
        <w:spacing w:after="20"/>
        <w:ind w:left="360" w:hanging="360"/>
      </w:pPr>
      <w:r>
        <w:rPr>
          <w:rFonts w:ascii="Times New Roman" w:hAnsi="Times New Roman" w:eastAsia="ＭＳ 明朝"/>
          <w:b w:val="0"/>
          <w:color w:val="000000"/>
          <w:sz w:val="20"/>
        </w:rPr>
        <w:t>Sobol', I. M. (2001) Global Sensitivity Indices for Nonlinear Mathematical Models and Their Monte Carlo Estimates. Mathematics and Computers in Simulation, 55(1-3), pp.271-280.</w:t>
      </w:r>
    </w:p>
    <w:p>
      <w:pPr>
        <w:spacing w:after="20"/>
        <w:ind w:left="360" w:hanging="360"/>
      </w:pPr>
      <w:r>
        <w:rPr>
          <w:rFonts w:ascii="Times New Roman" w:hAnsi="Times New Roman" w:eastAsia="ＭＳ 明朝"/>
          <w:b w:val="0"/>
          <w:color w:val="000000"/>
          <w:sz w:val="20"/>
        </w:rPr>
        <w:t>White, H. (2000) A Reality Check for Data Snooping. Econometrica, 68(5), pp.1097-1126.</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背景調査で参照した文献</w:t>
      </w:r>
    </w:p>
    <w:p>
      <w:pPr>
        <w:spacing w:after="20"/>
        <w:ind w:left="360" w:hanging="360"/>
      </w:pPr>
      <w:r>
        <w:rPr>
          <w:rFonts w:ascii="Times New Roman" w:hAnsi="Times New Roman" w:eastAsia="ＭＳ 明朝"/>
          <w:b w:val="0"/>
          <w:color w:val="000000"/>
          <w:sz w:val="20"/>
        </w:rPr>
        <w:t>Beneish, M. D. (1999) The Detection of Earnings Manipulation. Financial Analysts Journal, 55(5), pp.24-36.</w:t>
      </w:r>
    </w:p>
    <w:p>
      <w:pPr>
        <w:spacing w:after="20"/>
        <w:ind w:left="360" w:hanging="360"/>
      </w:pPr>
      <w:r>
        <w:rPr>
          <w:rFonts w:ascii="Times New Roman" w:hAnsi="Times New Roman" w:eastAsia="ＭＳ 明朝"/>
          <w:b w:val="0"/>
          <w:color w:val="000000"/>
          <w:sz w:val="20"/>
        </w:rPr>
        <w:t>French, K. R. "Data Library", https://mba.tuck.dartmouth.edu/pages/faculty/ken.french/data_library.html (2026年7月8日)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日本語文献</w:t>
      </w:r>
    </w:p>
    <w:p>
      <w:pPr>
        <w:spacing w:after="20"/>
        <w:ind w:left="360" w:hanging="360"/>
      </w:pPr>
      <w:r>
        <w:rPr>
          <w:rFonts w:ascii="Times New Roman" w:hAnsi="Times New Roman" w:eastAsia="ＭＳ 明朝"/>
          <w:b w:val="0"/>
          <w:color w:val="000000"/>
          <w:sz w:val="20"/>
        </w:rPr>
        <w:t>経済産業省(2014)『持続的成長への競争力とインセンティブ ―企業と投資家の望ましい関係構築―(伊藤レポート)』経済産業省．</w:t>
      </w:r>
    </w:p>
    <w:p>
      <w:pPr>
        <w:spacing w:after="20"/>
        <w:ind w:left="360" w:hanging="360"/>
      </w:pPr>
      <w:r>
        <w:rPr>
          <w:rFonts w:ascii="Times New Roman" w:hAnsi="Times New Roman" w:eastAsia="ＭＳ 明朝"/>
          <w:b w:val="0"/>
          <w:color w:val="000000"/>
          <w:sz w:val="20"/>
        </w:rPr>
        <w:t>東京証券取引所(2023)「資本コストや株価を意識した経営の実現に向けた対応について」株式会社東京証券取引所．</w:t>
      </w:r>
    </w:p>
    <w:p>
      <w:pPr>
        <w:spacing w:after="20"/>
        <w:ind w:left="360" w:hanging="360"/>
      </w:pPr>
      <w:r>
        <w:rPr>
          <w:rFonts w:ascii="Times New Roman" w:hAnsi="Times New Roman" w:eastAsia="ＭＳ 明朝"/>
          <w:b w:val="0"/>
          <w:color w:val="000000"/>
          <w:sz w:val="20"/>
        </w:rPr>
        <w:t>日本取引所グループ「単元株制度」，https://www.jpx.co.jp/ (2026年7月8日閲覧)</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データ・実装資料</w:t>
      </w:r>
    </w:p>
    <w:p>
      <w:pPr>
        <w:spacing w:after="20"/>
        <w:ind w:left="360" w:hanging="360"/>
      </w:pPr>
      <w:r>
        <w:rPr>
          <w:rFonts w:ascii="Times New Roman" w:hAnsi="Times New Roman" w:eastAsia="ＭＳ 明朝"/>
          <w:b w:val="0"/>
          <w:color w:val="000000"/>
          <w:sz w:val="20"/>
        </w:rPr>
        <w:t>金融庁「EDINET」，https://disclosure2.edinet-fsa.go.jp/ (2026年7月8日閲覧)</w:t>
      </w:r>
    </w:p>
    <w:p>
      <w:pPr>
        <w:spacing w:after="20"/>
        <w:ind w:left="360" w:hanging="360"/>
      </w:pPr>
      <w:r>
        <w:rPr>
          <w:rFonts w:ascii="Times New Roman" w:hAnsi="Times New Roman" w:eastAsia="ＭＳ 明朝"/>
          <w:b w:val="0"/>
          <w:color w:val="000000"/>
          <w:sz w:val="20"/>
        </w:rPr>
        <w:t>金融庁 企画市場局 企業開示課(2026)『EDINET API 仕様書(Version 2)』金融庁．</w:t>
      </w:r>
    </w:p>
    <w:p>
      <w:pPr>
        <w:spacing w:after="20"/>
        <w:ind w:left="360" w:hanging="360"/>
      </w:pPr>
      <w:r>
        <w:rPr>
          <w:rFonts w:ascii="Times New Roman" w:hAnsi="Times New Roman" w:eastAsia="ＭＳ 明朝"/>
          <w:b w:val="0"/>
          <w:color w:val="000000"/>
          <w:sz w:val="20"/>
        </w:rPr>
        <w:t>日本取引所グループ「上場会社情報」，https://www.jpx.co.jp/listing/co-search/ (2026年7月8日閲覧)</w:t>
      </w:r>
    </w:p>
    <w:p>
      <w:pPr>
        <w:spacing w:after="20"/>
        <w:ind w:left="360" w:hanging="360"/>
      </w:pPr>
      <w:r>
        <w:rPr>
          <w:rFonts w:ascii="Times New Roman" w:hAnsi="Times New Roman" w:eastAsia="ＭＳ 明朝"/>
          <w:b w:val="0"/>
          <w:color w:val="000000"/>
          <w:sz w:val="20"/>
        </w:rPr>
        <w:t>日本取引所グループ「東証上場銘柄一覧」(データファイル)．</w:t>
      </w:r>
    </w:p>
    <w:p>
      <w:pPr>
        <w:spacing w:after="20"/>
        <w:ind w:left="360" w:hanging="360"/>
      </w:pPr>
      <w:r>
        <w:rPr>
          <w:rFonts w:ascii="Times New Roman" w:hAnsi="Times New Roman" w:eastAsia="ＭＳ 明朝"/>
          <w:b w:val="0"/>
          <w:color w:val="000000"/>
          <w:sz w:val="20"/>
        </w:rPr>
        <w:t>Optuna Contributors, "Optuna Documentation", https://optuna.readthedocs.io/ (2026年7月8日)</w:t>
      </w:r>
    </w:p>
    <w:p>
      <w:pPr>
        <w:spacing w:after="20"/>
        <w:ind w:left="360" w:hanging="360"/>
      </w:pPr>
      <w:r>
        <w:rPr>
          <w:rFonts w:ascii="Times New Roman" w:hAnsi="Times New Roman" w:eastAsia="ＭＳ 明朝"/>
          <w:b w:val="0"/>
          <w:color w:val="000000"/>
          <w:sz w:val="20"/>
        </w:rPr>
        <w:t>pymoo Developers, "pymoo: Multi-objective Optimization in Python", https://pymoo.org/ (2026年7月8日)</w:t>
      </w:r>
    </w:p>
    <w:p>
      <w:pPr>
        <w:spacing w:after="20"/>
        <w:ind w:left="360" w:hanging="360"/>
      </w:pPr>
      <w:r>
        <w:rPr>
          <w:rFonts w:ascii="Times New Roman" w:hAnsi="Times New Roman" w:eastAsia="ＭＳ 明朝"/>
          <w:b w:val="0"/>
          <w:color w:val="000000"/>
          <w:sz w:val="20"/>
        </w:rPr>
        <w:t>SciPy Developers, "scipy.optimize.differential_evolution", SciPy Documentation, https://docs.scipy.org/ (2026年7月8日)</w:t>
      </w:r>
    </w:p>
    <w:p>
      <w:pPr>
        <w:spacing w:after="20"/>
        <w:ind w:left="360" w:hanging="360"/>
      </w:pPr>
      <w:r>
        <w:rPr>
          <w:rFonts w:ascii="Times New Roman" w:hAnsi="Times New Roman" w:eastAsia="ＭＳ 明朝"/>
          <w:b w:val="0"/>
          <w:color w:val="000000"/>
          <w:sz w:val="20"/>
        </w:rPr>
        <w:t>scikit-learn Developers, "Model selection and evaluation", scikit-learn Documentation, https://scikit-learn.org/stable/model_selection.html (2026年7月8日)</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t xml:space="preserve">- </w:t>
    </w:r>
    <w:fldSimple w:instr="PAGE">
      <w:r>
        <w:t>2</w:t>
      </w:r>
    </w:fldSimple>
    <w:r>
      <w:rPr>
        <w:rFonts w:ascii="Times New Roman" w:hAnsi="Times New Roman" w:eastAsia="ＭＳ 明朝"/>
        <w:b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v7</dc:description>
  <cp:lastModifiedBy/>
  <cp:revision>1</cp:revision>
  <dcterms:created xsi:type="dcterms:W3CDTF">2013-12-23T23:15:00Z</dcterms:created>
  <dcterms:modified xsi:type="dcterms:W3CDTF">2013-12-23T23:15:00Z</dcterms:modified>
  <cp:category/>
</cp:coreProperties>
</file>