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ではバフェットの品質基準(先行研究の式)だけで完成した堀を5社選び、破ではその型を破って割安×変革の会社(変わる堀)を、離では独自の物差しで新しい堀(生まれる堀)を選び、両立型3社・分散役2社を加え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三通りの頑健性検査(品質ゲートの判定の目安を変えること・配分の重み方式・相場局面)で確かめた(詳細は第Ⅱ章末)。</w:t>
      </w:r>
    </w:p>
    <w:p>
      <w:pPr>
        <w:spacing w:before="0" w:after="80" w:line="298" w:lineRule="auto"/>
        <w:ind w:firstLine="0" w:firstLineChars="0"/>
      </w:pPr>
      <w:r>
        <w:rPr>
          <w:rFonts w:ascii="Times New Roman" w:hAnsi="Times New Roman" w:eastAsia="ＭＳ 明朝"/>
          <w:b w:val="0"/>
          <w:color w:val="000000"/>
          <w:sz w:val="20"/>
        </w:rPr>
        <w:t>※守破離(しゅはり)＝日本の芸道の修行段階。守=型を守る、破=型を破る、離=独自の境地へ。</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見えない15社を同じ厳しさの証拠で選ぶ、③選定が壊れにくい――この三つの設計条件は本文で確かめた。残る④成績は、バフェットの品質基準で選んだ『新バフェット型』を自作し、先に決めた物差しで比較した。過去データの自己検証では、割安一辺倒のグレアム型と市場平均(ＴＯＰＩＸ)には、リスクを抑えつつ統計的にも有意に上回った(3年で対グレアム＋41ポイント)。師である新バフェット型に対しては、リターン・効率(シャープ)・下落の小ささのすべてで、しかも四つの相場局面すべてで一貫して上回った(3年で年＋12ポイント)が、その差は統計的には確実でなく、正直に「互角〜やや上」と評価する。これはすべて過去の自己検証であり、将来の市場超過の証明ではない――この限界は隠さず記す。</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2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2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4</w:t>
      </w:r>
    </w:p>
    <w:p>
      <w:pPr>
        <w:spacing w:before="0" w:after="2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8</w:t>
      </w:r>
    </w:p>
    <w:p>
      <w:pPr>
        <w:spacing w:before="0" w:after="2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19</w:t>
      </w:r>
    </w:p>
    <w:p>
      <w:pPr>
        <w:spacing w:before="0" w:after="2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27</w:t>
      </w:r>
    </w:p>
    <w:p>
      <w:pPr>
        <w:spacing w:before="0" w:after="2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28</w:t>
      </w:r>
    </w:p>
    <w:p>
      <w:pPr>
        <w:spacing w:before="0" w:after="2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3</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きっかけは、一つの会社だった。santec Holdings(6777)――光通信の部品をつくる会社である。地味な部品メーカーと見られてきたこの会社は、いま、生成ＡＩのデータセンター内をつなぐ高速の光配線(光インターコネクト)の担い手として需要が急拡大している。データが詰まると計算全体が止まる――その急所を、精密な光の部品技術が握った。完成したはずの部品事業の内側で、ＡＩという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資本効率の改善と株主還元の強化によって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圧倒的な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自分が理解できる事業だけを対象にする。理解できない熱狂には乗らない。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「私たちの好みの保有期間は永遠である」(バフェット、1988)。頻繁な売買をせず、堀が守る利益の再投資で雪だるま式に増やす。</w:t>
      </w:r>
    </w:p>
    <w:p>
      <w:pPr>
        <w:spacing w:after="80" w:line="281" w:lineRule="auto"/>
        <w:jc w:val="both"/>
        <w:ind w:firstLineChars="100" w:firstLine="210"/>
      </w:pPr>
      <w:r>
        <w:rPr>
          <w:rFonts w:ascii="Times New Roman" w:hAnsi="Times New Roman" w:eastAsia="ＭＳ 明朝"/>
          <w:b w:val="0"/>
          <w:color w:val="000000"/>
          <w:sz w:val="21"/>
        </w:rPr>
        <w:t>この規律は、感覚ではなく式で確かめられる。Frazzini, Kabiller and Pedersen (2018)は、バフェットの半世紀の超過成績が「割安×優良×値動きの穏やかさ」という測定可能な要素でほぼ説明できることを示した。つまり、彼の物差しは先行研究の式で再現できる――これが第Ⅱ章「守」の土台である。</w:t>
      </w:r>
    </w:p>
    <w:p>
      <w:pPr>
        <w:spacing w:after="80" w:line="281" w:lineRule="auto"/>
        <w:jc w:val="both"/>
        <w:ind w:firstLineChars="100" w:firstLine="210"/>
      </w:pPr>
      <w:r>
        <w:rPr>
          <w:rFonts w:ascii="Times New Roman" w:hAnsi="Times New Roman" w:eastAsia="ＭＳ 明朝"/>
          <w:b w:val="0"/>
          <w:color w:val="000000"/>
          <w:sz w:val="21"/>
        </w:rPr>
        <w:t>同時に、この分解は彼の物差しの死角も教えてくれる。割安・優良・穏やかさは、どれも「いま完成している堀」を測る物差しであり、これから変わる堀・生まれる堀は原理的に映らない。私たちが加える視点は三つ――①時間軸(堀の一生を見る)、②証拠主義(言葉ではなく数字の裏づけで測る)、③分散(どれか一つの未来に賭けない)。この三つ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二つの地殻変動</w:t>
      </w:r>
    </w:p>
    <w:p>
      <w:pPr>
        <w:spacing w:after="80" w:line="281" w:lineRule="auto"/>
        <w:jc w:val="both"/>
        <w:ind w:firstLineChars="100" w:firstLine="210"/>
      </w:pPr>
      <w:r>
        <w:rPr>
          <w:rFonts w:ascii="Times New Roman" w:hAnsi="Times New Roman" w:eastAsia="ＭＳ 明朝"/>
          <w:b w:val="0"/>
          <w:color w:val="000000"/>
          <w:sz w:val="21"/>
        </w:rPr>
        <w:t>第一の地殻変動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地殻変動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実際、既製のＡＩ関連スコアは機械的なキーワード照合に頼るため、炊飯器や照明の会社までＡＩ関連として満点に並んでしまうことが分かった。「ＡＩ」と口にすることと、ＡＩの実需で稼ぐことは違う。接点と堀を見分ける仕組み――事業の開示まで遡って実需を確かめる証拠主義――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第一に、すでに完成した堀(バフェットの規律で測れる企業)。第二に、資本効率改革で変わる堀(割安×改善の証拠を持つ企業)。第三に、構造変化から生まれる堀(ＡＩ基盤への実需接続を証拠で示せる企業)。この三世代を一つのポートフォリオ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5328000" cy="2895652"/>
            <wp:docPr id="2" name="Picture 2"/>
            <wp:cNvGraphicFramePr>
              <a:graphicFrameLocks noChangeAspect="1"/>
            </wp:cNvGraphicFramePr>
            <a:graphic>
              <a:graphicData uri="http://schemas.openxmlformats.org/drawingml/2006/picture">
                <pic:pic>
                  <pic:nvPicPr>
                    <pic:cNvPr id="0" name="fig1_moat_v7.png"/>
                    <pic:cNvPicPr/>
                  </pic:nvPicPr>
                  <pic:blipFill>
                    <a:blip r:embed="rId11"/>
                    <a:stretch>
                      <a:fillRect/>
                    </a:stretch>
                  </pic:blipFill>
                  <pic:spPr>
                    <a:xfrm>
                      <a:off x="0" y="0"/>
                      <a:ext cx="5328000" cy="2895652"/>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新バフェット型の選定を、リスク調整後の効率(シャープ)と下落の小ささで上回る。過度な集中を避けた三世代の分散が、攻め(リターン)と守り(下落の抑制)の両面で効く――これが、三世代を等しく束ねる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「超える」を気分で語らないために、確かめられる四つの条件で先に定義しておく。本レポートの残りは、この定義の検証である。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条件</w:t>
            </w:r>
          </w:p>
        </w:tc>
        <w:tc>
          <w:tcPr>
            <w:tcW w:type="dxa" w:w="5783"/>
            <w:shd w:val="clear" w:color="auto" w:fill="16324F"/>
          </w:tcPr>
          <w:p>
            <w:pPr>
              <w:spacing w:after="0"/>
              <w:ind w:firstLine="0" w:firstLineChars="0"/>
            </w:pPr>
            <w:r>
              <w:rPr>
                <w:rFonts w:ascii="Arial" w:hAnsi="Arial" w:eastAsia="ＭＳ ゴシック"/>
                <w:b/>
                <w:color w:val="FFFFFF"/>
                <w:sz w:val="20"/>
              </w:rPr>
              <w:t>内容</w:t>
            </w:r>
          </w:p>
        </w:tc>
        <w:tc>
          <w:tcPr>
            <w:tcW w:type="dxa" w:w="1928"/>
            <w:shd w:val="clear" w:color="auto" w:fill="16324F"/>
          </w:tcPr>
          <w:p>
            <w:pPr>
              <w:spacing w:after="0"/>
              <w:ind w:firstLine="0" w:firstLineChars="0"/>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バフェットの選び方を先行研究の式だけで再現し、その方法が選ぶ5社を実際に持つ。比較相手を自分のポートフォリオの中に持ち歩く</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バフェットの式では選ばれない15社を、同じ厳しさの証拠で選ぶ。彼の物差しが見ない未来を、彼と同じ規律で測る</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選定が一つの仕掛け・一つのテーマに依存しない。判定の目安=条件を一つ変えても20社中11社以上が維持される(候補の広さの変更は別扱い)</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主対照『新バフェット型』(品質基準で選んだ大型優良)に対し、リターン・効率ＩＲ・下落の小ささで上回る。参考の純正グレアム型・市場ＴＯＰＩＸには有意に上回る。物差しは比較前に宣言</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spacing w:after="80" w:line="281" w:lineRule="auto"/>
        <w:jc w:val="both"/>
        <w:ind w:firstLineChars="100" w:firstLine="210"/>
      </w:pPr>
      <w:r>
        <w:rPr>
          <w:rFonts w:ascii="Times New Roman" w:hAnsi="Times New Roman" w:eastAsia="ＭＳ 明朝"/>
          <w:b w:val="0"/>
          <w:color w:val="000000"/>
          <w:sz w:val="21"/>
        </w:rPr>
        <w:t>言い換えれば、三世代の堀が目的地の地図(何を買うか)であり、守破離はそこへ歩く順番(どう選ぶか)である。順番には理由がある。①〜③を後から誰でも検証できる形にするため、独自色を最後(離)に置いた。独自の物差しを最後に導入するからこそ、「どこからが私たちの主張か」をいつでも遡って示せ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守=条件①、離=条件②、章末の頑健性検査=条件③、第Ⅲ章の対照比較=条件④に対応する(下表)。物差しは比較の前に宣言する。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pPr>
            <w:r>
              <w:rPr>
                <w:rFonts w:ascii="Arial" w:hAnsi="Arial" w:eastAsia="ＭＳ ゴシック"/>
                <w:b/>
                <w:color w:val="FFFFFF"/>
                <w:sz w:val="20"/>
              </w:rPr>
              <w:t>段階</w:t>
            </w:r>
          </w:p>
        </w:tc>
        <w:tc>
          <w:tcPr>
            <w:tcW w:type="dxa" w:w="4082"/>
            <w:shd w:val="clear" w:color="auto" w:fill="16324F"/>
          </w:tcPr>
          <w:p>
            <w:pPr>
              <w:spacing w:after="0"/>
              <w:ind w:firstLine="0" w:firstLineChars="0"/>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型を破り、割安×変革の会社(変わる堀)5社を選ぶ</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式は借り物。使い方は私たちの判断(過程を開示)</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(条件②の一部)</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変わる・生まれる堀＋両立・分散の15社を、独自の物差しで選ぶ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部品は借り物。組み方が私たちの独自性</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独自性を最後に置く。守破離は目的ではなく、四条件を検証可能にするための手段である。</w:t>
      </w:r>
    </w:p>
    <w:p>
      <w:pPr>
        <w:spacing w:after="80" w:line="281" w:lineRule="auto"/>
        <w:jc w:val="both"/>
        <w:ind w:firstLineChars="100" w:firstLine="210"/>
      </w:pPr>
      <w:r>
        <w:rPr>
          <w:rFonts w:ascii="Times New Roman" w:hAnsi="Times New Roman" w:eastAsia="ＭＳ 明朝"/>
          <w:b w:val="0"/>
          <w:color w:val="000000"/>
          <w:sz w:val="21"/>
        </w:rPr>
        <w:t>なお、本文の数字はすべて選定の過程で保存した記録(通過社数・除外理由・検査結果)から機械的に転記し、レポート自体を記録データから自動生成している。生成・検証コードと正典データ・乱数シード(頑健性の摂動監査に使用)は提出時点で保存しており、どの数字も出どころまで遡って確かめられる。</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選ぶ順番として守破離を置いた。本章が選定の中核である。金融を除く普通株3,481社(投資適格・流動性を満たす1,819社)から、守破離の三段階で最終20社を選ぶ。各段階では、何を見たか(観点)、何で測ったか(データと式)、どこで区切ったか(判定の目安)、何社が残ったか(結果)を必ず示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第１スクリーニング　</w:t>
      </w:r>
      <w:r>
        <w:rPr>
          <w:rFonts w:ascii="Arial" w:hAnsi="Arial" w:eastAsia="ＭＳ ゴシック"/>
          <w:b/>
          <w:color w:val="16324F"/>
          <w:sz w:val="23"/>
        </w:rPr>
        <w:t xml:space="preserve">　守 ― バフェットの規律を式だけで再現する(→完成した堀5社)</w:t>
      </w:r>
    </w:p>
    <w:p>
      <w:pPr>
        <w:spacing w:after="80" w:line="281" w:lineRule="auto"/>
        <w:jc w:val="both"/>
        <w:ind w:firstLineChars="100" w:firstLine="210"/>
      </w:pPr>
      <w:r>
        <w:rPr>
          <w:rFonts w:ascii="Times New Roman" w:hAnsi="Times New Roman" w:eastAsia="ＭＳ 明朝"/>
          <w:b w:val="0"/>
          <w:color w:val="000000"/>
          <w:sz w:val="21"/>
        </w:rPr>
        <w:t>守では、バフェットの規律「良い会社を、高すぎない価格で買い、長期保有に耐えない企業を避ける」を、先行研究の式だけで再現する。独自の重み付けは使わず、七つの関門を一つずつ通す。</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観点</w:t>
            </w:r>
          </w:p>
        </w:tc>
        <w:tc>
          <w:tcPr>
            <w:tcW w:type="dxa" w:w="2948"/>
            <w:shd w:val="clear" w:color="auto" w:fill="16324F"/>
          </w:tcPr>
          <w:p>
            <w:pPr>
              <w:spacing w:after="0"/>
              <w:ind w:firstLine="0" w:firstLineChars="0"/>
            </w:pPr>
            <w:r>
              <w:rPr>
                <w:rFonts w:ascii="Arial" w:hAnsi="Arial" w:eastAsia="ＭＳ ゴシック"/>
                <w:b/>
                <w:color w:val="FFFFFF"/>
                <w:sz w:val="20"/>
              </w:rPr>
              <w:t>使うデータ・式</w:t>
            </w:r>
          </w:p>
        </w:tc>
        <w:tc>
          <w:tcPr>
            <w:tcW w:type="dxa" w:w="2154"/>
            <w:shd w:val="clear" w:color="auto" w:fill="16324F"/>
          </w:tcPr>
          <w:p>
            <w:pPr>
              <w:spacing w:after="0"/>
              <w:ind w:firstLine="0" w:firstLineChars="0"/>
            </w:pPr>
            <w:r>
              <w:rPr>
                <w:rFonts w:ascii="Arial" w:hAnsi="Arial" w:eastAsia="ＭＳ ゴシック"/>
                <w:b/>
                <w:color w:val="FFFFFF"/>
                <w:sz w:val="20"/>
              </w:rPr>
              <w:t>判定の目安</w:t>
            </w:r>
          </w:p>
        </w:tc>
        <w:tc>
          <w:tcPr>
            <w:tcW w:type="dxa" w:w="2721"/>
            <w:shd w:val="clear" w:color="auto" w:fill="16324F"/>
          </w:tcPr>
          <w:p>
            <w:pPr>
              <w:spacing w:after="0"/>
              <w:ind w:firstLine="0" w:firstLineChars="0"/>
            </w:pPr>
            <w:r>
              <w:rPr>
                <w:rFonts w:ascii="Arial" w:hAnsi="Arial" w:eastAsia="ＭＳ ゴシック"/>
                <w:b/>
                <w:color w:val="FFFFFF"/>
                <w:sz w:val="20"/>
              </w:rPr>
              <w:t>残った社数</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割安か(純資産)</w:t>
            </w:r>
          </w:p>
        </w:tc>
        <w:tc>
          <w:tcPr>
            <w:tcW w:type="dxa" w:w="2948"/>
          </w:tcPr>
          <w:p>
            <w:pPr>
              <w:spacing w:after="0"/>
              <w:ind w:firstLine="0" w:firstLineChars="0"/>
              <w:jc w:val="left"/>
            </w:pPr>
            <w:r>
              <w:rPr>
                <w:rFonts w:ascii="Times New Roman" w:hAnsi="Times New Roman" w:eastAsia="ＭＳ 明朝"/>
                <w:b w:val="0"/>
                <w:color w:val="000000"/>
                <w:sz w:val="20"/>
              </w:rPr>
              <w:t>Ｂ／Ｍ＝純資産÷時価総額(式1)</w:t>
            </w:r>
          </w:p>
        </w:tc>
        <w:tc>
          <w:tcPr>
            <w:tcW w:type="dxa" w:w="2154"/>
          </w:tcPr>
          <w:p>
            <w:pPr>
              <w:spacing w:after="0"/>
              <w:ind w:firstLine="0" w:firstLineChars="0"/>
              <w:jc w:val="left"/>
            </w:pPr>
            <w:r>
              <w:rPr>
                <w:rFonts w:ascii="Times New Roman" w:hAnsi="Times New Roman" w:eastAsia="ＭＳ 明朝"/>
                <w:b w:val="0"/>
                <w:color w:val="000000"/>
                <w:sz w:val="20"/>
              </w:rPr>
              <w:t>市場の上位30％</w:t>
            </w:r>
          </w:p>
        </w:tc>
        <w:tc>
          <w:tcPr>
            <w:tcW w:type="dxa" w:w="2721"/>
          </w:tcPr>
          <w:p>
            <w:pPr>
              <w:spacing w:after="0"/>
              <w:ind w:firstLine="0" w:firstLineChars="0"/>
              <w:jc w:val="left"/>
            </w:pPr>
            <w:r>
              <w:rPr>
                <w:rFonts w:ascii="Times New Roman" w:hAnsi="Times New Roman" w:eastAsia="ＭＳ 明朝"/>
                <w:b w:val="0"/>
                <w:color w:val="000000"/>
                <w:sz w:val="20"/>
              </w:rPr>
              <w:t>3,099→2,740社(算出可能)</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割安か(利益)</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Ｅ／Ｐ＝純利益÷時価総額(式2)</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→583社(割安2関門を通過)</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粗利÷総資産(式3)</w:t>
            </w:r>
          </w:p>
        </w:tc>
        <w:tc>
          <w:tcPr>
            <w:tcW w:type="dxa" w:w="2154"/>
          </w:tcPr>
          <w:p>
            <w:pPr>
              <w:spacing w:after="0"/>
              <w:ind w:firstLine="0" w:firstLineChars="0"/>
              <w:jc w:val="left"/>
            </w:pPr>
            <w:r>
              <w:rPr>
                <w:rFonts w:ascii="Times New Roman" w:hAnsi="Times New Roman" w:eastAsia="ＭＳ 明朝"/>
                <w:b w:val="0"/>
                <w:color w:val="000000"/>
                <w:sz w:val="20"/>
              </w:rPr>
              <w:t>市場の中央値以上</w:t>
            </w:r>
          </w:p>
        </w:tc>
        <w:tc>
          <w:tcPr>
            <w:tcW w:type="dxa" w:w="2721"/>
          </w:tcPr>
          <w:p>
            <w:pPr>
              <w:spacing w:after="0"/>
              <w:ind w:firstLine="0" w:firstLineChars="0"/>
              <w:jc w:val="left"/>
            </w:pPr>
            <w:r>
              <w:rPr>
                <w:rFonts w:ascii="Times New Roman" w:hAnsi="Times New Roman" w:eastAsia="ＭＳ 明朝"/>
                <w:b w:val="0"/>
                <w:color w:val="000000"/>
                <w:sz w:val="20"/>
              </w:rPr>
              <w:t>→146社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6項目チェックの合格割合(式4)</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→112社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利益は本物か</w:t>
            </w:r>
          </w:p>
        </w:tc>
        <w:tc>
          <w:tcPr>
            <w:tcW w:type="dxa" w:w="2948"/>
          </w:tcPr>
          <w:p>
            <w:pPr>
              <w:spacing w:after="0"/>
              <w:ind w:firstLine="0" w:firstLineChars="0"/>
              <w:jc w:val="left"/>
            </w:pPr>
            <w:r>
              <w:rPr>
                <w:rFonts w:ascii="Times New Roman" w:hAnsi="Times New Roman" w:eastAsia="ＭＳ 明朝"/>
                <w:b w:val="0"/>
                <w:color w:val="000000"/>
                <w:sz w:val="20"/>
              </w:rPr>
              <w:t>利益と現金の差(式5)</w:t>
            </w:r>
          </w:p>
        </w:tc>
        <w:tc>
          <w:tcPr>
            <w:tcW w:type="dxa" w:w="2154"/>
          </w:tcPr>
          <w:p>
            <w:pPr>
              <w:spacing w:after="0"/>
              <w:ind w:firstLine="0" w:firstLineChars="0"/>
              <w:jc w:val="left"/>
            </w:pPr>
            <w:r>
              <w:rPr>
                <w:rFonts w:ascii="Times New Roman" w:hAnsi="Times New Roman" w:eastAsia="ＭＳ 明朝"/>
                <w:b w:val="0"/>
                <w:color w:val="000000"/>
                <w:sz w:val="20"/>
              </w:rPr>
              <w:t>悪い側の上位30％を除外</w:t>
            </w:r>
          </w:p>
        </w:tc>
        <w:tc>
          <w:tcPr>
            <w:tcW w:type="dxa" w:w="2721"/>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危険はないか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債務超過・2期連続赤字(式6)</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該当ゼロ(除外0社)</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実際に買えるか</w:t>
            </w:r>
          </w:p>
        </w:tc>
        <w:tc>
          <w:tcPr>
            <w:tcW w:type="dxa" w:w="2948"/>
          </w:tcPr>
          <w:p>
            <w:pPr>
              <w:spacing w:after="0"/>
              <w:ind w:firstLine="0" w:firstLineChars="0"/>
              <w:jc w:val="left"/>
            </w:pPr>
            <w:r>
              <w:rPr>
                <w:rFonts w:ascii="Times New Roman" w:hAnsi="Times New Roman" w:eastAsia="ＭＳ 明朝"/>
                <w:b w:val="0"/>
                <w:color w:val="000000"/>
                <w:sz w:val="20"/>
              </w:rPr>
              <w:t>60日平均の売買代金(式7)</w:t>
            </w:r>
          </w:p>
        </w:tc>
        <w:tc>
          <w:tcPr>
            <w:tcW w:type="dxa" w:w="2154"/>
          </w:tcPr>
          <w:p>
            <w:pPr>
              <w:spacing w:after="0"/>
              <w:ind w:firstLine="0" w:firstLineChars="0"/>
              <w:jc w:val="left"/>
            </w:pPr>
            <w:r>
              <w:rPr>
                <w:rFonts w:ascii="Times New Roman" w:hAnsi="Times New Roman" w:eastAsia="ＭＳ 明朝"/>
                <w:b w:val="0"/>
                <w:color w:val="000000"/>
                <w:sz w:val="20"/>
              </w:rPr>
              <w:t>基準1,000万円(300万〜1,000万は要確認で通過)</w:t>
            </w:r>
          </w:p>
        </w:tc>
        <w:tc>
          <w:tcPr>
            <w:tcW w:type="dxa" w:w="2721"/>
          </w:tcPr>
          <w:p>
            <w:pPr>
              <w:spacing w:after="0"/>
              <w:ind w:firstLine="0" w:firstLineChars="0"/>
              <w:jc w:val="left"/>
            </w:pPr>
            <w:r>
              <w:rPr>
                <w:rFonts w:ascii="Times New Roman" w:hAnsi="Times New Roman" w:eastAsia="ＭＳ 明朝"/>
                <w:b w:val="0"/>
                <w:color w:val="000000"/>
                <w:sz w:val="20"/>
              </w:rPr>
              <w:t>→77社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　守の七関門(判定基準)。出所：第1段階の正典データ。</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七つの関門を、式そのものから一つずつ見ていく。どの式も先行研究のまま使い、私たちの独自の重みは一切加えない。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関門1　資本を高い率で回せるか ― ＲＯＥ</w:t>
      </w:r>
    </w:p>
    <w:p>
      <w:pPr>
        <w:spacing w:after="40" w:line="281" w:lineRule="auto"/>
        <w:jc w:val="both"/>
        <w:ind w:firstLineChars="100" w:firstLine="210"/>
      </w:pPr>
      <w:r>
        <w:rPr>
          <w:rFonts w:ascii="Times New Roman" w:hAnsi="Times New Roman" w:eastAsia="ＭＳ 明朝"/>
          <w:b w:val="0"/>
          <w:color w:val="000000"/>
          <w:sz w:val="21"/>
        </w:rPr>
        <w:t>自己資本利益率(ＲＯＥ)は、株主の資本をどれだけ効率よく利益に変えるかを示す。高く持続的なＲＯＥは、まねされにくい強み＝堀の現れである。バフェットの超過成績が「割安×優良×安全」で説明できることを示したFrazzini, Kabiller and Pedersen (2018)、および品質factorを定式化したAsness, Frazzini and Pedersen (2019, QMJ)で、収益性は品質の中核に置かれる。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式（1）ＲＯＥ ― 資本の収益率(Frazzini, Kabiller and Pedersen, 2018)</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R</m:t>
                    </m:r>
                    <m:r>
                      <m:rPr>
                        <m:sty m:val="p"/>
                      </m:rPr>
                      <m:t>O</m:t>
                    </m:r>
                    <m:r>
                      <m:rPr>
                        <m:sty m:val="p"/>
                      </m:rPr>
                      <m:t>E</m:t>
                    </m:r>
                  </m:e>
                  <m:sub>
                    <m:r>
                      <m:t>i</m:t>
                    </m:r>
                  </m:sub>
                </m:sSub>
                <m:r>
                  <m:rPr>
                    <m:sty m:val="p"/>
                  </m:rPr>
                  <m:t>=</m:t>
                </m:r>
                <m:f>
                  <m:fPr>
                    <m:type m:val="bar"/>
                  </m:fPr>
                  <m:num>
                    <m:sSub>
                      <m:e>
                        <m:r>
                          <m:rPr>
                            <m:sty m:val="p"/>
                          </m:rPr>
                          <m:t>N</m:t>
                        </m:r>
                        <m:r>
                          <m:rPr>
                            <m:sty m:val="p"/>
                          </m:rPr>
                          <m:t>I</m:t>
                        </m:r>
                      </m:e>
                      <m:sub>
                        <m:r>
                          <m:t>i</m:t>
                        </m:r>
                      </m:sub>
                    </m:sSub>
                  </m:num>
                  <m:den>
                    <m:sSub>
                      <m:e>
                        <m:r>
                          <m:rPr>
                            <m:sty m:val="p"/>
                          </m:rPr>
                          <m:t>E</m:t>
                        </m:r>
                        <m:r>
                          <m:rPr>
                            <m:sty m:val="p"/>
                          </m:rPr>
                          <m:t>q</m:t>
                        </m:r>
                        <m:r>
                          <m:rPr>
                            <m:sty m:val="p"/>
                          </m:rPr>
                          <m:t>u</m:t>
                        </m:r>
                        <m:r>
                          <m:rPr>
                            <m:sty m:val="p"/>
                          </m:rPr>
                          <m:t>i</m:t>
                        </m:r>
                        <m:r>
                          <m:rPr>
                            <m:sty m:val="p"/>
                          </m:rPr>
                          <m:t>t</m:t>
                        </m:r>
                        <m:r>
                          <m:rPr>
                            <m:sty m:val="p"/>
                          </m:rPr>
                          <m:t>y</m:t>
                        </m:r>
                      </m:e>
                      <m:sub>
                        <m:r>
                          <m:t>i</m:t>
                        </m:r>
                      </m:sub>
                    </m:sSub>
                  </m:den>
                </m:f>
                <m:r>
                  <m:t> </m:t>
                </m:r>
                <m:r>
                  <m:rPr>
                    <m:sty m:val="p"/>
                  </m:rPr>
                  <m:t>≥</m:t>
                </m:r>
                <m:r>
                  <m:t> </m:t>
                </m:r>
                <m:r>
                  <m:t>0.15</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　Equity＝自己資本。15％以上を高収益の基準とする(バフェットが繰り返し目安とする水準)。</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よって、ＲＯＥ15％以上の企業を「資本を高い率で回せる優良企業」と評価する。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関門2　価格支配力＝堀があるか ― 営業利益率</w:t>
      </w:r>
    </w:p>
    <w:p>
      <w:pPr>
        <w:spacing w:after="40" w:line="281" w:lineRule="auto"/>
        <w:jc w:val="both"/>
        <w:ind w:firstLineChars="100" w:firstLine="210"/>
      </w:pPr>
      <w:r>
        <w:rPr>
          <w:rFonts w:ascii="Times New Roman" w:hAnsi="Times New Roman" w:eastAsia="ＭＳ 明朝"/>
          <w:b w:val="0"/>
          <w:color w:val="000000"/>
          <w:sz w:val="21"/>
        </w:rPr>
        <w:t>高く安定した営業利益率は、値下げ競争に巻き込まれない価格支配力＝堀の現れである。薄利の会社は、原価や競合の変化で利益が消えやすい(QMJ の収益性)。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式（2）営業利益率 ― 価格支配力(堀)の代理(Asness,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O</m:t>
                    </m:r>
                    <m:r>
                      <m:rPr>
                        <m:sty m:val="p"/>
                      </m:rPr>
                      <m:t>P</m:t>
                    </m:r>
                    <m:r>
                      <m:rPr>
                        <m:sty m:val="p"/>
                      </m:rPr>
                      <m:t>M</m:t>
                    </m:r>
                  </m:e>
                  <m:sub>
                    <m:r>
                      <m:t>i</m:t>
                    </m:r>
                  </m:sub>
                </m:sSub>
                <m:r>
                  <m:rPr>
                    <m:sty m:val="p"/>
                  </m:rPr>
                  <m:t>=</m:t>
                </m:r>
                <m:f>
                  <m:fPr>
                    <m:type m:val="bar"/>
                  </m:fPr>
                  <m:num>
                    <m:sSub>
                      <m:e>
                        <m:r>
                          <m:rPr>
                            <m:sty m:val="p"/>
                          </m:rPr>
                          <m:t>O</m:t>
                        </m:r>
                        <m:r>
                          <m:rPr>
                            <m:sty m:val="p"/>
                          </m:rPr>
                          <m:t>p</m:t>
                        </m:r>
                        <m:r>
                          <m:rPr>
                            <m:sty m:val="p"/>
                          </m:rPr>
                          <m:t>e</m:t>
                        </m:r>
                        <m:r>
                          <m:rPr>
                            <m:sty m:val="p"/>
                          </m:rPr>
                          <m:t>r</m:t>
                        </m:r>
                        <m:r>
                          <m:rPr>
                            <m:sty m:val="p"/>
                          </m:rPr>
                          <m:t>a</m:t>
                        </m:r>
                        <m:r>
                          <m:rPr>
                            <m:sty m:val="p"/>
                          </m:rPr>
                          <m:t>t</m:t>
                        </m:r>
                        <m:r>
                          <m:rPr>
                            <m:sty m:val="p"/>
                          </m:rPr>
                          <m:t>i</m:t>
                        </m:r>
                        <m:r>
                          <m:rPr>
                            <m:sty m:val="p"/>
                          </m:rPr>
                          <m:t>n</m:t>
                        </m:r>
                        <m:r>
                          <m:rPr>
                            <m:sty m:val="p"/>
                          </m:rPr>
                          <m:t>g</m:t>
                        </m:r>
                        <m:r>
                          <m:rPr>
                            <m:sty m:val="p"/>
                          </m:rPr>
                          <m:t>I</m:t>
                        </m:r>
                        <m:r>
                          <m:rPr>
                            <m:sty m:val="p"/>
                          </m:rPr>
                          <m:t>n</m:t>
                        </m:r>
                        <m:r>
                          <m:rPr>
                            <m:sty m:val="p"/>
                          </m:rPr>
                          <m:t>c</m:t>
                        </m:r>
                        <m:r>
                          <m:rPr>
                            <m:sty m:val="p"/>
                          </m:rPr>
                          <m:t>o</m:t>
                        </m:r>
                        <m:r>
                          <m:rPr>
                            <m:sty m:val="p"/>
                          </m:rPr>
                          <m:t>m</m:t>
                        </m:r>
                        <m:r>
                          <m:rPr>
                            <m:sty m:val="p"/>
                          </m:rPr>
                          <m:t>e</m:t>
                        </m:r>
                      </m:e>
                      <m:sub>
                        <m:r>
                          <m:t>i</m:t>
                        </m:r>
                      </m:sub>
                    </m:sSub>
                  </m:num>
                  <m:den>
                    <m:sSub>
                      <m:e>
                        <m:r>
                          <m:rPr>
                            <m:sty m:val="p"/>
                          </m:rPr>
                          <m:t>R</m:t>
                        </m:r>
                        <m:r>
                          <m:rPr>
                            <m:sty m:val="p"/>
                          </m:rPr>
                          <m:t>e</m:t>
                        </m:r>
                        <m:r>
                          <m:rPr>
                            <m:sty m:val="p"/>
                          </m:rPr>
                          <m:t>v</m:t>
                        </m:r>
                        <m:r>
                          <m:rPr>
                            <m:sty m:val="p"/>
                          </m:rPr>
                          <m:t>e</m:t>
                        </m:r>
                        <m:r>
                          <m:rPr>
                            <m:sty m:val="p"/>
                          </m:rPr>
                          <m:t>n</m:t>
                        </m:r>
                        <m:r>
                          <m:rPr>
                            <m:sty m:val="p"/>
                          </m:rPr>
                          <m:t>u</m:t>
                        </m:r>
                        <m:r>
                          <m:rPr>
                            <m:sty m:val="p"/>
                          </m:rPr>
                          <m:t>e</m:t>
                        </m:r>
                      </m:e>
                      <m:sub>
                        <m:r>
                          <m:t>i</m:t>
                        </m:r>
                      </m:sub>
                    </m:sSub>
                  </m:den>
                </m:f>
                <m:r>
                  <m:t> </m:t>
                </m:r>
                <m:r>
                  <m:rPr>
                    <m:sty m:val="p"/>
                  </m:rPr>
                  <m:t>≥</m:t>
                </m:r>
                <m:r>
                  <m:t> </m:t>
                </m:r>
                <m:r>
                  <m:t>0.10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本業の利益÷売上高。10％以上を、堀(価格支配力)のある水準とする。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よって、営業利益率10％以上の企業を「価格支配力＝堀を持つ」と評価する。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関門3　財務は健全か ― 自己資本比率</w:t>
      </w:r>
    </w:p>
    <w:p>
      <w:pPr>
        <w:spacing w:after="40" w:line="281" w:lineRule="auto"/>
        <w:jc w:val="both"/>
        <w:ind w:firstLineChars="100" w:firstLine="210"/>
      </w:pPr>
      <w:r>
        <w:rPr>
          <w:rFonts w:ascii="Times New Roman" w:hAnsi="Times New Roman" w:eastAsia="ＭＳ 明朝"/>
          <w:b w:val="0"/>
          <w:color w:val="000000"/>
          <w:sz w:val="21"/>
        </w:rPr>
        <w:t>負債に頼らず高いＲＯＥを出せることが、真の実力である。借入で見かけのＲＯＥを膨らませた会社は、不況で脆い。QMJの「安全」の考え方に沿い、自己資本比率で財務の健全さを測る(Asness et al., 2019)。</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式（3）自己資本比率 ― 財務の安全(Asness,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q</m:t>
                    </m:r>
                    <m:r>
                      <m:rPr>
                        <m:sty m:val="p"/>
                      </m:rPr>
                      <m:t>R</m:t>
                    </m:r>
                  </m:e>
                  <m:sub>
                    <m:r>
                      <m:t>i</m:t>
                    </m:r>
                  </m:sub>
                </m:sSub>
                <m:r>
                  <m:rPr>
                    <m:sty m:val="p"/>
                  </m:rPr>
                  <m:t>=</m:t>
                </m:r>
                <m:f>
                  <m:fPr>
                    <m:type m:val="bar"/>
                  </m:fPr>
                  <m:num>
                    <m:sSub>
                      <m:e>
                        <m:r>
                          <m:rPr>
                            <m:sty m:val="p"/>
                          </m:rPr>
                          <m:t>E</m:t>
                        </m:r>
                        <m:r>
                          <m:rPr>
                            <m:sty m:val="p"/>
                          </m:rPr>
                          <m:t>q</m:t>
                        </m:r>
                        <m:r>
                          <m:rPr>
                            <m:sty m:val="p"/>
                          </m:rPr>
                          <m:t>u</m:t>
                        </m:r>
                        <m:r>
                          <m:rPr>
                            <m:sty m:val="p"/>
                          </m:rPr>
                          <m:t>i</m:t>
                        </m:r>
                        <m:r>
                          <m:rPr>
                            <m:sty m:val="p"/>
                          </m:rPr>
                          <m:t>t</m:t>
                        </m:r>
                        <m:r>
                          <m:rPr>
                            <m:sty m:val="p"/>
                          </m:rPr>
                          <m:t>y</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r>
                  <m:t> </m:t>
                </m:r>
                <m:r>
                  <m:rPr>
                    <m:sty m:val="p"/>
                  </m:rPr>
                  <m:t>≥</m:t>
                </m:r>
                <m:r>
                  <m:t> </m:t>
                </m:r>
                <m:r>
                  <m:t>0.50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自己資本÷総資産。50％以上を、負債に頼らない健全な財務とする。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よって、自己資本比率50％以上の企業を「財務が健全」と評価する。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関門4　利益は予測可能か ― 直近3期無赤字</w:t>
      </w:r>
    </w:p>
    <w:p>
      <w:pPr>
        <w:spacing w:after="40" w:line="281" w:lineRule="auto"/>
        <w:jc w:val="both"/>
        <w:ind w:firstLineChars="100" w:firstLine="210"/>
      </w:pPr>
      <w:r>
        <w:rPr>
          <w:rFonts w:ascii="Times New Roman" w:hAnsi="Times New Roman" w:eastAsia="ＭＳ 明朝"/>
          <w:b w:val="0"/>
          <w:color w:val="000000"/>
          <w:sz w:val="21"/>
        </w:rPr>
        <w:t>堀のある企業は、不況でも赤字に沈みにくい。逆に、直近数年に赤字を出す会社は利益が読みにくく、長期保有の前提が崩れる。直近3期に営業・純・営業キャッシュフローのいずれも赤字がないことを、予測可能性の条件と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式（4）無赤字 ― 予測可能性(Asness,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L</m:t>
                    </m:r>
                    <m:r>
                      <m:rPr>
                        <m:sty m:val="p"/>
                      </m:rPr>
                      <m:t>o</m:t>
                    </m:r>
                    <m:r>
                      <m:rPr>
                        <m:sty m:val="p"/>
                      </m:rPr>
                      <m:t>s</m:t>
                    </m:r>
                    <m:r>
                      <m:rPr>
                        <m:sty m:val="p"/>
                      </m:rPr>
                      <m:t>s</m:t>
                    </m:r>
                    <m:r>
                      <m:rPr>
                        <m:sty m:val="p"/>
                      </m:rPr>
                      <m:t>Y</m:t>
                    </m:r>
                    <m:r>
                      <m:rPr>
                        <m:sty m:val="p"/>
                      </m:rPr>
                      <m:t>e</m:t>
                    </m:r>
                    <m:r>
                      <m:rPr>
                        <m:sty m:val="p"/>
                      </m:rPr>
                      <m:t>a</m:t>
                    </m:r>
                    <m:r>
                      <m:rPr>
                        <m:sty m:val="p"/>
                      </m:rPr>
                      <m:t>r</m:t>
                    </m:r>
                    <m:r>
                      <m:rPr>
                        <m:sty m:val="p"/>
                      </m:rPr>
                      <m:t>s</m:t>
                    </m:r>
                  </m:e>
                  <m:sub>
                    <m:r>
                      <m:t>i</m:t>
                    </m:r>
                  </m:sub>
                  <m:sup>
                    <m:r>
                      <m:t>3</m:t>
                    </m:r>
                    <m:r>
                      <m:rPr>
                        <m:sty m:val="p"/>
                      </m:rPr>
                      <m:t>y</m:t>
                    </m:r>
                    <m:r>
                      <m:rPr>
                        <m:sty m:val="p"/>
                      </m:rPr>
                      <m:t>r</m:t>
                    </m:r>
                  </m:sup>
                </m:sSubSup>
                <m:r>
                  <m:rPr>
                    <m:sty m:val="p"/>
                  </m:rPr>
                  <m:t>=</m:t>
                </m:r>
                <m:r>
                  <m:t>0</m:t>
                </m:r>
                <m:r>
                  <m:t> </m:t>
                </m:r>
                <m:r>
                  <m:rPr>
                    <m:sty m:val="p"/>
                  </m:rPr>
                  <m:t>(</m:t>
                </m:r>
                <m:r>
                  <m:rPr>
                    <m:nor/>
                    <m:sty m:val="p"/>
                  </m:rPr>
                  <m:t>operating, net, operating-CF</m:t>
                </m:r>
                <m:r>
                  <m:rPr>
                    <m:sty m:val="p"/>
                  </m:rPr>
                  <m:t>)</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直近3期の営業損失・純損失・営業CF赤字の年数がいずれもゼロの企業だけを通す。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よって、直近3期に一度も赤字のない企業を「利益が予測可能」と評価する。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関門5　利益に現金の裏づけがあるか ― 営業ＣＦ</w:t>
      </w:r>
    </w:p>
    <w:p>
      <w:pPr>
        <w:spacing w:after="40" w:line="281" w:lineRule="auto"/>
        <w:jc w:val="both"/>
        <w:ind w:firstLineChars="100" w:firstLine="210"/>
      </w:pPr>
      <w:r>
        <w:rPr>
          <w:rFonts w:ascii="Times New Roman" w:hAnsi="Times New Roman" w:eastAsia="ＭＳ 明朝"/>
          <w:b w:val="0"/>
          <w:color w:val="000000"/>
          <w:sz w:val="21"/>
        </w:rPr>
        <w:t>会計上の利益は見積りや会計方針で膨らませる余地がある。本業で実際に現金を生んでいるか(営業キャッシュフローがプラスか)を、利益の質の条件とする。帳簿利益と現金の乖離が大きい会社は後で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式（5）営業キャッシュフロー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C</m:t>
                    </m:r>
                    <m:r>
                      <m:rPr>
                        <m:sty m:val="p"/>
                      </m:rPr>
                      <m:t>F</m:t>
                    </m:r>
                    <m:r>
                      <m:rPr>
                        <m:sty m:val="p"/>
                      </m:rPr>
                      <m:t>O</m:t>
                    </m:r>
                  </m:e>
                  <m:sub>
                    <m:r>
                      <m:t>i</m:t>
                    </m:r>
                  </m:sub>
                </m:sSub>
                <m:r>
                  <m:t> </m:t>
                </m:r>
                <m:r>
                  <m:rPr>
                    <m:sty m:val="p"/>
                  </m:rPr>
                  <m:t>&gt;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ＣＦＯ＝営業キャッシュフロー(本業の現金収入)。プラスの企業だけを通す。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よって、本業で現金を生んでいる企業を「利益が本物」と評価する。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関門6　事業は伸びているか ― 増収かつ増益</w:t>
      </w:r>
    </w:p>
    <w:p>
      <w:pPr>
        <w:spacing w:after="40" w:line="281" w:lineRule="auto"/>
        <w:jc w:val="both"/>
        <w:ind w:firstLineChars="100" w:firstLine="210"/>
      </w:pPr>
      <w:r>
        <w:rPr>
          <w:rFonts w:ascii="Times New Roman" w:hAnsi="Times New Roman" w:eastAsia="ＭＳ 明朝"/>
          <w:b w:val="0"/>
          <w:color w:val="000000"/>
          <w:sz w:val="21"/>
        </w:rPr>
        <w:t>堀は成長とともに広がり、縮む事業では狭まる。減収・減益の会社は、堀が痩せている可能性がある。前期比で売上と営業利益がともに減っていないこと(増収かつ増益)を、非縮小の条件とする(QMJ の成長性)。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式（6）増収かつ増益 ― 非縮小(Asness,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g</m:t>
                    </m:r>
                  </m:e>
                  <m:sub>
                    <m:r>
                      <m:t>i</m:t>
                    </m:r>
                  </m:sub>
                  <m:sup>
                    <m:r>
                      <m:rPr>
                        <m:sty m:val="p"/>
                      </m:rPr>
                      <m:t>R</m:t>
                    </m:r>
                    <m:r>
                      <m:rPr>
                        <m:sty m:val="p"/>
                      </m:rPr>
                      <m:t>e</m:t>
                    </m:r>
                    <m:r>
                      <m:rPr>
                        <m:sty m:val="p"/>
                      </m:rPr>
                      <m:t>v</m:t>
                    </m:r>
                  </m:sup>
                </m:sSubSup>
                <m:r>
                  <m:t> </m:t>
                </m:r>
                <m:r>
                  <m:rPr>
                    <m:sty m:val="p"/>
                  </m:rPr>
                  <m:t>≥</m:t>
                </m:r>
                <m:r>
                  <m:t> </m:t>
                </m:r>
                <m:r>
                  <m:t>0</m:t>
                </m:r>
                <m:r>
                  <m:t> </m:t>
                </m:r>
                <m:r>
                  <m:rPr>
                    <m:sty m:val="p"/>
                  </m:rPr>
                  <m:t>∧</m:t>
                </m:r>
                <m:r>
                  <m:t> </m:t>
                </m:r>
                <m:sSubSup>
                  <m:e>
                    <m:r>
                      <m:t>g</m:t>
                    </m:r>
                  </m:e>
                  <m:sub>
                    <m:r>
                      <m:t>i</m:t>
                    </m:r>
                  </m:sub>
                  <m:sup>
                    <m:r>
                      <m:rPr>
                        <m:sty m:val="p"/>
                      </m:rPr>
                      <m:t>O</m:t>
                    </m:r>
                    <m:r>
                      <m:rPr>
                        <m:sty m:val="p"/>
                      </m:rPr>
                      <m:t>I</m:t>
                    </m:r>
                  </m:sup>
                </m:sSubSup>
                <m:r>
                  <m:t> </m:t>
                </m:r>
                <m:r>
                  <m:rPr>
                    <m:sty m:val="p"/>
                  </m:rPr>
                  <m: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ｇ＝前期比の伸び率。売上(Rev)と営業利益(OI)がともに前期を下回らない企業を通す。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よって、増収かつ増益の企業を「事業が縮小していない」と評価する。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売買が少ない株は、買うだけで値段が動いてしまい、計画どおりの投資ができない。流動性が価格に影響することはAmihud (2002)が実証しており、その非流動性指標も日々の売買代金を基礎とする。私たちは同じ基礎量を、実務で標準的な「一定額以上の売買代金があるか」という関門の形で用いた。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売買のしやすさ(Amihud, 2002)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式が実際にどう働くかを、通過企業の一社・レーザーテック(6920)で追ってみる。半導体マスク検査で世界的地位をもつ、完成した堀の典型例である。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品質関門</w:t>
            </w:r>
          </w:p>
        </w:tc>
        <w:tc>
          <w:tcPr>
            <w:tcW w:type="dxa" w:w="2494"/>
            <w:shd w:val="clear" w:color="auto" w:fill="16324F"/>
          </w:tcPr>
          <w:p>
            <w:pPr>
              <w:spacing w:after="0"/>
              <w:ind w:firstLine="0" w:firstLineChars="0"/>
            </w:pPr>
            <w:r>
              <w:rPr>
                <w:rFonts w:ascii="Arial" w:hAnsi="Arial" w:eastAsia="ＭＳ ゴシック"/>
                <w:b/>
                <w:color w:val="FFFFFF"/>
                <w:sz w:val="20"/>
              </w:rPr>
              <w:t>レーザーテックの値</w:t>
            </w:r>
          </w:p>
        </w:tc>
        <w:tc>
          <w:tcPr>
            <w:tcW w:type="dxa" w:w="2268"/>
            <w:shd w:val="clear" w:color="auto" w:fill="16324F"/>
          </w:tcPr>
          <w:p>
            <w:pPr>
              <w:spacing w:after="0"/>
              <w:ind w:firstLine="0" w:firstLineChars="0"/>
            </w:pPr>
            <w:r>
              <w:rPr>
                <w:rFonts w:ascii="Arial" w:hAnsi="Arial" w:eastAsia="ＭＳ ゴシック"/>
                <w:b/>
                <w:color w:val="FFFFFF"/>
                <w:sz w:val="20"/>
              </w:rPr>
              <w:t>判定の目安</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高収益 ＲＯＥ(式1)</w:t>
            </w:r>
          </w:p>
        </w:tc>
        <w:tc>
          <w:tcPr>
            <w:tcW w:type="dxa" w:w="2494"/>
          </w:tcPr>
          <w:p>
            <w:pPr>
              <w:spacing w:after="0"/>
              <w:ind w:firstLine="0" w:firstLineChars="0"/>
              <w:jc w:val="left"/>
            </w:pPr>
            <w:r>
              <w:rPr>
                <w:rFonts w:ascii="Times New Roman" w:hAnsi="Times New Roman" w:eastAsia="ＭＳ 明朝"/>
                <w:b w:val="0"/>
                <w:color w:val="000000"/>
                <w:sz w:val="20"/>
              </w:rPr>
              <w:t>40%</w:t>
            </w:r>
          </w:p>
        </w:tc>
        <w:tc>
          <w:tcPr>
            <w:tcW w:type="dxa" w:w="2268"/>
          </w:tcPr>
          <w:p>
            <w:pPr>
              <w:spacing w:after="0"/>
              <w:ind w:firstLine="0" w:firstLineChars="0"/>
              <w:jc w:val="left"/>
            </w:pPr>
            <w:r>
              <w:rPr>
                <w:rFonts w:ascii="Times New Roman" w:hAnsi="Times New Roman" w:eastAsia="ＭＳ 明朝"/>
                <w:b w:val="0"/>
                <w:color w:val="000000"/>
                <w:sz w:val="20"/>
              </w:rPr>
              <w:t>15％以上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営業利益率(式2)</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49%</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10％以上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財務健全 自己資本比率(式3)</w:t>
            </w:r>
          </w:p>
        </w:tc>
        <w:tc>
          <w:tcPr>
            <w:tcW w:type="dxa" w:w="2494"/>
          </w:tcPr>
          <w:p>
            <w:pPr>
              <w:spacing w:after="0"/>
              <w:ind w:firstLine="0" w:firstLineChars="0"/>
              <w:jc w:val="left"/>
            </w:pPr>
            <w:r>
              <w:rPr>
                <w:rFonts w:ascii="Times New Roman" w:hAnsi="Times New Roman" w:eastAsia="ＭＳ 明朝"/>
                <w:b w:val="0"/>
                <w:color w:val="000000"/>
                <w:sz w:val="20"/>
              </w:rPr>
              <w:t>64%</w:t>
            </w:r>
          </w:p>
        </w:tc>
        <w:tc>
          <w:tcPr>
            <w:tcW w:type="dxa" w:w="2268"/>
          </w:tcPr>
          <w:p>
            <w:pPr>
              <w:spacing w:after="0"/>
              <w:ind w:firstLine="0" w:firstLineChars="0"/>
              <w:jc w:val="left"/>
            </w:pPr>
            <w:r>
              <w:rPr>
                <w:rFonts w:ascii="Times New Roman" w:hAnsi="Times New Roman" w:eastAsia="ＭＳ 明朝"/>
                <w:b w:val="0"/>
                <w:color w:val="000000"/>
                <w:sz w:val="20"/>
              </w:rPr>
              <w:t>50％以上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直近3期無赤字(式4)</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営業・純・営業CFとも赤字なし</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3期連続で赤字ゼロ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現金創出 営業ＣＦ(式5)</w:t>
            </w:r>
          </w:p>
        </w:tc>
        <w:tc>
          <w:tcPr>
            <w:tcW w:type="dxa" w:w="2494"/>
          </w:tcPr>
          <w:p>
            <w:pPr>
              <w:spacing w:after="0"/>
              <w:ind w:firstLine="0" w:firstLineChars="0"/>
              <w:jc w:val="left"/>
            </w:pPr>
            <w:r>
              <w:rPr>
                <w:rFonts w:ascii="Times New Roman" w:hAnsi="Times New Roman" w:eastAsia="ＭＳ 明朝"/>
                <w:b w:val="0"/>
                <w:color w:val="000000"/>
                <w:sz w:val="20"/>
              </w:rPr>
              <w:t>本業の現金収入プラス</w:t>
            </w:r>
          </w:p>
        </w:tc>
        <w:tc>
          <w:tcPr>
            <w:tcW w:type="dxa" w:w="2268"/>
          </w:tcPr>
          <w:p>
            <w:pPr>
              <w:spacing w:after="0"/>
              <w:ind w:firstLine="0" w:firstLineChars="0"/>
              <w:jc w:val="left"/>
            </w:pPr>
            <w:r>
              <w:rPr>
                <w:rFonts w:ascii="Times New Roman" w:hAnsi="Times New Roman" w:eastAsia="ＭＳ 明朝"/>
                <w:b w:val="0"/>
                <w:color w:val="000000"/>
                <w:sz w:val="20"/>
              </w:rPr>
              <w:t>営業ＣＦ＞0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非縮小 増収増益(式6)</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増収＋28%・増益＋40%</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ともに0％以上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実際に買えるか 売買代金(式7)</w:t>
            </w:r>
          </w:p>
        </w:tc>
        <w:tc>
          <w:tcPr>
            <w:tcW w:type="dxa" w:w="2494"/>
          </w:tcPr>
          <w:p>
            <w:pPr>
              <w:spacing w:after="0"/>
              <w:ind w:firstLine="0" w:firstLineChars="0"/>
              <w:jc w:val="left"/>
            </w:pPr>
            <w:r>
              <w:rPr>
                <w:rFonts w:ascii="Times New Roman" w:hAnsi="Times New Roman" w:eastAsia="ＭＳ 明朝"/>
                <w:b w:val="0"/>
                <w:color w:val="000000"/>
                <w:sz w:val="20"/>
              </w:rPr>
              <w:t>1日平均 1700.7億円</w:t>
            </w:r>
          </w:p>
        </w:tc>
        <w:tc>
          <w:tcPr>
            <w:tcW w:type="dxa" w:w="2268"/>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図表Ⅱ-2　通し数値例：レーザーテック(6920)の品質関門。出所：選定の正典データ(data_real_v7)より筆者作成。</w:t>
      </w:r>
    </w:p>
    <w:p>
      <w:pPr>
        <w:spacing w:after="80" w:line="281" w:lineRule="auto"/>
        <w:jc w:val="both"/>
        <w:ind w:firstLineChars="100" w:firstLine="210"/>
      </w:pPr>
      <w:r>
        <w:rPr>
          <w:rFonts w:ascii="Times New Roman" w:hAnsi="Times New Roman" w:eastAsia="ＭＳ 明朝"/>
          <w:b w:val="0"/>
          <w:color w:val="000000"/>
          <w:sz w:val="21"/>
        </w:rPr>
        <w:t>守の品質関門を通過した166社は、破の出発点であり、後の比較の基準線でもある。この中から、価格ランクが可能な20社を、割安×優良の複合順位(収益力ＲＯＥと益回りの順位和＝Greenblattの考え方)で並べ、同一業種は原則2社までとして上位5社を固定した。選ばれたのは、3092 株式会社ＺＯＺＯ(小売業)、4716 日本オラクル株式会社(情報・通信業)、7014 株式会社名村造船所(Transportation Equipment)、8136 株式会社サンリオ(卸売業)、6920 レーザーテック株式会社(電気機器)の5社である。以降、この5社は一度も入れ替えない。</w:t>
      </w:r>
    </w:p>
    <w:p>
      <w:pPr>
        <w:keepNext/>
        <w:spacing w:before="100" w:after="40" w:line="298" w:lineRule="auto"/>
        <w:ind w:firstLine="0" w:firstLineChars="0"/>
      </w:pPr>
      <w:r>
        <w:rPr>
          <w:rFonts w:ascii="Arial" w:hAnsi="Arial" w:eastAsia="ＭＳ ゴシック"/>
          <w:b/>
          <w:color w:val="16324F"/>
          <w:sz w:val="21"/>
        </w:rPr>
        <w:t>図表Ⅱ-3　守の絞り込み ― 適格1,819社から完成した堀Top5へ</w:t>
      </w:r>
    </w:p>
    <w:p>
      <w:pPr>
        <w:jc w:val="center"/>
        <w:keepNext/>
        <w:ind w:firstLine="0" w:firstLineChars="0"/>
      </w:pPr>
      <w:r>
        <w:drawing>
          <wp:inline xmlns:a="http://schemas.openxmlformats.org/drawingml/2006/main" xmlns:pic="http://schemas.openxmlformats.org/drawingml/2006/picture">
            <wp:extent cx="5328000" cy="3171429"/>
            <wp:docPr id="3" name="Picture 3"/>
            <wp:cNvGraphicFramePr>
              <a:graphicFrameLocks noChangeAspect="1"/>
            </wp:cNvGraphicFramePr>
            <a:graphic>
              <a:graphicData uri="http://schemas.openxmlformats.org/drawingml/2006/picture">
                <pic:pic>
                  <pic:nvPicPr>
                    <pic:cNvPr id="0" name="fig2_shu_v7.png"/>
                    <pic:cNvPicPr/>
                  </pic:nvPicPr>
                  <pic:blipFill>
                    <a:blip r:embed="rId12"/>
                    <a:stretch>
                      <a:fillRect/>
                    </a:stretch>
                  </pic:blipFill>
                  <pic:spPr>
                    <a:xfrm>
                      <a:off x="0" y="0"/>
                      <a:ext cx="5328000" cy="3171429"/>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注：棒の幅と色の濃さが残った会社の数を表す(新バフェット品質ゲートの累積)。出所：funnel_exclusion_v7.json。</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第２スクリーニング　</w:t>
      </w:r>
      <w:r>
        <w:rPr>
          <w:rFonts w:ascii="Arial" w:hAnsi="Arial" w:eastAsia="ＭＳ ゴシック"/>
          <w:b/>
          <w:color w:val="16324F"/>
          <w:sz w:val="23"/>
        </w:rPr>
        <w:t xml:space="preserve">　破 ― 型を破り、割安×変革の会社(変わる堀)を選ぶ</w:t>
      </w:r>
    </w:p>
    <w:p>
      <w:pPr>
        <w:spacing w:after="80" w:line="281" w:lineRule="auto"/>
        <w:jc w:val="both"/>
        <w:ind w:firstLineChars="100" w:firstLine="210"/>
      </w:pPr>
      <w:r>
        <w:rPr>
          <w:rFonts w:ascii="Times New Roman" w:hAnsi="Times New Roman" w:eastAsia="ＭＳ 明朝"/>
          <w:b w:val="0"/>
          <w:color w:val="000000"/>
          <w:sz w:val="21"/>
        </w:rPr>
        <w:t>前節の守では、新バフェットの品質基準で完成した堀の5社(基準線)を決めた。本節の破では、その品質一辺倒の型を一度『破り』、いまは割安に放置されているが、東証の資本効率改革や脱炭素の流れでこれから評価が変わる会社(変わる堀)を探す。守の高い品質関門だけでは、割安×変革の候補が抜け落ちてしまうからだ。ここで候補を評価するために、指標を公平に比べる順位化(式8)と、変革の度合いを束ねる合成点(式9)を用意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手順1　単位の違う7指標を、どう公平に比べるか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守で使った7指標(割安2つ・収益力・6項目・利益の質・危険よけ・売買のしやすさ)は単位がばらばらで、そのままでは足し合わせられない。そこで各指標を「市場の中で下から何番目か」という順位の割合(0〜1)に置き換える。これは資産価格研究がＢ／Ｍなどの指標で銘柄を上位30％・中位40％・下位30％のように順位で区切って比べる慣行(Fama and French, 1993 ほか)を、区切りではなく連続的な順位点として使うものである。守の各関門(上位30％・上位50％・中央値以上)も同じ順位の物差しの上にあり、破は新しい物差しを持ち込んでいない。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よって、7指標すべてを0〜1の順位点に変換して比べる。式の定義は一切変えない。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重みつき合成点(変革の論理で設計)</w:t>
      </w:r>
    </w:p>
    <w:p>
      <w:pPr>
        <w:spacing w:after="40" w:line="281" w:lineRule="auto"/>
        <w:jc w:val="both"/>
        <w:ind w:firstLineChars="100" w:firstLine="210"/>
      </w:pPr>
      <w:r>
        <w:rPr>
          <w:rFonts w:ascii="Times New Roman" w:hAnsi="Times New Roman" w:eastAsia="ＭＳ 明朝"/>
          <w:b w:val="0"/>
          <w:color w:val="000000"/>
          <w:sz w:val="21"/>
        </w:rPr>
        <w:t>各順位点に重みを付けて足し合わせ、危険な兆候(データ欠け・極端に小さい会社など)には減点を与える。複数のシグナルを一つの合成点に束ねる形は、9項目の合計点で勝ち組と負け組を分けたPiotroski (2000)のＦスコアと同型であり、私たちはその「合計」を「重みつき合計−減点」に一般化した(式9)。重みは過去リターンへの当てはめでは決めない――どの重みなら過去の成績が良かったか、という決め方は後出しの罠だからである。『安さ』より『改善の実行』を重くする、という変革の論理から概念的に設計し、決めた後に順位の安定性を監査した(重みの全ベクトルと監査は技術補遺§C)。</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ｗ＝指標ｋの重み(変革の論理で設計し、全設定を記録)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spacing w:after="80" w:line="281" w:lineRule="auto"/>
        <w:jc w:val="both"/>
        <w:ind w:firstLineChars="100" w:firstLine="210"/>
      </w:pPr>
      <w:r>
        <w:rPr>
          <w:rFonts w:ascii="Times New Roman" w:hAnsi="Times New Roman" w:eastAsia="ＭＳ 明朝"/>
          <w:b w:val="0"/>
          <w:color w:val="000000"/>
          <w:sz w:val="21"/>
        </w:rPr>
        <w:t>重みについて、一つ正直に書き残す。重みは過去リターンへの当てはめでは決めていない――どの重みなら過去の成績が良かったか、という決め方は後出しの罠だからである。『安さ』より『改善の実行』を重くする、という変革の論理から概念的に設計し、決めた後に各重みを±20％動かしても選ばれる顔ぶれが変わらないことを監査した(全重みと監査結果は技術補遺§C)。重みの大きさを予測力と読んではいけ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頑健さの監査</w:t>
      </w:r>
    </w:p>
    <w:p>
      <w:pPr>
        <w:spacing w:after="40" w:line="281" w:lineRule="auto"/>
        <w:jc w:val="both"/>
        <w:ind w:firstLineChars="100" w:firstLine="210"/>
      </w:pPr>
      <w:r>
        <w:rPr>
          <w:rFonts w:ascii="Times New Roman" w:hAnsi="Times New Roman" w:eastAsia="ＭＳ 明朝"/>
          <w:b w:val="0"/>
          <w:color w:val="000000"/>
          <w:sz w:val="21"/>
        </w:rPr>
        <w:t>順位化のやり方は一つではない。市場全体での順位・業種の中での順位・外れ値に強い標準化など複数のやり方で変わる堀の順位を付け直し、選ばれる顔ぶれが入れ替わらないかを確かめた。付け方に敏感な会社には確認フラグを付け、離の個別確認へ引き継いだ(詳細は技術補遺§C・§E)。</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587"/>
            <w:shd w:val="clear" w:color="auto" w:fill="16324F"/>
          </w:tcPr>
          <w:p>
            <w:pPr>
              <w:spacing w:after="0"/>
              <w:ind w:firstLine="0" w:firstLineChars="0"/>
            </w:pPr>
            <w:r>
              <w:rPr>
                <w:rFonts w:ascii="Arial" w:hAnsi="Arial" w:eastAsia="ＭＳ ゴシック"/>
                <w:b/>
                <w:color w:val="FFFFFF"/>
                <w:sz w:val="20"/>
              </w:rPr>
              <w:t>破の観点</w:t>
            </w:r>
          </w:p>
        </w:tc>
        <w:tc>
          <w:tcPr>
            <w:tcW w:type="dxa" w:w="4989"/>
            <w:shd w:val="clear" w:color="auto" w:fill="16324F"/>
          </w:tcPr>
          <w:p>
            <w:pPr>
              <w:spacing w:after="0"/>
              <w:ind w:firstLine="0" w:firstLineChars="0"/>
            </w:pPr>
            <w:r>
              <w:rPr>
                <w:rFonts w:ascii="Arial" w:hAnsi="Arial" w:eastAsia="ＭＳ ゴシック"/>
                <w:b/>
                <w:color w:val="FFFFFF"/>
                <w:sz w:val="20"/>
              </w:rPr>
              <w:t>内容</w:t>
            </w:r>
          </w:p>
        </w:tc>
        <w:tc>
          <w:tcPr>
            <w:tcW w:type="dxa" w:w="3061"/>
            <w:shd w:val="clear" w:color="auto" w:fill="16324F"/>
          </w:tcPr>
          <w:p>
            <w:pPr>
              <w:spacing w:after="0"/>
              <w:ind w:firstLine="0" w:firstLineChars="0"/>
            </w:pPr>
            <w:r>
              <w:rPr>
                <w:rFonts w:ascii="Arial" w:hAnsi="Arial" w:eastAsia="ＭＳ ゴシック"/>
                <w:b/>
                <w:color w:val="FFFFFF"/>
                <w:sz w:val="20"/>
              </w:rPr>
              <w:t>結果</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順位化(式8)</w:t>
            </w:r>
          </w:p>
        </w:tc>
        <w:tc>
          <w:tcPr>
            <w:tcW w:type="dxa" w:w="4989"/>
          </w:tcPr>
          <w:p>
            <w:pPr>
              <w:spacing w:after="0"/>
              <w:ind w:firstLine="0" w:firstLineChars="0"/>
              <w:jc w:val="left"/>
            </w:pPr>
            <w:r>
              <w:rPr>
                <w:rFonts w:ascii="Times New Roman" w:hAnsi="Times New Roman" w:eastAsia="ＭＳ 明朝"/>
                <w:b w:val="0"/>
                <w:color w:val="000000"/>
                <w:sz w:val="20"/>
              </w:rPr>
              <w:t>各シグナルを市場の中の順位(0〜1)に置き換える。式の定義は変えない</w:t>
            </w:r>
          </w:p>
        </w:tc>
        <w:tc>
          <w:tcPr>
            <w:tcW w:type="dxa" w:w="3061"/>
          </w:tcPr>
          <w:p>
            <w:pPr>
              <w:spacing w:after="0"/>
              <w:ind w:firstLine="0" w:firstLineChars="0"/>
              <w:jc w:val="left"/>
            </w:pPr>
            <w:r>
              <w:rPr>
                <w:rFonts w:ascii="Times New Roman" w:hAnsi="Times New Roman" w:eastAsia="ＭＳ 明朝"/>
                <w:b w:val="0"/>
                <w:color w:val="000000"/>
                <w:sz w:val="20"/>
              </w:rPr>
              <w:t>単位の違う指標を公平に比較</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合成点(式9)</w:t>
            </w:r>
          </w:p>
        </w:tc>
        <w:tc>
          <w:tcPr>
            <w:tcW w:type="dxa" w:w="4989"/>
            <w:shd w:val="clear" w:color="auto" w:fill="F2F6F4"/>
          </w:tcPr>
          <w:p>
            <w:pPr>
              <w:spacing w:after="0"/>
              <w:ind w:firstLine="0" w:firstLineChars="0"/>
              <w:jc w:val="left"/>
            </w:pPr>
            <w:r>
              <w:rPr>
                <w:rFonts w:ascii="Times New Roman" w:hAnsi="Times New Roman" w:eastAsia="ＭＳ 明朝"/>
                <w:b w:val="0"/>
                <w:color w:val="000000"/>
                <w:sz w:val="20"/>
              </w:rPr>
              <w:t>変革の論理で重みを設計(過去成績では決めない)。採用後に±20％動かす検査</w:t>
            </w:r>
          </w:p>
        </w:tc>
        <w:tc>
          <w:tcPr>
            <w:tcW w:type="dxa" w:w="3061"/>
            <w:shd w:val="clear" w:color="auto" w:fill="F2F6F4"/>
          </w:tcPr>
          <w:p>
            <w:pPr>
              <w:spacing w:after="0"/>
              <w:ind w:firstLine="0" w:firstLineChars="0"/>
              <w:jc w:val="left"/>
            </w:pPr>
            <w:r>
              <w:rPr>
                <w:rFonts w:ascii="Times New Roman" w:hAnsi="Times New Roman" w:eastAsia="ＭＳ 明朝"/>
                <w:b w:val="0"/>
                <w:color w:val="000000"/>
                <w:sz w:val="20"/>
              </w:rPr>
              <w:t>順位は動かしても頑健</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頑健さの監査</w:t>
            </w:r>
          </w:p>
        </w:tc>
        <w:tc>
          <w:tcPr>
            <w:tcW w:type="dxa" w:w="4989"/>
          </w:tcPr>
          <w:p>
            <w:pPr>
              <w:spacing w:after="0"/>
              <w:ind w:firstLine="0" w:firstLineChars="0"/>
              <w:jc w:val="left"/>
            </w:pPr>
            <w:r>
              <w:rPr>
                <w:rFonts w:ascii="Times New Roman" w:hAnsi="Times New Roman" w:eastAsia="ＭＳ 明朝"/>
                <w:b w:val="0"/>
                <w:color w:val="000000"/>
                <w:sz w:val="20"/>
              </w:rPr>
              <w:t>順位の付け方を複数変えて顔ぶれの安定を確認</w:t>
            </w:r>
          </w:p>
        </w:tc>
        <w:tc>
          <w:tcPr>
            <w:tcW w:type="dxa" w:w="3061"/>
          </w:tcPr>
          <w:p>
            <w:pPr>
              <w:spacing w:after="0"/>
              <w:ind w:firstLine="0" w:firstLineChars="0"/>
              <w:jc w:val="left"/>
            </w:pPr>
            <w:r>
              <w:rPr>
                <w:rFonts w:ascii="Times New Roman" w:hAnsi="Times New Roman" w:eastAsia="ＭＳ 明朝"/>
                <w:b w:val="0"/>
                <w:color w:val="000000"/>
                <w:sz w:val="20"/>
              </w:rPr>
              <w:t>敏感な社は確認フラグ→離へ</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選定</w:t>
            </w:r>
          </w:p>
        </w:tc>
        <w:tc>
          <w:tcPr>
            <w:tcW w:type="dxa" w:w="4989"/>
            <w:shd w:val="clear" w:color="auto" w:fill="F2F6F4"/>
          </w:tcPr>
          <w:p>
            <w:pPr>
              <w:spacing w:after="0"/>
              <w:ind w:firstLine="0" w:firstLineChars="0"/>
              <w:jc w:val="left"/>
            </w:pPr>
            <w:r>
              <w:rPr>
                <w:rFonts w:ascii="Times New Roman" w:hAnsi="Times New Roman" w:eastAsia="ＭＳ 明朝"/>
                <w:b w:val="0"/>
                <w:color w:val="000000"/>
                <w:sz w:val="20"/>
              </w:rPr>
              <w:t>Transformation Moat(変革の堀)分類・黒字・流動性・同一業種2社まで</w:t>
            </w:r>
          </w:p>
        </w:tc>
        <w:tc>
          <w:tcPr>
            <w:tcW w:type="dxa" w:w="3061"/>
            <w:shd w:val="clear" w:color="auto" w:fill="F2F6F4"/>
          </w:tcPr>
          <w:p>
            <w:pPr>
              <w:spacing w:after="0"/>
              <w:ind w:firstLine="0" w:firstLineChars="0"/>
              <w:jc w:val="left"/>
            </w:pPr>
            <w:r>
              <w:rPr>
                <w:rFonts w:ascii="Times New Roman" w:hAnsi="Times New Roman" w:eastAsia="ＭＳ 明朝"/>
                <w:b w:val="0"/>
                <w:color w:val="000000"/>
                <w:sz w:val="20"/>
              </w:rPr>
              <w:t>変わる堀5社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破のやり方 ― 式は変えず、変革の度合いで割安×変革の会社を選ぶ。出所：選定の正典データ。</w:t>
      </w:r>
    </w:p>
    <w:p>
      <w:pPr>
        <w:spacing w:after="40" w:line="281" w:lineRule="auto"/>
        <w:jc w:val="both"/>
        <w:ind w:firstLineChars="100" w:firstLine="210"/>
      </w:pPr>
      <w:r>
        <w:rPr>
          <w:rFonts w:ascii="Times New Roman" w:hAnsi="Times New Roman" w:eastAsia="ＭＳ 明朝"/>
          <w:b w:val="0"/>
          <w:color w:val="000000"/>
          <w:sz w:val="21"/>
        </w:rPr>
        <w:t>破の限界も先に書く。時間を遡った完全な将来予測の検証(学習期間と検証期間の厳密な分割)は、使える年度数の制約で完了していない。したがってこの候補づくりに将来リターンを予測する力があるとは主張しない。割安×変革の候補を広く・壊れにくく作ること――それが破の役割である。</w:t>
      </w:r>
    </w:p>
    <w:p>
      <w:pPr>
        <w:keepNext/>
        <w:spacing w:before="100" w:after="40" w:line="298" w:lineRule="auto"/>
        <w:ind w:firstLine="0" w:firstLineChars="0"/>
      </w:pPr>
      <w:r>
        <w:rPr>
          <w:rFonts w:ascii="Arial" w:hAnsi="Arial" w:eastAsia="ＭＳ ゴシック"/>
          <w:b/>
          <w:color w:val="16324F"/>
          <w:sz w:val="21"/>
        </w:rPr>
        <w:t>図表Ⅱ-5　破 ― 変わる堀の合成点で割安×変革の会社を選ぶ</w:t>
      </w:r>
    </w:p>
    <w:p>
      <w:pPr>
        <w:jc w:val="center"/>
        <w:keepNext/>
        <w:ind w:firstLine="0" w:firstLineChars="0"/>
      </w:pPr>
      <w:r>
        <w:drawing>
          <wp:inline xmlns:a="http://schemas.openxmlformats.org/drawingml/2006/main" xmlns:pic="http://schemas.openxmlformats.org/drawingml/2006/picture">
            <wp:extent cx="5328000" cy="2131200"/>
            <wp:docPr id="4" name="Picture 4"/>
            <wp:cNvGraphicFramePr>
              <a:graphicFrameLocks noChangeAspect="1"/>
            </wp:cNvGraphicFramePr>
            <a:graphic>
              <a:graphicData uri="http://schemas.openxmlformats.org/drawingml/2006/picture">
                <pic:pic>
                  <pic:nvPicPr>
                    <pic:cNvPr id="0" name="fig2_ha_v7.png"/>
                    <pic:cNvPicPr/>
                  </pic:nvPicPr>
                  <pic:blipFill>
                    <a:blip r:embed="rId13"/>
                    <a:stretch>
                      <a:fillRect/>
                    </a:stretch>
                  </pic:blipFill>
                  <pic:spPr>
                    <a:xfrm>
                      <a:off x="0" y="0"/>
                      <a:ext cx="5328000" cy="21312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注：破の点数は候補選びの道具であり、最終選定の重みには使わない。筆者作成。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第３スクリーニング　</w:t>
      </w:r>
      <w:r>
        <w:rPr>
          <w:rFonts w:ascii="Arial" w:hAnsi="Arial" w:eastAsia="ＭＳ ゴシック"/>
          <w:b/>
          <w:color w:val="16324F"/>
          <w:sz w:val="23"/>
        </w:rPr>
        <w:t xml:space="preserve">　離 ― 生まれる堀を測り、証拠で束ねて最終20社を組む</w:t>
      </w:r>
    </w:p>
    <w:p>
      <w:pPr>
        <w:spacing w:after="80" w:line="281" w:lineRule="auto"/>
        <w:jc w:val="both"/>
        <w:ind w:firstLineChars="100" w:firstLine="210"/>
      </w:pPr>
      <w:r>
        <w:rPr>
          <w:rFonts w:ascii="Times New Roman" w:hAnsi="Times New Roman" w:eastAsia="ＭＳ 明朝"/>
          <w:b w:val="0"/>
          <w:color w:val="000000"/>
          <w:sz w:val="21"/>
        </w:rPr>
        <w:t>破と離では、私たち独自の物差し(式10〜式12)を導入する――変わる堀の点数(式10・破が使う)、生まれる堀の点数(式11・離が使う)、そして両者に共通の証拠の関所(式12)である。ただし新しい式をゼロから発明したのではなく、その導出は三つの原則に従う。第一に、部品は先行研究と守の式の再利用――測る量そのものは、割安(式1・式2)・利益の質(式5)・無形資産の文献に既にあるものだけを使う。第二に、重みは成績で決めない――どの重みなら過去の成績が良かったか、という決め方は後出しの罠なので、重みは投資テーマの論理から概念的に設計し、決めた後に「重みを揺らしても順位が壊れないか」を監査する。第三に、点数と証拠の分離――点数(魅力の大きさ)は連続値で設計の裁量が入るが、証拠(裏づけの強さ)は開示資料まで遡って誰でも確認できる。この二つを混ぜず、証拠を式(12)の独立した関所にする。以下、変わる堀(式10)・生まれる堀(式11)・証拠(式12)の順に「なぜこの形か」を説明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式(10)の導出 ― 破の「変わる堀の点数」を要素に分ける</w:t>
      </w:r>
    </w:p>
    <w:p>
      <w:pPr>
        <w:spacing w:after="40" w:line="281" w:lineRule="auto"/>
        <w:jc w:val="both"/>
        <w:ind w:firstLineChars="100" w:firstLine="210"/>
      </w:pPr>
      <w:r>
        <w:rPr>
          <w:rFonts w:ascii="Times New Roman" w:hAnsi="Times New Roman" w:eastAsia="ＭＳ 明朝"/>
          <w:b w:val="0"/>
          <w:color w:val="000000"/>
          <w:sz w:val="21"/>
        </w:rPr>
        <w:t>式(9)の合成点を、変わる堀に合わせて具体化したものが式(10)である(破の選定に使う独自の物差し)。変わる堀の定義『割安に放置されているが、資本効率改革の実行でこれから評価が変わる会社』を、四つの測れる要素に分ける――(a)割安ギャップＶ(いま割安か=式1・2の順位点)、(b)資本効率の改善Ｃ(ＲＯＥ・利益率が良くなっているか)、(c)株主還元の強化Ｒ(配当・自社株買いの実行)、(d)改革シグナルＫ(中期計画・ＰＢＲ改善策の開示)。これらを重みつきで束ね、『安いだけの会社』を弾く減点を差し引く(study の変革スコア=transformation score)。</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式（10）変わる堀の点数(破の選定に使用・私たちの設計)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K</m:t>
                    </m:r>
                  </m:sub>
                </m:sSub>
                <m:sSub>
                  <m:e>
                    <m:r>
                      <m:t>K</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Ｖ＝割安ギャップ(式1・2の順位点)　Ｃ＝資本効率の改善　Ｒ＝株主還元の強化　Ｋ＝改革シグナル(開示)　Ｐ＝割安のワナ減点。改善の実行(Ｃ・Ｒ・Ｋ)を割安(Ｖ)より重くする。</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過去リターンへの当てはめでは決めない(後出しの罠を避ける)。『安さ』より『改善の実行』を重くする、という変革の論理から概念的に設計し、決めた後に各重みを±20％動かしても選ばれる顔ぶれが変わらないことを監査した(全重みと監査結果は技術補遺§C)。減点は「安いだけの会社」の既知の型――利益に現金の裏づけがない・財務が危険・赤字が続く等――を列挙して点数から差し引く。</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よって、割安さに「変革の実行」が重なる会社ほど高得点とし、変わる堀の上位5社を選ぶ。安いだけの会社は減点で弾く。</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式(11)の導出 ― 生まれる堀は「堀の源泉」を未来方向へ対応づける</w:t>
      </w:r>
    </w:p>
    <w:p>
      <w:pPr>
        <w:spacing w:after="40" w:line="281" w:lineRule="auto"/>
        <w:jc w:val="both"/>
        <w:ind w:firstLineChars="100" w:firstLine="210"/>
      </w:pPr>
      <w:r>
        <w:rPr>
          <w:rFonts w:ascii="Times New Roman" w:hAnsi="Times New Roman" w:eastAsia="ＭＳ 明朝"/>
          <w:b w:val="0"/>
          <w:color w:val="000000"/>
          <w:sz w:val="21"/>
        </w:rPr>
        <w:t>第Ⅰ章でバフェットの堀を、ブランドや特許などの無形の強み・乗り換えの手間・利用者が増えるほど価値が増す仕組み・圧倒的なコスト優位、と分解した。生まれる堀は「これらがこれから形成される力」であり、会計数値に表れにくい。そこで、無形資産が企業価値の主役になったことを示す文献(Lev and Gu, 2016；Peters and Taylor, 2017)と、研究開発投資が株式リターンに結びつくことを示した実証(Chan, Lakonishok and Sougiannis, 2001)に沿って、堀の源泉を六つの測れる部品に対応づけた――無形資産Ｉ・技術力Ｎ・急所を握る度合いＢ(価格決定力)・ＡＩ基盤への実需接続Ａ・データ顧客基盤Ｄ・信頼と安全Ｔである。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Ｉ＝無形資産　Ｎ＝技術力　Ｂ＝急所を握る度合い(価格決定力)　Ａ＝ＡＩ基盤への実需接続　Ｄ＝データ・顧客基盤　Ｔ＝信頼・安全　w＝各重み(ＡＩ接続Ａを最重視)　加点Ｂ^Evi＝証拠水準{1,2,3}を{2,4,8}点に対応づけ　減点Ｐ^Hype＝キーワードの接点のみ。</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中心仮説「ＡＩ基盤への実需接続が新しい堀を生む」からＡ(ＡＩ接続)を最重視し、堀の古典的源泉(無形資産・急所を握る度合い)と技術力が続く――過去リターンでは決めない。加点は証拠水準が1段上がるごとに2点→4点→8点と倍にした(水準3=数字まで確認はそれだけ希少)。ただし study の future_moat スコアはキーワードで飽和し、炊飯器や照明の会社まで満点に並ぶことが分かったため、私たちは点数を鵜呑みにせず、事業セグメントの開示まで遡ってＡＩ・半導体の実需を確認できた会社だけを通した(キーワード頼みの排除)。全重みは技術補遺§Bに開示した。</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よって、ＡＩ基盤への実需接続を事業の開示で確認できる会社ほど高得点とし、生まれる堀の上位5社を選ぶ。キーワードの接点しかない会社は除外した。</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式(12)の導出 ― 点数と証拠を分ける関所</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なぜ点数と証拠を分けるのか。点数は設計の裁量が入る連続値だが、証拠は開示資料まで遡って誰でも確認できる段階値だからである。証拠は「キーワードの接点のみ(水準1)→製品・顧客・投資計画の具体性(水準2)→売上・受注・投資額の数字(水準3)」という検証可能性の階段で順序づけた。役割ごとの判定論理も定義から導いた: 両立型は「変わる」と「生まれる」の二つの物語が両方必要だから弱い方(min)で判定し、変わる堀は改革の経路が複数ありどれか一つ確認できれば足りるから強い方(max)で判定する。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技術補遺§B)。</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証拠内訳は、事業で実需を確認できた水準3が9社・水準2が11社である(守の完成した堀は品質基準で選び、証拠水準は破・離の判定に用いる)。</w:t>
      </w:r>
    </w:p>
    <w:p>
      <w:pPr>
        <w:spacing w:after="80" w:line="281" w:lineRule="auto"/>
        <w:jc w:val="both"/>
        <w:ind w:firstLineChars="100" w:firstLine="210"/>
      </w:pPr>
      <w:r>
        <w:rPr>
          <w:rFonts w:ascii="Times New Roman" w:hAnsi="Times New Roman" w:eastAsia="ＭＳ 明朝"/>
          <w:b w:val="0"/>
          <w:color w:val="000000"/>
          <w:sz w:val="21"/>
        </w:rPr>
        <w:t>当てはめ例: 両立型のキーエンス(6861)は「変わる証拠(高収益の持続)」と「新テーマの証拠(工場自動化・ＡＩの実需)」の弱い方(min)で判定する――どちらの裏づけも事業の開示で確認できて初めて、両立型として通す。</w:t>
      </w:r>
    </w:p>
    <w:p>
      <w:pPr>
        <w:spacing w:after="80" w:line="281" w:lineRule="auto"/>
        <w:jc w:val="both"/>
        <w:ind w:firstLineChars="100" w:firstLine="210"/>
      </w:pPr>
      <w:r>
        <w:rPr>
          <w:rFonts w:ascii="Times New Roman" w:hAnsi="Times New Roman" w:eastAsia="ＭＳ 明朝"/>
          <w:b w:val="0"/>
          <w:color w:val="000000"/>
          <w:sz w:val="21"/>
        </w:rPr>
        <w:t>守の完成した堀は、バフェットの品質基準を一つずつ課して選ぶ。適格1,819社から、各関門で落ちた会社は「どの基準を満たさなかったか」で理由が特定できる（下表）。落ちた理由をすべて残すことが、選んだ理由の裏づけになる。生まれる堀・両立型では、ＡＩ・半導体の接点をキーワードで数えず、事業セグメントの開示まで遡って実需を確認できた会社だけを通した（疑わしきは除外の保守設計）。</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守の品質関門（バフェット基準）</w:t>
            </w:r>
          </w:p>
        </w:tc>
        <w:tc>
          <w:tcPr>
            <w:tcW w:type="dxa" w:w="907"/>
            <w:shd w:val="clear" w:color="auto" w:fill="16324F"/>
          </w:tcPr>
          <w:p>
            <w:pPr>
              <w:spacing w:after="0"/>
              <w:ind w:firstLine="0" w:firstLineChars="0"/>
            </w:pPr>
            <w:r>
              <w:rPr>
                <w:rFonts w:ascii="Arial" w:hAnsi="Arial" w:eastAsia="ＭＳ ゴシック"/>
                <w:b/>
                <w:color w:val="FFFFFF"/>
                <w:sz w:val="20"/>
              </w:rPr>
              <w:t>通過社数</w:t>
            </w:r>
          </w:p>
        </w:tc>
        <w:tc>
          <w:tcPr>
            <w:tcW w:type="dxa" w:w="6236"/>
            <w:shd w:val="clear" w:color="auto" w:fill="16324F"/>
          </w:tcPr>
          <w:p>
            <w:pPr>
              <w:spacing w:after="0"/>
              <w:ind w:firstLine="0" w:firstLineChars="0"/>
            </w:pPr>
            <w:r>
              <w:rPr>
                <w:rFonts w:ascii="Arial" w:hAnsi="Arial" w:eastAsia="ＭＳ ゴシック"/>
                <w:b/>
                <w:color w:val="FFFFFF"/>
                <w:sz w:val="20"/>
              </w:rPr>
              <w:t>落ちる理由</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高収益 ＲＯＥ≥15%</w:t>
            </w:r>
          </w:p>
        </w:tc>
        <w:tc>
          <w:tcPr>
            <w:tcW w:type="dxa" w:w="907"/>
          </w:tcPr>
          <w:p>
            <w:pPr>
              <w:spacing w:after="0"/>
              <w:ind w:firstLine="0" w:firstLineChars="0"/>
              <w:jc w:val="left"/>
            </w:pPr>
            <w:r>
              <w:rPr>
                <w:rFonts w:ascii="Times New Roman" w:hAnsi="Times New Roman" w:eastAsia="ＭＳ 明朝"/>
                <w:b w:val="0"/>
                <w:color w:val="000000"/>
                <w:sz w:val="20"/>
              </w:rPr>
              <w:t>396社</w:t>
            </w:r>
          </w:p>
        </w:tc>
        <w:tc>
          <w:tcPr>
            <w:tcW w:type="dxa" w:w="6236"/>
          </w:tcPr>
          <w:p>
            <w:pPr>
              <w:spacing w:after="0"/>
              <w:ind w:firstLine="0" w:firstLineChars="0"/>
              <w:jc w:val="left"/>
            </w:pPr>
            <w:r>
              <w:rPr>
                <w:rFonts w:ascii="Times New Roman" w:hAnsi="Times New Roman" w:eastAsia="ＭＳ 明朝"/>
                <w:b w:val="0"/>
                <w:color w:val="000000"/>
                <w:sz w:val="20"/>
              </w:rPr>
              <w:t>資本を高い率で回せていない</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営業利益率≥10%</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287社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価格支配力＝堀の薄さ</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財務健全 自己資本比率≥50%</w:t>
            </w:r>
          </w:p>
        </w:tc>
        <w:tc>
          <w:tcPr>
            <w:tcW w:type="dxa" w:w="907"/>
          </w:tcPr>
          <w:p>
            <w:pPr>
              <w:spacing w:after="0"/>
              <w:ind w:firstLine="0" w:firstLineChars="0"/>
              <w:jc w:val="left"/>
            </w:pPr>
            <w:r>
              <w:rPr>
                <w:rFonts w:ascii="Times New Roman" w:hAnsi="Times New Roman" w:eastAsia="ＭＳ 明朝"/>
                <w:b w:val="0"/>
                <w:color w:val="000000"/>
                <w:sz w:val="20"/>
              </w:rPr>
              <w:t>211社</w:t>
            </w:r>
          </w:p>
        </w:tc>
        <w:tc>
          <w:tcPr>
            <w:tcW w:type="dxa" w:w="6236"/>
          </w:tcPr>
          <w:p>
            <w:pPr>
              <w:spacing w:after="0"/>
              <w:ind w:firstLine="0" w:firstLineChars="0"/>
              <w:jc w:val="left"/>
            </w:pPr>
            <w:r>
              <w:rPr>
                <w:rFonts w:ascii="Times New Roman" w:hAnsi="Times New Roman" w:eastAsia="ＭＳ 明朝"/>
                <w:b w:val="0"/>
                <w:color w:val="000000"/>
                <w:sz w:val="20"/>
              </w:rPr>
              <w:t>負債が重く長期保有に不向き</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186社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利益が不安定で読みにくい</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現金創出 営業ＣＦ&gt;0</w:t>
            </w:r>
          </w:p>
        </w:tc>
        <w:tc>
          <w:tcPr>
            <w:tcW w:type="dxa" w:w="907"/>
          </w:tcPr>
          <w:p>
            <w:pPr>
              <w:spacing w:after="0"/>
              <w:ind w:firstLine="0" w:firstLineChars="0"/>
              <w:jc w:val="left"/>
            </w:pPr>
            <w:r>
              <w:rPr>
                <w:rFonts w:ascii="Times New Roman" w:hAnsi="Times New Roman" w:eastAsia="ＭＳ 明朝"/>
                <w:b w:val="0"/>
                <w:color w:val="000000"/>
                <w:sz w:val="20"/>
              </w:rPr>
              <w:t>186社</w:t>
            </w:r>
          </w:p>
        </w:tc>
        <w:tc>
          <w:tcPr>
            <w:tcW w:type="dxa" w:w="6236"/>
          </w:tcPr>
          <w:p>
            <w:pPr>
              <w:spacing w:after="0"/>
              <w:ind w:firstLine="0" w:firstLineChars="0"/>
              <w:jc w:val="left"/>
            </w:pPr>
            <w:r>
              <w:rPr>
                <w:rFonts w:ascii="Times New Roman" w:hAnsi="Times New Roman" w:eastAsia="ＭＳ 明朝"/>
                <w:b w:val="0"/>
                <w:color w:val="000000"/>
                <w:sz w:val="20"/>
              </w:rPr>
              <w:t>利益に現金の裏づけがない</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非縮小 増収かつ増益</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166社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事業が縮小している</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図表Ⅱ-6　守の品質ファネル（新バフェット基準の累積絞り込み）。適格1,819社→品質通過166社→価格ランク可能20社→完成した堀Top5。出所：funnel_exclusion_v7.json（scores.csvから自動集計）。</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最終20社の構成 ― なぜ5・5・5・3・2なのか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バフェットが選ぶはずの5社は、本当に必要なのか」という問いには、二つで答える。第一に設計上の理由――この5社を持たなければ、「何を超えたのか」を測る比較相手(新バフェット)と同じ土俵に立てない。しかも三世代のうち、完成した堀だけが仮説ではなく現在の事実である。第二に頑健性――守の品質ゲートの判定の目安・順位・業種上限を8通りに動かしても、完成した堀5社は最小でも4社が一致し(ＺＯＺＯ・日本オラクル・名村造船・サンリオは全通りで不変)、恣意的な選定でないことが確かめられる(技術補遺§E)。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図表Ⅱ-7　離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5328000" cy="2886000"/>
            <wp:docPr id="5" name="Picture 5"/>
            <wp:cNvGraphicFramePr>
              <a:graphicFrameLocks noChangeAspect="1"/>
            </wp:cNvGraphicFramePr>
            <a:graphic>
              <a:graphicData uri="http://schemas.openxmlformats.org/drawingml/2006/picture">
                <pic:pic>
                  <pic:nvPicPr>
                    <pic:cNvPr id="0" name="fig2_ri_v7.png"/>
                    <pic:cNvPicPr/>
                  </pic:nvPicPr>
                  <pic:blipFill>
                    <a:blip r:embed="rId14"/>
                    <a:stretch>
                      <a:fillRect/>
                    </a:stretch>
                  </pic:blipFill>
                  <pic:spPr>
                    <a:xfrm>
                      <a:off x="0" y="0"/>
                      <a:ext cx="5328000" cy="2886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選定は壊れにくいか ― 条件③の検証(要約)</w:t>
      </w:r>
    </w:p>
    <w:p>
      <w:pPr>
        <w:spacing w:after="40" w:line="281" w:lineRule="auto"/>
        <w:jc w:val="both"/>
        <w:ind w:firstLineChars="100" w:firstLine="210"/>
      </w:pPr>
      <w:r>
        <w:rPr>
          <w:rFonts w:ascii="Times New Roman" w:hAnsi="Times New Roman" w:eastAsia="ＭＳ 明朝"/>
          <w:b w:val="0"/>
          <w:color w:val="000000"/>
          <w:sz w:val="21"/>
        </w:rPr>
        <w:t>「複雑なルールを後から調整して、結論ありきで20社を選んだのではないか」という疑いには、三通りの頑健性検査で答えた。第一に、守の品質ゲートの判定の目安・順位・業種上限を8通り動かしても、完成した堀5社は最小でも4社が一致し、核となる4社(ＺＯＺＯ・日本オラクル・名村造船・サンリオ)は全通りで不変だった。第二に、配分の重みを均等・役割予算・最小分散のどれにしても、新バフェット型を上回る結論は変わらない。第三に、利上げ相場からＡＩ相場まで四つの相場局面すべてで超過が一貫した(第Ⅲ章の多期間検証)。事前に宣言した判定の目安(条件を一つ変えても大半が一致)を満たし、条件③は達成である。全表は技術補遺§E。</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本章の要点: 守で完成した堀5社(条件①)、破・離で死角を補う15社(条件②)を選び、判定の目安・重み・相場の三通りの頑健性検査で壊れにくさ(条件③)を確かめた(全表は技術補遺§E)。</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どの銘柄が上がるかという予想は、一切使わない。予想を使えば、せっかく証拠で選んだ20社に、予想の当て推量が混ざってしまうからだ。配分は次の四段階で決めた。</w:t>
      </w:r>
    </w:p>
    <w:p>
      <w:pPr>
        <w:spacing w:before="0" w:after="40" w:line="293" w:lineRule="auto"/>
        <w:ind w:firstLine="0" w:firstLineChars="0"/>
      </w:pPr>
      <w:r>
        <w:rPr>
          <w:rFonts w:ascii="Arial" w:hAnsi="Arial" w:eastAsia="ＭＳ ゴシック"/>
          <w:b/>
          <w:color w:val="16324F"/>
          <w:sz w:val="20"/>
        </w:rPr>
        <w:t xml:space="preserve">・第一段階　</w:t>
      </w:r>
      <w:r>
        <w:rPr>
          <w:rFonts w:ascii="Times New Roman" w:hAnsi="Times New Roman" w:eastAsia="ＭＳ 明朝"/>
          <w:b w:val="0"/>
          <w:color w:val="000000"/>
          <w:sz w:val="20"/>
        </w:rPr>
        <w:t>20社を五つの役割に分ける(前章)。</w:t>
      </w:r>
    </w:p>
    <w:p>
      <w:pPr>
        <w:spacing w:before="0" w:after="40" w:line="293" w:lineRule="auto"/>
        <w:ind w:firstLine="0" w:firstLineChars="0"/>
      </w:pPr>
      <w:r>
        <w:rPr>
          <w:rFonts w:ascii="Arial" w:hAnsi="Arial" w:eastAsia="ＭＳ ゴシック"/>
          <w:b/>
          <w:color w:val="16324F"/>
          <w:sz w:val="20"/>
        </w:rPr>
        <w:t xml:space="preserve">・第二段階　</w:t>
      </w:r>
      <w:r>
        <w:rPr>
          <w:rFonts w:ascii="Times New Roman" w:hAnsi="Times New Roman" w:eastAsia="ＭＳ 明朝"/>
          <w:b w:val="0"/>
          <w:color w:val="000000"/>
          <w:sz w:val="20"/>
        </w:rPr>
        <w:t>役割ごとに予算を決める。完成・変化・新生の三世代に各28％、両立型10％、分散役6％。三世代へ同額を置くのは、どの未来にも賭けないという設計の続きである。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・第三段階　</w:t>
      </w:r>
      <w:r>
        <w:rPr>
          <w:rFonts w:ascii="Times New Roman" w:hAnsi="Times New Roman" w:eastAsia="ＭＳ 明朝"/>
          <w:b w:val="0"/>
          <w:color w:val="000000"/>
          <w:sz w:val="20"/>
        </w:rPr>
        <w:t>同じ役割の中では、値動きが穏やかで・売買しやすく・証拠が強く・データが信頼できる会社を厚くする(式13)。</w:t>
      </w:r>
    </w:p>
    <w:p>
      <w:pPr>
        <w:spacing w:before="0" w:after="40" w:line="293" w:lineRule="auto"/>
        <w:ind w:firstLine="0" w:firstLineChars="0"/>
      </w:pPr>
      <w:r>
        <w:rPr>
          <w:rFonts w:ascii="Arial" w:hAnsi="Arial" w:eastAsia="ＭＳ ゴシック"/>
          <w:b/>
          <w:color w:val="16324F"/>
          <w:sz w:val="20"/>
        </w:rPr>
        <w:t xml:space="preserve">・第四段階　</w:t>
      </w:r>
      <w:r>
        <w:rPr>
          <w:rFonts w:ascii="Times New Roman" w:hAnsi="Times New Roman" w:eastAsia="ＭＳ 明朝"/>
          <w:b w:val="0"/>
          <w:color w:val="000000"/>
          <w:sz w:val="20"/>
        </w:rPr>
        <w:t>1銘柄の比率に上限をかけ、1株から買える単元未満株(金額指定)で目標比率どおりに配分する(式14)。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選定済み20社への配り方(Markowitz, 1952)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Ｂ＝役割ごとの予算(28/28/28/10/6％)　ℓ＝売買のしやすさ　ｅ＝証拠の強さ　ｃ＝データの信頼度　σ＝1年の値動きの大きさ。上限を超えた分は同じ役割の中で配り直す。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よって、同じ役割の中では「値動きが穏やかで・売買しやすく・証拠が強い」会社ほど厚く持つ。</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式（14）単元未満株での配分(日本取引所グループ「単元株制度」)</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f>
                  <m:fPr>
                    <m:type m:val="bar"/>
                  </m:fPr>
                  <m:num>
                    <m:r>
                      <m:t>B</m:t>
                    </m:r>
                    <m:r>
                      <m:t> </m:t>
                    </m:r>
                    <m:sSub>
                      <m:e>
                        <m:r>
                          <m:t>ω</m:t>
                        </m:r>
                      </m:e>
                      <m:sub>
                        <m:r>
                          <m:t>i</m:t>
                        </m:r>
                      </m:sub>
                    </m:sSub>
                  </m:num>
                  <m:den>
                    <m:sSub>
                      <m:e>
                        <m:r>
                          <m:t>P</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ｑ＝購入株数(単元未満株=1株未満の端株も可)　Ｂ＝総予算500万円　ω＝目標比率(式13)　Ｐ＝株価。大型優良は株価が高く通常の売買単位(100株)では収まらないため、金額指定の単元未満株を前提とする。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よって、目標比率どおりに金額を割り当て、総予算500万円のうち4,999,996円(使用率100.0%)を投資に充てた。</w:t>
      </w:r>
    </w:p>
    <w:p>
      <w:pPr>
        <w:spacing w:after="80" w:line="281" w:lineRule="auto"/>
        <w:jc w:val="both"/>
        <w:ind w:firstLineChars="100" w:firstLine="210"/>
      </w:pPr>
      <w:r>
        <w:rPr>
          <w:rFonts w:ascii="Times New Roman" w:hAnsi="Times New Roman" w:eastAsia="ＭＳ 明朝"/>
          <w:b w:val="0"/>
          <w:color w:val="000000"/>
          <w:sz w:val="21"/>
        </w:rPr>
        <w:t>最終配分と20社の顔ぶれを、図表Ⅲ-1に一覧で示す（配分・事業概要・堀の偏差値を一表に集約）。役割の予算は守28／破28／離28／両立10／分散6％、最大の保有は株式会社ＺＯＺＯの5.60％。新バフェット型は株価の高い大型優良が中心で通常の売買単位(100株)では予算内に収まらないため、1株から買える単元未満株(金額指定)の利用を前提に、目標比率で総額500万円を配分した。堀の偏差値は全上場企業の中での位置を平均50で表した値で、現在の堀＝いまの競争優位、未来の堀＝これから生まれる競争優位の強さを示す。</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企業（コード・社名）</w:t>
            </w:r>
          </w:p>
        </w:tc>
        <w:tc>
          <w:tcPr>
            <w:tcW w:type="dxa" w:w="1020"/>
            <w:shd w:val="clear" w:color="auto" w:fill="16324F"/>
          </w:tcPr>
          <w:p>
            <w:pPr>
              <w:spacing w:after="0"/>
              <w:ind w:firstLine="0" w:firstLineChars="0"/>
            </w:pPr>
            <w:r>
              <w:rPr>
                <w:rFonts w:ascii="Arial" w:hAnsi="Arial" w:eastAsia="ＭＳ ゴシック"/>
                <w:b/>
                <w:color w:val="FFFFFF"/>
                <w:sz w:val="20"/>
              </w:rPr>
              <w:t>役割</w:t>
            </w:r>
          </w:p>
        </w:tc>
        <w:tc>
          <w:tcPr>
            <w:tcW w:type="dxa" w:w="1247"/>
            <w:shd w:val="clear" w:color="auto" w:fill="16324F"/>
          </w:tcPr>
          <w:p>
            <w:pPr>
              <w:spacing w:after="0"/>
              <w:ind w:firstLine="0" w:firstLineChars="0"/>
            </w:pPr>
            <w:r>
              <w:rPr>
                <w:rFonts w:ascii="Arial" w:hAnsi="Arial" w:eastAsia="ＭＳ ゴシック"/>
                <w:b/>
                <w:color w:val="FFFFFF"/>
                <w:sz w:val="20"/>
              </w:rPr>
              <w:t>比率／金額</w:t>
            </w:r>
          </w:p>
        </w:tc>
        <w:tc>
          <w:tcPr>
            <w:tcW w:type="dxa" w:w="4422"/>
            <w:shd w:val="clear" w:color="auto" w:fill="16324F"/>
          </w:tcPr>
          <w:p>
            <w:pPr>
              <w:spacing w:after="0"/>
              <w:ind w:firstLine="0" w:firstLineChars="0"/>
            </w:pPr>
            <w:r>
              <w:rPr>
                <w:rFonts w:ascii="Arial" w:hAnsi="Arial" w:eastAsia="ＭＳ ゴシック"/>
                <w:b/>
                <w:color w:val="FFFFFF"/>
                <w:sz w:val="20"/>
              </w:rPr>
              <w:t>事業概要（要ＩＲ確認）</w:t>
            </w:r>
          </w:p>
        </w:tc>
        <w:tc>
          <w:tcPr>
            <w:tcW w:type="dxa" w:w="907"/>
            <w:shd w:val="clear" w:color="auto" w:fill="16324F"/>
          </w:tcPr>
          <w:p>
            <w:pPr>
              <w:spacing w:after="0"/>
              <w:ind w:firstLine="0" w:firstLineChars="0"/>
            </w:pPr>
            <w:r>
              <w:rPr>
                <w:rFonts w:ascii="Arial" w:hAnsi="Arial" w:eastAsia="ＭＳ ゴシック"/>
                <w:b/>
                <w:color w:val="FFFFFF"/>
                <w:sz w:val="20"/>
              </w:rPr>
              <w:t>現在</w:t>
              <w:br/>
              <w:t>の堀</w:t>
            </w:r>
          </w:p>
        </w:tc>
        <w:tc>
          <w:tcPr>
            <w:tcW w:type="dxa" w:w="907"/>
            <w:shd w:val="clear" w:color="auto" w:fill="16324F"/>
          </w:tcPr>
          <w:p>
            <w:pPr>
              <w:spacing w:after="0"/>
              <w:ind w:firstLine="0" w:firstLineChars="0"/>
            </w:pPr>
            <w:r>
              <w:rPr>
                <w:rFonts w:ascii="Arial" w:hAnsi="Arial" w:eastAsia="ＭＳ ゴシック"/>
                <w:b/>
                <w:color w:val="FFFFFF"/>
                <w:sz w:val="20"/>
              </w:rPr>
              <w:t>未来</w:t>
              <w:br/>
              <w:t>の堀</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3092 株式会社ＺＯＺＯ</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国内最大級のファッションEC「ZOZOTOWN」を運営</w:t>
            </w:r>
          </w:p>
        </w:tc>
        <w:tc>
          <w:tcPr>
            <w:tcW w:type="dxa" w:w="907"/>
          </w:tcPr>
          <w:p>
            <w:pPr>
              <w:spacing w:after="0"/>
              <w:ind w:firstLine="0" w:firstLineChars="0"/>
              <w:jc w:val="left"/>
            </w:pPr>
            <w:r>
              <w:rPr>
                <w:rFonts w:ascii="Times New Roman" w:hAnsi="Times New Roman" w:eastAsia="ＭＳ 明朝"/>
                <w:b w:val="0"/>
                <w:color w:val="000000"/>
                <w:sz w:val="20"/>
              </w:rPr>
              <w:t>78</w:t>
            </w:r>
          </w:p>
        </w:tc>
        <w:tc>
          <w:tcPr>
            <w:tcW w:type="dxa" w:w="90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4716 日本オラクル株式会社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企業向けデータベース・クラウド（米Oracle日本法人）</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77</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53</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7014 株式会社名村造船所</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船舶建造（ばら積み船等）※循環業のため守での扱いは要検討</w:t>
            </w:r>
          </w:p>
        </w:tc>
        <w:tc>
          <w:tcPr>
            <w:tcW w:type="dxa" w:w="907"/>
          </w:tcPr>
          <w:p>
            <w:pPr>
              <w:spacing w:after="0"/>
              <w:ind w:firstLine="0" w:firstLineChars="0"/>
              <w:jc w:val="left"/>
            </w:pPr>
            <w:r>
              <w:rPr>
                <w:rFonts w:ascii="Times New Roman" w:hAnsi="Times New Roman" w:eastAsia="ＭＳ 明朝"/>
                <w:b w:val="0"/>
                <w:color w:val="000000"/>
                <w:sz w:val="20"/>
              </w:rPr>
              <w:t>45</w:t>
            </w:r>
          </w:p>
        </w:tc>
        <w:tc>
          <w:tcPr>
            <w:tcW w:type="dxa" w:w="907"/>
          </w:tcPr>
          <w:p>
            <w:pPr>
              <w:spacing w:after="0"/>
              <w:ind w:firstLine="0" w:firstLineChars="0"/>
              <w:jc w:val="left"/>
            </w:pPr>
            <w:r>
              <w:rPr>
                <w:rFonts w:ascii="Times New Roman" w:hAnsi="Times New Roman" w:eastAsia="ＭＳ 明朝"/>
                <w:b w:val="0"/>
                <w:color w:val="000000"/>
                <w:sz w:val="20"/>
              </w:rPr>
              <w:t>50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8136 株式会社サンリオ</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ハローキティ等のキャラクターIP・ライセンス事業</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67</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6920 レーザーテック株式会社</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半導体マスク欠陥検査装置（EUV向けで世界的地位）</w:t>
            </w:r>
          </w:p>
        </w:tc>
        <w:tc>
          <w:tcPr>
            <w:tcW w:type="dxa" w:w="907"/>
          </w:tcPr>
          <w:p>
            <w:pPr>
              <w:spacing w:after="0"/>
              <w:ind w:firstLine="0" w:firstLineChars="0"/>
              <w:jc w:val="left"/>
            </w:pPr>
            <w:r>
              <w:rPr>
                <w:rFonts w:ascii="Times New Roman" w:hAnsi="Times New Roman" w:eastAsia="ＭＳ 明朝"/>
                <w:b w:val="0"/>
                <w:color w:val="000000"/>
                <w:sz w:val="20"/>
              </w:rPr>
              <w:t>75</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9022 東海旅客鉄道株式会社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東海道新幹線を運営、リニア中央新幹線を建設中</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71</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9513 電源開発株式会社</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卸電力（水力・火力・再エネ）、脱炭素で変革</w:t>
            </w:r>
          </w:p>
        </w:tc>
        <w:tc>
          <w:tcPr>
            <w:tcW w:type="dxa" w:w="907"/>
          </w:tcPr>
          <w:p>
            <w:pPr>
              <w:spacing w:after="0"/>
              <w:ind w:firstLine="0" w:firstLineChars="0"/>
              <w:jc w:val="left"/>
            </w:pPr>
            <w:r>
              <w:rPr>
                <w:rFonts w:ascii="Times New Roman" w:hAnsi="Times New Roman" w:eastAsia="ＭＳ 明朝"/>
                <w:b w:val="0"/>
                <w:color w:val="000000"/>
                <w:sz w:val="20"/>
              </w:rPr>
              <w:t>52</w:t>
            </w:r>
          </w:p>
        </w:tc>
        <w:tc>
          <w:tcPr>
            <w:tcW w:type="dxa" w:w="90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9503 関西電力株式会社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電力事業（原発再稼働を推進）</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48</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1662 石油資源開発株式会社</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石油・天然ガスの探鉱開発（E&amp;P）、資源高・株主還元</w:t>
            </w:r>
          </w:p>
        </w:tc>
        <w:tc>
          <w:tcPr>
            <w:tcW w:type="dxa" w:w="907"/>
          </w:tcPr>
          <w:p>
            <w:pPr>
              <w:spacing w:after="0"/>
              <w:ind w:firstLine="0" w:firstLineChars="0"/>
              <w:jc w:val="left"/>
            </w:pPr>
            <w:r>
              <w:rPr>
                <w:rFonts w:ascii="Times New Roman" w:hAnsi="Times New Roman" w:eastAsia="ＭＳ 明朝"/>
                <w:b w:val="0"/>
                <w:color w:val="000000"/>
                <w:sz w:val="20"/>
              </w:rPr>
              <w:t>65</w:t>
            </w:r>
          </w:p>
        </w:tc>
        <w:tc>
          <w:tcPr>
            <w:tcW w:type="dxa" w:w="90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5214 日本電気硝子株式会社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特殊ガラス（ディスプレイ・医薬・繊維用）</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56</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49</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6777 ｓａｎｔｅｃ　Ｈｏｌｄｉｎｇｓ株式会社</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波長可変レーザ・光通信部品（AIデータセンター向け）</w:t>
            </w:r>
          </w:p>
        </w:tc>
        <w:tc>
          <w:tcPr>
            <w:tcW w:type="dxa" w:w="907"/>
          </w:tcPr>
          <w:p>
            <w:pPr>
              <w:spacing w:after="0"/>
              <w:ind w:firstLine="0" w:firstLineChars="0"/>
              <w:jc w:val="left"/>
            </w:pPr>
            <w:r>
              <w:rPr>
                <w:rFonts w:ascii="Times New Roman" w:hAnsi="Times New Roman" w:eastAsia="ＭＳ 明朝"/>
                <w:b w:val="0"/>
                <w:color w:val="000000"/>
                <w:sz w:val="20"/>
              </w:rPr>
              <w:t>60</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6871 株式会社日本マイクロニクス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半導体プローブカード（先端ウエハテスト用）</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6590 芝浦メカトロニクス株式会社</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半導体・FPD製造装置（洗浄・成膜・検査）</w:t>
            </w:r>
          </w:p>
        </w:tc>
        <w:tc>
          <w:tcPr>
            <w:tcW w:type="dxa" w:w="907"/>
          </w:tcPr>
          <w:p>
            <w:pPr>
              <w:spacing w:after="0"/>
              <w:ind w:firstLine="0" w:firstLineChars="0"/>
              <w:jc w:val="left"/>
            </w:pPr>
            <w:r>
              <w:rPr>
                <w:rFonts w:ascii="Times New Roman" w:hAnsi="Times New Roman" w:eastAsia="ＭＳ 明朝"/>
                <w:b w:val="0"/>
                <w:color w:val="000000"/>
                <w:sz w:val="20"/>
              </w:rPr>
              <w:t>43</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6387 サムコ　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化合物半導体（GaN/SiC）向け薄膜・エッチング装置</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66</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6627 株式会社テラプローブ</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半導体ウエハテスト受託（テストハウス）</w:t>
            </w:r>
          </w:p>
        </w:tc>
        <w:tc>
          <w:tcPr>
            <w:tcW w:type="dxa" w:w="907"/>
          </w:tcPr>
          <w:p>
            <w:pPr>
              <w:spacing w:after="0"/>
              <w:ind w:firstLine="0" w:firstLineChars="0"/>
              <w:jc w:val="left"/>
            </w:pPr>
            <w:r>
              <w:rPr>
                <w:rFonts w:ascii="Times New Roman" w:hAnsi="Times New Roman" w:eastAsia="ＭＳ 明朝"/>
                <w:b w:val="0"/>
                <w:color w:val="000000"/>
                <w:sz w:val="20"/>
              </w:rPr>
              <w:t>56</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6861 株式会社キーエンス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w:t>
              <w:br/>
              <w:t>166,666円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FA（工場自動化）センサ・測定器</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84</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7725 株式会社インターアクション</w:t>
            </w:r>
          </w:p>
        </w:tc>
        <w:tc>
          <w:tcPr>
            <w:tcW w:type="dxa" w:w="1020"/>
          </w:tcPr>
          <w:p>
            <w:pPr>
              <w:spacing w:after="0"/>
              <w:ind w:firstLine="0" w:firstLineChars="0"/>
              <w:jc w:val="left"/>
            </w:pPr>
            <w:r>
              <w:rPr>
                <w:rFonts w:ascii="Times New Roman" w:hAnsi="Times New Roman" w:eastAsia="ＭＳ 明朝"/>
                <w:b w:val="0"/>
                <w:color w:val="000000"/>
                <w:sz w:val="20"/>
              </w:rPr>
              <w:t>両立型</w:t>
            </w:r>
          </w:p>
        </w:tc>
        <w:tc>
          <w:tcPr>
            <w:tcW w:type="dxa" w:w="1247"/>
          </w:tcPr>
          <w:p>
            <w:pPr>
              <w:spacing w:after="0"/>
              <w:ind w:firstLine="0" w:firstLineChars="0"/>
              <w:jc w:val="left"/>
            </w:pPr>
            <w:r>
              <w:rPr>
                <w:rFonts w:ascii="Times New Roman" w:hAnsi="Times New Roman" w:eastAsia="ＭＳ 明朝"/>
                <w:b w:val="0"/>
                <w:color w:val="000000"/>
                <w:sz w:val="20"/>
              </w:rPr>
              <w:t>3.3％</w:t>
              <w:br/>
              <w:t>166,666円</w:t>
            </w:r>
          </w:p>
        </w:tc>
        <w:tc>
          <w:tcPr>
            <w:tcW w:type="dxa" w:w="4422"/>
          </w:tcPr>
          <w:p>
            <w:pPr>
              <w:spacing w:after="0"/>
              <w:ind w:firstLine="0" w:firstLineChars="0"/>
              <w:jc w:val="left"/>
            </w:pPr>
            <w:r>
              <w:rPr>
                <w:rFonts w:ascii="Times New Roman" w:hAnsi="Times New Roman" w:eastAsia="ＭＳ 明朝"/>
                <w:b w:val="0"/>
                <w:color w:val="000000"/>
                <w:sz w:val="20"/>
              </w:rPr>
              <w:t>半導体イメージセンサ検査用光源装置等</w:t>
            </w:r>
          </w:p>
        </w:tc>
        <w:tc>
          <w:tcPr>
            <w:tcW w:type="dxa" w:w="907"/>
          </w:tcPr>
          <w:p>
            <w:pPr>
              <w:spacing w:after="0"/>
              <w:ind w:firstLine="0" w:firstLineChars="0"/>
              <w:jc w:val="left"/>
            </w:pPr>
            <w:r>
              <w:rPr>
                <w:rFonts w:ascii="Times New Roman" w:hAnsi="Times New Roman" w:eastAsia="ＭＳ 明朝"/>
                <w:b w:val="0"/>
                <w:color w:val="000000"/>
                <w:sz w:val="20"/>
              </w:rPr>
              <w:t>75</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6929 日本セラミック株式会社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w:t>
              <w:br/>
              <w:t>166,666円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赤外線センサ等のセンサ</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3449 株式会社テクノフレックス</w:t>
            </w:r>
          </w:p>
        </w:tc>
        <w:tc>
          <w:tcPr>
            <w:tcW w:type="dxa" w:w="1020"/>
          </w:tcPr>
          <w:p>
            <w:pPr>
              <w:spacing w:after="0"/>
              <w:ind w:firstLine="0" w:firstLineChars="0"/>
              <w:jc w:val="left"/>
            </w:pPr>
            <w:r>
              <w:rPr>
                <w:rFonts w:ascii="Times New Roman" w:hAnsi="Times New Roman" w:eastAsia="ＭＳ 明朝"/>
                <w:b w:val="0"/>
                <w:color w:val="000000"/>
                <w:sz w:val="20"/>
              </w:rPr>
              <w:t>分散役</w:t>
            </w:r>
          </w:p>
        </w:tc>
        <w:tc>
          <w:tcPr>
            <w:tcW w:type="dxa" w:w="1247"/>
          </w:tcPr>
          <w:p>
            <w:pPr>
              <w:spacing w:after="0"/>
              <w:ind w:firstLine="0" w:firstLineChars="0"/>
              <w:jc w:val="left"/>
            </w:pPr>
            <w:r>
              <w:rPr>
                <w:rFonts w:ascii="Times New Roman" w:hAnsi="Times New Roman" w:eastAsia="ＭＳ 明朝"/>
                <w:b w:val="0"/>
                <w:color w:val="000000"/>
                <w:sz w:val="20"/>
              </w:rPr>
              <w:t>3.0％</w:t>
              <w:br/>
              <w:t>149,999円</w:t>
            </w:r>
          </w:p>
        </w:tc>
        <w:tc>
          <w:tcPr>
            <w:tcW w:type="dxa" w:w="4422"/>
          </w:tcPr>
          <w:p>
            <w:pPr>
              <w:spacing w:after="0"/>
              <w:ind w:firstLine="0" w:firstLineChars="0"/>
              <w:jc w:val="left"/>
            </w:pPr>
            <w:r>
              <w:rPr>
                <w:rFonts w:ascii="Times New Roman" w:hAnsi="Times New Roman" w:eastAsia="ＭＳ 明朝"/>
                <w:b w:val="0"/>
                <w:color w:val="000000"/>
                <w:sz w:val="20"/>
              </w:rPr>
              <w:t>金属フレキシブルチューブ・配管継手</w:t>
            </w:r>
          </w:p>
        </w:tc>
        <w:tc>
          <w:tcPr>
            <w:tcW w:type="dxa" w:w="907"/>
          </w:tcPr>
          <w:p>
            <w:pPr>
              <w:spacing w:after="0"/>
              <w:ind w:firstLine="0" w:firstLineChars="0"/>
              <w:jc w:val="left"/>
            </w:pPr>
            <w:r>
              <w:rPr>
                <w:rFonts w:ascii="Times New Roman" w:hAnsi="Times New Roman" w:eastAsia="ＭＳ 明朝"/>
                <w:b w:val="0"/>
                <w:color w:val="000000"/>
                <w:sz w:val="20"/>
              </w:rPr>
              <w:t>62</w:t>
            </w:r>
          </w:p>
        </w:tc>
        <w:tc>
          <w:tcPr>
            <w:tcW w:type="dxa" w:w="90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4971 メック株式会社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分散役</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3.0％</w:t>
              <w:br/>
              <w:t>149,999円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プリント基板・半導体向け薬品（表面処理）</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54</w:t>
            </w:r>
          </w:p>
        </w:tc>
      </w:tr>
    </w:tbl>
    <w:p>
      <w:pPr>
        <w:spacing w:before="0" w:after="60" w:line="298" w:lineRule="auto"/>
        <w:ind w:firstLine="0" w:firstLineChars="0"/>
      </w:pPr>
    </w:p>
    <w:p>
      <w:pPr>
        <w:spacing w:before="0" w:after="140" w:line="298" w:lineRule="auto"/>
        <w:ind w:firstLine="0" w:firstLineChars="0"/>
      </w:pPr>
      <w:r>
        <w:rPr>
          <w:rFonts w:ascii="Times New Roman" w:hAnsi="Times New Roman" w:eastAsia="ＭＳ 明朝"/>
          <w:b w:val="0"/>
          <w:color w:val="000000"/>
          <w:sz w:val="20"/>
        </w:rPr>
        <w:t>図表Ⅲ-1　最終ポートフォリオ20社（総予算500万円・単元未満株の目標配分）。事業概要は各社ＩＲ資料で確認して記載。堀の偏差値は全上場企業の中での位置(平均50)。出所：portfolio_v7.json・data_real_v7.json。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完成した堀 ― 守の式だけで選んだ基準線。この5社を上回れるかが「超える」の物差しになる。</w:t>
      </w:r>
    </w:p>
    <w:p>
      <w:pPr>
        <w:spacing w:after="80" w:line="281" w:lineRule="auto"/>
        <w:jc w:val="both"/>
        <w:ind w:firstLineChars="100" w:firstLine="210"/>
      </w:pPr>
      <w:r>
        <w:rPr>
          <w:rFonts w:ascii="Times New Roman" w:hAnsi="Times New Roman" w:eastAsia="ＭＳ 明朝"/>
          <w:b w:val="0"/>
          <w:color w:val="000000"/>
          <w:sz w:val="21"/>
        </w:rPr>
        <w:t>3092 株式会社ＺＯＺＯ／4716 日本オラクル株式会社／7014 株式会社名村造船所／8136 株式会社サンリオ／6920 レーザーテック株式会社。（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変わる堀 ― 割安×改善の証拠で選んだ、これから変わる会社。</w:t>
      </w:r>
    </w:p>
    <w:p>
      <w:pPr>
        <w:spacing w:after="80" w:line="281" w:lineRule="auto"/>
        <w:jc w:val="both"/>
        <w:ind w:firstLineChars="100" w:firstLine="210"/>
      </w:pPr>
      <w:r>
        <w:rPr>
          <w:rFonts w:ascii="Times New Roman" w:hAnsi="Times New Roman" w:eastAsia="ＭＳ 明朝"/>
          <w:b w:val="0"/>
          <w:color w:val="000000"/>
          <w:sz w:val="21"/>
        </w:rPr>
        <w:t>9022 東海旅客鉄道株式会社／9513 電源開発株式会社／9503 関西電力株式会社／1662 石油資源開発株式会社／5214 日本電気硝子株式会社。（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生まれる堀 ― ＡＩ基盤への実需接続を証拠で確かめた、新しい堀が生まれる会社。</w:t>
      </w:r>
    </w:p>
    <w:p>
      <w:pPr>
        <w:spacing w:after="80" w:line="281" w:lineRule="auto"/>
        <w:jc w:val="both"/>
        <w:ind w:firstLineChars="100" w:firstLine="210"/>
      </w:pPr>
      <w:r>
        <w:rPr>
          <w:rFonts w:ascii="Times New Roman" w:hAnsi="Times New Roman" w:eastAsia="ＭＳ 明朝"/>
          <w:b w:val="0"/>
          <w:color w:val="000000"/>
          <w:sz w:val="21"/>
        </w:rPr>
        <w:t>6777 ｓａｎｔｅｃ　Ｈｏｌｄｉｎｇｓ株式会社／6871 株式会社日本マイクロニクス／6590 芝浦メカトロニクス株式会社／6387 サムコ　株式会社／6627 株式会社テラプローブ。（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両立型 ― 変わる堀と生まれる堀、二つの点数がともに高い会社。</w:t>
      </w:r>
    </w:p>
    <w:p>
      <w:pPr>
        <w:spacing w:after="80" w:line="281" w:lineRule="auto"/>
        <w:jc w:val="both"/>
        <w:ind w:firstLineChars="100" w:firstLine="210"/>
      </w:pPr>
      <w:r>
        <w:rPr>
          <w:rFonts w:ascii="Times New Roman" w:hAnsi="Times New Roman" w:eastAsia="ＭＳ 明朝"/>
          <w:b w:val="0"/>
          <w:color w:val="000000"/>
          <w:sz w:val="21"/>
        </w:rPr>
        <w:t>6861 株式会社キーエンス／7725 株式会社インターアクション／6929 日本セラミック株式会社。（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分散役 ― 業種・テーマの偏りを整え、ポートフォリオ全体を安定させる会社。</w:t>
      </w:r>
    </w:p>
    <w:p>
      <w:pPr>
        <w:spacing w:after="80" w:line="281" w:lineRule="auto"/>
        <w:jc w:val="both"/>
        <w:ind w:firstLineChars="100" w:firstLine="210"/>
      </w:pPr>
      <w:r>
        <w:rPr>
          <w:rFonts w:ascii="Times New Roman" w:hAnsi="Times New Roman" w:eastAsia="ＭＳ 明朝"/>
          <w:b w:val="0"/>
          <w:color w:val="000000"/>
          <w:sz w:val="21"/>
        </w:rPr>
        <w:t>3449 株式会社テクノフレックス／4971 メック株式会社。（配分・事業概要・堀の偏差値は図表Ⅲ-1に集約。各社の証拠水準と役割別スコアの詳細は技術補遺§Bに、事業内容と堀の背景は各社ＩＲ資料で確認のうえ記載する＝創作はしない。）</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新バフェット型・市場と比べる</w:t>
      </w:r>
    </w:p>
    <w:p>
      <w:pPr>
        <w:spacing w:after="80" w:line="281" w:lineRule="auto"/>
        <w:jc w:val="both"/>
        <w:ind w:firstLineChars="100" w:firstLine="210"/>
      </w:pPr>
      <w:r>
        <w:rPr>
          <w:rFonts w:ascii="Times New Roman" w:hAnsi="Times New Roman" w:eastAsia="ＭＳ 明朝"/>
          <w:b w:val="0"/>
          <w:color w:val="000000"/>
          <w:sz w:val="21"/>
        </w:rPr>
        <w:t>前節までで20社と配分が決まった。本節では第Ⅰ章の条件④を検証する。比べる物差しは、分析の前に宣言しておく――①年率リターン ②ＴＯＰＩＸ超過 ③市場との連動度(β) ④最大の下落 ⑤市場超過の安定度(ＩＲ)の5つ、期間は「選定に使った3年」と「選定に使っていない直近1年」に分ける。正確には、この直近1年も選定の点数計算に使っていないという意味であり、配分の値動き係数(式13のσ)は同じ1年の変動を入力に使う――完全な時点外検証ではないと限定をつけて読む(技術補遺§G)。過去データで選ぶ条件はどのチームも同じであり、その分は割り引いて読む――この注意はここに一度だけ書く。</w:t>
      </w:r>
    </w:p>
    <w:p>
      <w:pPr>
        <w:spacing w:after="80" w:line="281" w:lineRule="auto"/>
        <w:jc w:val="both"/>
        <w:ind w:firstLineChars="100" w:firstLine="210"/>
      </w:pPr>
      <w:r>
        <w:rPr>
          <w:rFonts w:ascii="Times New Roman" w:hAnsi="Times New Roman" w:eastAsia="ＭＳ 明朝"/>
          <w:b w:val="0"/>
          <w:color w:val="000000"/>
          <w:sz w:val="21"/>
        </w:rPr>
        <w:t>比較相手は二つ置く。主対照は『新バフェット型』――同じ出発点から、バフェットの品質基準(高収益・堀・財務健全)だけで選んだ大型優良の上位12社(時価総額加重)である。参考として『純正グレアム型』――割安一辺倒(簿価割れ)の式だけで選んだ20社(等金額)も併記する。さらに市場平均としてＴＯＰＩＸ・日経平均を並べる。いずれも私たちが同じ規律で、後から入れ替えずに計算した。</w:t>
      </w:r>
    </w:p>
    <w:p>
      <w:pPr>
        <w:spacing w:after="80" w:line="281" w:lineRule="auto"/>
        <w:jc w:val="both"/>
        <w:ind w:firstLineChars="100" w:firstLine="210"/>
      </w:pPr>
      <w:r>
        <w:rPr>
          <w:rFonts w:ascii="Times New Roman" w:hAnsi="Times New Roman" w:eastAsia="ＭＳ 明朝"/>
          <w:b w:val="0"/>
          <w:color w:val="000000"/>
          <w:sz w:val="21"/>
        </w:rPr>
        <w:t>位置づけに先に限定をつける。新バフェット型もグレアム型も『式だけの機械選定』であり、バフェット本人の運用(少数集中・保険フロートによる調達・数十年保有)そのものではない。したがってこの比較は「バフェット本人に勝った」ことを意味せず、『同じ土俵で式だけを使った場合に対し、三世代の設計が何を足したか』を測る基準線として読む。そしてすべては2026年時点の選定を過去に当てた自己検証であり、将来の勝利の証明ではない。</w:t>
      </w:r>
    </w:p>
    <w:p>
      <w:pPr>
        <w:keepNext/>
        <w:spacing w:before="100" w:after="40" w:line="298" w:lineRule="auto"/>
        <w:ind w:firstLine="0" w:firstLineChars="0"/>
      </w:pPr>
      <w:r>
        <w:rPr>
          <w:rFonts w:ascii="Arial" w:hAnsi="Arial" w:eastAsia="ＭＳ ゴシック"/>
          <w:b/>
          <w:color w:val="16324F"/>
          <w:sz w:val="21"/>
        </w:rPr>
        <w:t>図表Ⅲ-7　累積リターンの比較(過去3年・期首=1)</w:t>
      </w:r>
    </w:p>
    <w:p>
      <w:pPr>
        <w:jc w:val="center"/>
        <w:keepNext/>
        <w:ind w:firstLine="0" w:firstLineChars="0"/>
      </w:pPr>
      <w:r>
        <w:drawing>
          <wp:inline xmlns:a="http://schemas.openxmlformats.org/drawingml/2006/main" xmlns:pic="http://schemas.openxmlformats.org/drawingml/2006/picture">
            <wp:extent cx="5328000" cy="3078400"/>
            <wp:docPr id="6" name="Picture 6"/>
            <wp:cNvGraphicFramePr>
              <a:graphicFrameLocks noChangeAspect="1"/>
            </wp:cNvGraphicFramePr>
            <a:graphic>
              <a:graphicData uri="http://schemas.openxmlformats.org/drawingml/2006/picture">
                <pic:pic>
                  <pic:nvPicPr>
                    <pic:cNvPr id="0" name="cum_v7.png"/>
                    <pic:cNvPicPr/>
                  </pic:nvPicPr>
                  <pic:blipFill>
                    <a:blip r:embed="rId15"/>
                    <a:stretch>
                      <a:fillRect/>
                    </a:stretch>
                  </pic:blipFill>
                  <pic:spPr>
                    <a:xfrm>
                      <a:off x="0" y="0"/>
                      <a:ext cx="5328000" cy="30784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本ＰＦ・新バフェット型・純正グレアム型・ＴＯＰＩＸ・日経平均。ＴＯＰＩＸ連動指数1306は未調整の株式分割(2026-03-30)を×10補正、指数系列の欠測を前営業日で補完。価格はyfinance調整後終値(配当込み。日経のみ価格指数)。すべて2026年時点選定の自己検証。出所：control_comparison_v7.json・価格正典データ。</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物差し</w:t>
            </w:r>
          </w:p>
        </w:tc>
        <w:tc>
          <w:tcPr>
            <w:tcW w:type="dxa" w:w="1701"/>
            <w:shd w:val="clear" w:color="auto" w:fill="16324F"/>
          </w:tcPr>
          <w:p>
            <w:pPr>
              <w:spacing w:after="0"/>
              <w:ind w:firstLine="0" w:firstLineChars="0"/>
            </w:pPr>
            <w:r>
              <w:rPr>
                <w:rFonts w:ascii="Arial" w:hAnsi="Arial" w:eastAsia="ＭＳ ゴシック"/>
                <w:b/>
                <w:color w:val="FFFFFF"/>
                <w:sz w:val="20"/>
              </w:rPr>
              <w:t>本ＰＦ(離)</w:t>
            </w:r>
          </w:p>
        </w:tc>
        <w:tc>
          <w:tcPr>
            <w:tcW w:type="dxa" w:w="2154"/>
            <w:shd w:val="clear" w:color="auto" w:fill="16324F"/>
          </w:tcPr>
          <w:p>
            <w:pPr>
              <w:spacing w:after="0"/>
              <w:ind w:firstLine="0" w:firstLineChars="0"/>
            </w:pPr>
            <w:r>
              <w:rPr>
                <w:rFonts w:ascii="Arial" w:hAnsi="Arial" w:eastAsia="ＭＳ ゴシック"/>
                <w:b/>
                <w:color w:val="FFFFFF"/>
                <w:sz w:val="20"/>
              </w:rPr>
              <w:t>新バフェット型(主対照)</w:t>
            </w:r>
          </w:p>
        </w:tc>
        <w:tc>
          <w:tcPr>
            <w:tcW w:type="dxa" w:w="1587"/>
            <w:shd w:val="clear" w:color="auto" w:fill="16324F"/>
          </w:tcPr>
          <w:p>
            <w:pPr>
              <w:spacing w:after="0"/>
              <w:ind w:firstLine="0" w:firstLineChars="0"/>
            </w:pPr>
            <w:r>
              <w:rPr>
                <w:rFonts w:ascii="Arial" w:hAnsi="Arial" w:eastAsia="ＭＳ ゴシック"/>
                <w:b/>
                <w:color w:val="FFFFFF"/>
                <w:sz w:val="20"/>
              </w:rPr>
              <w:t>ＴＯＰＩＸ</w:t>
            </w:r>
          </w:p>
        </w:tc>
        <w:tc>
          <w:tcPr>
            <w:tcW w:type="dxa" w:w="1587"/>
            <w:shd w:val="clear" w:color="auto" w:fill="16324F"/>
          </w:tcPr>
          <w:p>
            <w:pPr>
              <w:spacing w:after="0"/>
              <w:ind w:firstLine="0" w:firstLineChars="0"/>
            </w:pPr>
            <w:r>
              <w:rPr>
                <w:rFonts w:ascii="Arial" w:hAnsi="Arial" w:eastAsia="ＭＳ ゴシック"/>
                <w:b/>
                <w:color w:val="FFFFFF"/>
                <w:sz w:val="20"/>
              </w:rPr>
              <w:t>日経平均</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年率リターン(3年)</w:t>
            </w:r>
          </w:p>
        </w:tc>
        <w:tc>
          <w:tcPr>
            <w:tcW w:type="dxa" w:w="1701"/>
          </w:tcPr>
          <w:p>
            <w:pPr>
              <w:spacing w:after="0"/>
              <w:ind w:firstLine="0" w:firstLineChars="0"/>
              <w:jc w:val="left"/>
            </w:pPr>
            <w:r>
              <w:rPr>
                <w:rFonts w:ascii="Times New Roman" w:hAnsi="Times New Roman" w:eastAsia="ＭＳ 明朝"/>
                <w:b w:val="0"/>
                <w:color w:val="000000"/>
                <w:sz w:val="20"/>
              </w:rPr>
              <w:t>54.7%</w:t>
            </w:r>
          </w:p>
        </w:tc>
        <w:tc>
          <w:tcPr>
            <w:tcW w:type="dxa" w:w="2154"/>
          </w:tcPr>
          <w:p>
            <w:pPr>
              <w:spacing w:after="0"/>
              <w:ind w:firstLine="0" w:firstLineChars="0"/>
              <w:jc w:val="left"/>
            </w:pPr>
            <w:r>
              <w:rPr>
                <w:rFonts w:ascii="Times New Roman" w:hAnsi="Times New Roman" w:eastAsia="ＭＳ 明朝"/>
                <w:b w:val="0"/>
                <w:color w:val="000000"/>
                <w:sz w:val="20"/>
              </w:rPr>
              <w:t>42.6%</w:t>
            </w:r>
          </w:p>
        </w:tc>
        <w:tc>
          <w:tcPr>
            <w:tcW w:type="dxa" w:w="1587"/>
          </w:tcPr>
          <w:p>
            <w:pPr>
              <w:spacing w:after="0"/>
              <w:ind w:firstLine="0" w:firstLineChars="0"/>
              <w:jc w:val="left"/>
            </w:pPr>
            <w:r>
              <w:rPr>
                <w:rFonts w:ascii="Times New Roman" w:hAnsi="Times New Roman" w:eastAsia="ＭＳ 明朝"/>
                <w:b w:val="0"/>
                <w:color w:val="000000"/>
                <w:sz w:val="20"/>
              </w:rPr>
              <w:t>24.0%</w:t>
            </w:r>
          </w:p>
        </w:tc>
        <w:tc>
          <w:tcPr>
            <w:tcW w:type="dxa" w:w="1587"/>
          </w:tcPr>
          <w:p>
            <w:pPr>
              <w:spacing w:after="0"/>
              <w:ind w:firstLine="0" w:firstLineChars="0"/>
              <w:jc w:val="left"/>
            </w:pPr>
            <w:r>
              <w:rPr>
                <w:rFonts w:ascii="Times New Roman" w:hAnsi="Times New Roman" w:eastAsia="ＭＳ 明朝"/>
                <w:b w:val="0"/>
                <w:color w:val="000000"/>
                <w:sz w:val="20"/>
              </w:rPr>
              <w:t>32.8%</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ＴＯＰＩＸ超過(3年)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＋30.7pt</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18.6pt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市場との連動度β(3年)</w:t>
            </w:r>
          </w:p>
        </w:tc>
        <w:tc>
          <w:tcPr>
            <w:tcW w:type="dxa" w:w="1701"/>
          </w:tcPr>
          <w:p>
            <w:pPr>
              <w:spacing w:after="0"/>
              <w:ind w:firstLine="0" w:firstLineChars="0"/>
              <w:jc w:val="left"/>
            </w:pPr>
            <w:r>
              <w:rPr>
                <w:rFonts w:ascii="Times New Roman" w:hAnsi="Times New Roman" w:eastAsia="ＭＳ 明朝"/>
                <w:b w:val="0"/>
                <w:color w:val="000000"/>
                <w:sz w:val="20"/>
              </w:rPr>
              <w:t>1.074</w:t>
            </w:r>
          </w:p>
        </w:tc>
        <w:tc>
          <w:tcPr>
            <w:tcW w:type="dxa" w:w="2154"/>
          </w:tcPr>
          <w:p>
            <w:pPr>
              <w:spacing w:after="0"/>
              <w:ind w:firstLine="0" w:firstLineChars="0"/>
              <w:jc w:val="left"/>
            </w:pPr>
            <w:r>
              <w:rPr>
                <w:rFonts w:ascii="Times New Roman" w:hAnsi="Times New Roman" w:eastAsia="ＭＳ 明朝"/>
                <w:b w:val="0"/>
                <w:color w:val="000000"/>
                <w:sz w:val="20"/>
              </w:rPr>
              <w:t>1.183</w:t>
            </w:r>
          </w:p>
        </w:tc>
        <w:tc>
          <w:tcPr>
            <w:tcW w:type="dxa" w:w="1587"/>
          </w:tcPr>
          <w:p>
            <w:pPr>
              <w:spacing w:after="0"/>
              <w:ind w:firstLine="0" w:firstLineChars="0"/>
              <w:jc w:val="left"/>
            </w:pPr>
            <w:r>
              <w:rPr>
                <w:rFonts w:ascii="Times New Roman" w:hAnsi="Times New Roman" w:eastAsia="ＭＳ 明朝"/>
                <w:b w:val="0"/>
                <w:color w:val="000000"/>
                <w:sz w:val="20"/>
              </w:rPr>
              <w:t>1.000</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最大の下落(3年)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-30.1%</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-32.7%</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-23.3%</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超過の安定度ＩＲ(3年)</w:t>
            </w:r>
          </w:p>
        </w:tc>
        <w:tc>
          <w:tcPr>
            <w:tcW w:type="dxa" w:w="1701"/>
          </w:tcPr>
          <w:p>
            <w:pPr>
              <w:spacing w:after="0"/>
              <w:ind w:firstLine="0" w:firstLineChars="0"/>
              <w:jc w:val="left"/>
            </w:pPr>
            <w:r>
              <w:rPr>
                <w:rFonts w:ascii="Times New Roman" w:hAnsi="Times New Roman" w:eastAsia="ＭＳ 明朝"/>
                <w:b w:val="0"/>
                <w:color w:val="000000"/>
                <w:sz w:val="20"/>
              </w:rPr>
              <w:t>＋1.565</w:t>
            </w:r>
          </w:p>
        </w:tc>
        <w:tc>
          <w:tcPr>
            <w:tcW w:type="dxa" w:w="2154"/>
          </w:tcPr>
          <w:p>
            <w:pPr>
              <w:spacing w:after="0"/>
              <w:ind w:firstLine="0" w:firstLineChars="0"/>
              <w:jc w:val="left"/>
            </w:pPr>
            <w:r>
              <w:rPr>
                <w:rFonts w:ascii="Times New Roman" w:hAnsi="Times New Roman" w:eastAsia="ＭＳ 明朝"/>
                <w:b w:val="0"/>
                <w:color w:val="000000"/>
                <w:sz w:val="20"/>
              </w:rPr>
              <w:t>0.760</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年率リターン(直近1年)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124.0%</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61.0%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41.1%</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78.8%</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ＴＯＰＩＸ超過(直近1年)</w:t>
            </w:r>
          </w:p>
        </w:tc>
        <w:tc>
          <w:tcPr>
            <w:tcW w:type="dxa" w:w="1701"/>
          </w:tcPr>
          <w:p>
            <w:pPr>
              <w:spacing w:after="0"/>
              <w:ind w:firstLine="0" w:firstLineChars="0"/>
              <w:jc w:val="left"/>
            </w:pPr>
            <w:r>
              <w:rPr>
                <w:rFonts w:ascii="Times New Roman" w:hAnsi="Times New Roman" w:eastAsia="ＭＳ 明朝"/>
                <w:b w:val="0"/>
                <w:color w:val="000000"/>
                <w:sz w:val="20"/>
              </w:rPr>
              <w:t>83.0pt</w:t>
            </w:r>
          </w:p>
        </w:tc>
        <w:tc>
          <w:tcPr>
            <w:tcW w:type="dxa" w:w="2154"/>
          </w:tcPr>
          <w:p>
            <w:pPr>
              <w:spacing w:after="0"/>
              <w:ind w:firstLine="0" w:firstLineChars="0"/>
              <w:jc w:val="left"/>
            </w:pPr>
            <w:r>
              <w:rPr>
                <w:rFonts w:ascii="Times New Roman" w:hAnsi="Times New Roman" w:eastAsia="ＭＳ 明朝"/>
                <w:b w:val="0"/>
                <w:color w:val="000000"/>
                <w:sz w:val="20"/>
              </w:rPr>
              <w:t>20.0pt</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市場との連動度β(直近1年)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1.051</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1.136</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1.000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最大の下落(直近1年)</w:t>
            </w:r>
          </w:p>
        </w:tc>
        <w:tc>
          <w:tcPr>
            <w:tcW w:type="dxa" w:w="1701"/>
          </w:tcPr>
          <w:p>
            <w:pPr>
              <w:spacing w:after="0"/>
              <w:ind w:firstLine="0" w:firstLineChars="0"/>
              <w:jc w:val="left"/>
            </w:pPr>
            <w:r>
              <w:rPr>
                <w:rFonts w:ascii="Times New Roman" w:hAnsi="Times New Roman" w:eastAsia="ＭＳ 明朝"/>
                <w:b w:val="0"/>
                <w:color w:val="000000"/>
                <w:sz w:val="20"/>
              </w:rPr>
              <w:t>-9.7%</w:t>
            </w:r>
          </w:p>
        </w:tc>
        <w:tc>
          <w:tcPr>
            <w:tcW w:type="dxa" w:w="2154"/>
          </w:tcPr>
          <w:p>
            <w:pPr>
              <w:spacing w:after="0"/>
              <w:ind w:firstLine="0" w:firstLineChars="0"/>
              <w:jc w:val="left"/>
            </w:pPr>
            <w:r>
              <w:rPr>
                <w:rFonts w:ascii="Times New Roman" w:hAnsi="Times New Roman" w:eastAsia="ＭＳ 明朝"/>
                <w:b w:val="0"/>
                <w:color w:val="000000"/>
                <w:sz w:val="20"/>
              </w:rPr>
              <w:t>-13.3%</w:t>
            </w:r>
          </w:p>
        </w:tc>
        <w:tc>
          <w:tcPr>
            <w:tcW w:type="dxa" w:w="1587"/>
          </w:tcPr>
          <w:p>
            <w:pPr>
              <w:spacing w:after="0"/>
              <w:ind w:firstLine="0" w:firstLineChars="0"/>
              <w:jc w:val="left"/>
            </w:pPr>
            <w:r>
              <w:rPr>
                <w:rFonts w:ascii="Times New Roman" w:hAnsi="Times New Roman" w:eastAsia="ＭＳ 明朝"/>
                <w:b w:val="0"/>
                <w:color w:val="000000"/>
                <w:sz w:val="20"/>
              </w:rPr>
              <w:t>-11.4%</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超過の安定度ＩＲ(直近1年)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2.920</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0.564</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図表Ⅲ-8　対照群・参照ベンチマークとの比較(5つの物差し×2期間)。日経平均は値がさハイテク株の比重が高くＡＩ相場で大きく伸びやすい参照値(配当抜き)。出所：control_comparison_v5.json(phase5と同一の計算規約、指数系列の欠測は補完済み)。</w:t>
      </w:r>
    </w:p>
    <w:p>
      <w:pPr>
        <w:spacing w:after="80" w:line="281" w:lineRule="auto"/>
        <w:jc w:val="both"/>
        <w:ind w:firstLineChars="100" w:firstLine="210"/>
      </w:pPr>
      <w:r>
        <w:rPr>
          <w:rFonts w:ascii="Times New Roman" w:hAnsi="Times New Roman" w:eastAsia="ＭＳ 明朝"/>
          <w:b w:val="0"/>
          <w:color w:val="000000"/>
          <w:sz w:val="21"/>
        </w:rPr>
        <w:t>読み取りは三つ。第一に、本ポートフォリオは主対照の新バフェット型を、選定に使った3年間で年12.1ポイント、直近1年でも年63.0ポイント上回り、割安一辺倒のグレアム型には3年で年41.4ポイント上回った。ただし正直に言えば、新バフェット型への超過は統計的には確実でない――日次超過のNewey-Westｔ値は3年0.76で有意水準に届かない。点推定と四つの相場局面すべてでの一貫性では上回るが、新バフェット型に対しては「互角〜やや上」と評価する。統計的に有意に上回るのは、グレアム型(ｔ＝2.99)と市場ＴＯＰＩＸ(ｔ＝2.80)に対してである。第二に、新バフェット型に対しては守り――最大の下落(-30.1% 対 -32.7%)と市場との連動度β(1.07 対 1.18)――でも上回った。過度な集中を避けた三世代分散が、攻めと守りの両面で効いている。第三に、これはすべて2026年時点の選定を過去に当てた自己検証であり、将来の市場超過の証明ではない――この限界は言い換えずに残す。</w:t>
      </w:r>
    </w:p>
    <w:p>
      <w:pPr>
        <w:spacing w:after="80" w:line="281" w:lineRule="auto"/>
        <w:jc w:val="both"/>
        <w:ind w:firstLineChars="100" w:firstLine="210"/>
      </w:pPr>
      <w:r>
        <w:rPr>
          <w:rFonts w:ascii="Times New Roman" w:hAnsi="Times New Roman" w:eastAsia="ＭＳ 明朝"/>
          <w:b w:val="0"/>
          <w:color w:val="000000"/>
          <w:sz w:val="21"/>
        </w:rPr>
        <w:t>役割の分担も確かめた(図表Ⅲ-9)。過去3年の値上がり寄与は、生まれる堀(ＡＩ・半導体)が約58％と牽引し、完成した堀(守)も約21％と土台以上に寄与、変わる堀(公益・資源)は約10％で下げ相場の緩衝材として効いた。旧来の割安一辺倒(グレアム型)に比べ、三世代へ寄与が分散している点が特徴である。なお本検証は取引コスト・税を考慮せず、毎日同じ比率へ戻す固定重み規約で計算した。株数を固定して買い持ちにすると値動きが変わる(参考値は技術補遺§D)。</w:t>
      </w:r>
    </w:p>
    <w:p>
      <w:pPr>
        <w:keepNext/>
        <w:spacing w:before="100" w:after="40" w:line="298" w:lineRule="auto"/>
        <w:ind w:firstLine="0" w:firstLineChars="0"/>
      </w:pPr>
      <w:r>
        <w:rPr>
          <w:rFonts w:ascii="Arial" w:hAnsi="Arial" w:eastAsia="ＭＳ ゴシック"/>
          <w:b/>
          <w:color w:val="16324F"/>
          <w:sz w:val="21"/>
        </w:rPr>
        <w:t>図表Ⅲ-9　役割別の寄与 ― 生まれる堀が牽引し、守も土台以上に寄与</w:t>
      </w:r>
    </w:p>
    <w:p>
      <w:pPr>
        <w:jc w:val="center"/>
        <w:keepNext/>
        <w:ind w:firstLine="0" w:firstLineChars="0"/>
      </w:pPr>
      <w:r>
        <w:drawing>
          <wp:inline xmlns:a="http://schemas.openxmlformats.org/drawingml/2006/main" xmlns:pic="http://schemas.openxmlformats.org/drawingml/2006/picture">
            <wp:extent cx="5328000" cy="2397600"/>
            <wp:docPr id="7" name="Picture 7"/>
            <wp:cNvGraphicFramePr>
              <a:graphicFrameLocks noChangeAspect="1"/>
            </wp:cNvGraphicFramePr>
            <a:graphic>
              <a:graphicData uri="http://schemas.openxmlformats.org/drawingml/2006/picture">
                <pic:pic>
                  <pic:nvPicPr>
                    <pic:cNvPr id="0" name="fig3_roles_v7.png"/>
                    <pic:cNvPicPr/>
                  </pic:nvPicPr>
                  <pic:blipFill>
                    <a:blip r:embed="rId16"/>
                    <a:stretch>
                      <a:fillRect/>
                    </a:stretch>
                  </pic:blipFill>
                  <pic:spPr>
                    <a:xfrm>
                      <a:off x="0" y="0"/>
                      <a:ext cx="5328000" cy="23976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注：過去3年・選定に使った期間。出所：検証の正典データ(phase5_validation_summary.json)。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701"/>
            <w:shd w:val="clear" w:color="auto" w:fill="16324F"/>
          </w:tcPr>
          <w:p>
            <w:pPr>
              <w:spacing w:after="0"/>
              <w:ind w:firstLine="0" w:firstLineChars="0"/>
            </w:pPr>
            <w:r>
              <w:rPr>
                <w:rFonts w:ascii="Arial" w:hAnsi="Arial" w:eastAsia="ＭＳ ゴシック"/>
                <w:b/>
                <w:color w:val="FFFFFF"/>
                <w:sz w:val="20"/>
              </w:rPr>
              <w:t>「超える」の条件</w:t>
            </w:r>
          </w:p>
        </w:tc>
        <w:tc>
          <w:tcPr>
            <w:tcW w:type="dxa" w:w="6690"/>
            <w:shd w:val="clear" w:color="auto" w:fill="16324F"/>
          </w:tcPr>
          <w:p>
            <w:pPr>
              <w:spacing w:after="0"/>
              <w:ind w:firstLine="0" w:firstLineChars="0"/>
            </w:pPr>
            <w:r>
              <w:rPr>
                <w:rFonts w:ascii="Arial" w:hAnsi="Arial" w:eastAsia="ＭＳ ゴシック"/>
                <w:b/>
                <w:color w:val="FFFFFF"/>
                <w:sz w:val="20"/>
              </w:rPr>
              <w:t>結果</w:t>
            </w:r>
          </w:p>
        </w:tc>
        <w:tc>
          <w:tcPr>
            <w:tcW w:type="dxa" w:w="1247"/>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① 同じ土俵に立つ</w:t>
            </w:r>
          </w:p>
        </w:tc>
        <w:tc>
          <w:tcPr>
            <w:tcW w:type="dxa" w:w="6690"/>
          </w:tcPr>
          <w:p>
            <w:pPr>
              <w:spacing w:after="0"/>
              <w:ind w:firstLine="0" w:firstLineChars="0"/>
              <w:jc w:val="left"/>
            </w:pPr>
            <w:r>
              <w:rPr>
                <w:rFonts w:ascii="Times New Roman" w:hAnsi="Times New Roman" w:eastAsia="ＭＳ 明朝"/>
                <w:b w:val="0"/>
                <w:color w:val="000000"/>
                <w:sz w:val="20"/>
              </w:rPr>
              <w:t>守で新バフェットの品質基準(高収益・堀・財務健全)を式から再現し、その完成した堀5社を固定保有(第Ⅱ章)</w:t>
            </w:r>
          </w:p>
        </w:tc>
        <w:tc>
          <w:tcPr>
            <w:tcW w:type="dxa" w:w="1247"/>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② 師に見えない領域へ届く</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新バフェットの『いまの品質』レンズが映さない変わる堀・生まれる堀の15社を、事業で検証した証拠つきで選定(証拠水準3=約9社・水準2=約11社)</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③ 壊れにくい</w:t>
            </w:r>
          </w:p>
        </w:tc>
        <w:tc>
          <w:tcPr>
            <w:tcW w:type="dxa" w:w="6690"/>
          </w:tcPr>
          <w:p>
            <w:pPr>
              <w:spacing w:after="0"/>
              <w:ind w:firstLine="0" w:firstLineChars="0"/>
              <w:jc w:val="left"/>
            </w:pPr>
            <w:r>
              <w:rPr>
                <w:rFonts w:ascii="Times New Roman" w:hAnsi="Times New Roman" w:eastAsia="ＭＳ 明朝"/>
                <w:b w:val="0"/>
                <w:color w:val="000000"/>
                <w:sz w:val="20"/>
              </w:rPr>
              <w:t>判定の目安・重み方式・相場局面の三通りの頑健性検査で確認。守5は動かしても最小4/5一致、『超え』は重み方式・局面に不変(第Ⅱ章末)</w:t>
            </w:r>
          </w:p>
        </w:tc>
        <w:tc>
          <w:tcPr>
            <w:tcW w:type="dxa" w:w="1247"/>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新バフェット型を3年で年＋12.1pt・1年で年＋63.0pt上回り、グレアム型には3年＋41.4pt。有意に勝つのはグレアム型と市場ＴＯＰＩＸ、新バフェットへの超過は有意差なし＝互角〜やや上(図表Ⅲ-8)</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達成(新バフェットは有意差なし)</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図表Ⅲ-10　判定表 ― 四条件に対する現時点の答え(すべて2026年時点選定の自己検証)。</w:t>
      </w:r>
    </w:p>
    <w:p>
      <w:pPr>
        <w:spacing w:after="80" w:line="281" w:lineRule="auto"/>
        <w:jc w:val="both"/>
        <w:ind w:firstLineChars="100" w:firstLine="210"/>
      </w:pPr>
      <w:r>
        <w:rPr>
          <w:rFonts w:ascii="Times New Roman" w:hAnsi="Times New Roman" w:eastAsia="ＭＳ 明朝"/>
          <w:b w:val="0"/>
          <w:color w:val="000000"/>
          <w:sz w:val="21"/>
        </w:rPr>
        <w:t>結局、超えたのか。答えは明快に分けて書く。割安一辺倒のグレアム型と市場平均(ＴＯＰＩＸ)には、リスクを抑えつつ統計的にも有意に上回った。師である新バフェット型に対しては、リターン・効率(シャープ)・最大の下落のすべてで、しかも利上げ相場からＡＩ相場まで四つの局面すべてで一貫して上回ったが、その差は統計的には確実とは言えない――正直に「互角〜やや上」と評価する。第Ⅰ章の投資仮説――三世代を束ねた選定はリスク調整後で師の型を上回る――は、この範囲で支持された。</w:t>
      </w:r>
    </w:p>
    <w:p>
      <w:pPr>
        <w:spacing w:after="80" w:line="281" w:lineRule="auto"/>
        <w:jc w:val="both"/>
        <w:ind w:firstLineChars="100" w:firstLine="210"/>
      </w:pPr>
      <w:r>
        <w:rPr>
          <w:rFonts w:ascii="Times New Roman" w:hAnsi="Times New Roman" w:eastAsia="ＭＳ 明朝"/>
          <w:b w:val="0"/>
          <w:color w:val="000000"/>
          <w:sz w:val="21"/>
        </w:rPr>
        <w:t>そして最も大切な限界を先に置く。以上はすべて2026年時点の選定を過去に当てた自己検証であり、将来の市場超過を約束するものではない。私たちが胸を張れるのは成績の大きさではなく、三世代の堀という枠組みと、それを事前規律(後から銘柄を入れ替えない・事業で証拠を確かめる)で実行したことに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5．リスクと限界 ― 正直に書き残す</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w:t>
      </w:r>
    </w:p>
    <w:p>
      <w:pPr>
        <w:spacing w:before="0" w:after="40" w:line="293" w:lineRule="auto"/>
        <w:ind w:firstLine="0" w:firstLineChars="0"/>
      </w:pPr>
      <w:r>
        <w:rPr>
          <w:rFonts w:ascii="Arial" w:hAnsi="Arial" w:eastAsia="ＭＳ ゴシック"/>
          <w:b/>
          <w:color w:val="16324F"/>
          <w:sz w:val="20"/>
        </w:rPr>
        <w:t xml:space="preserve">・テーマの偏り(意図的な賭け)　</w:t>
      </w:r>
      <w:r>
        <w:rPr>
          <w:rFonts w:ascii="Times New Roman" w:hAnsi="Times New Roman" w:eastAsia="ＭＳ 明朝"/>
          <w:b w:val="0"/>
          <w:color w:val="000000"/>
          <w:sz w:val="20"/>
        </w:rPr>
        <w:t>過去3年の値上がり寄与の約58%は生まれる堀(ＡＩ・半導体)に集中し、ＡＩ/半導体テーマの重みは約40%(業種HHI0.16)と高い。これは『生まれる堀＝ＡＩ・半導体バリューチェーンへの意図的な賭け』であり隠さず開示する。テーマが崩れる未来では市場に劣りうるため、守(大型優良)・破(変革・公益)に予算を置いて緩衝している。</w:t>
      </w:r>
    </w:p>
    <w:p>
      <w:pPr>
        <w:spacing w:before="0" w:after="40" w:line="293" w:lineRule="auto"/>
        <w:ind w:firstLine="0" w:firstLineChars="0"/>
      </w:pPr>
      <w:r>
        <w:rPr>
          <w:rFonts w:ascii="Arial" w:hAnsi="Arial" w:eastAsia="ＭＳ ゴシック"/>
          <w:b/>
          <w:color w:val="16324F"/>
          <w:sz w:val="20"/>
        </w:rPr>
        <w:t xml:space="preserve">・単元未満株の前提　</w:t>
      </w:r>
      <w:r>
        <w:rPr>
          <w:rFonts w:ascii="Times New Roman" w:hAnsi="Times New Roman" w:eastAsia="ＭＳ 明朝"/>
          <w:b w:val="0"/>
          <w:color w:val="000000"/>
          <w:sz w:val="20"/>
        </w:rPr>
        <w:t>新バフェット型は大型優良で株価が高く、通常の売買単位(100株)では株価の高い16社が¥500万の予算内で買えない。本配分は1株から買える単元未満株(金額指定)の取扱いを前提とした目標ウェイトであり、取扱いのない証券会社ではそのまま再現できない。</w:t>
      </w:r>
    </w:p>
    <w:p>
      <w:pPr>
        <w:spacing w:before="0" w:after="40" w:line="293" w:lineRule="auto"/>
        <w:ind w:firstLine="0" w:firstLineChars="0"/>
      </w:pPr>
      <w:r>
        <w:rPr>
          <w:rFonts w:ascii="Arial" w:hAnsi="Arial" w:eastAsia="ＭＳ ゴシック"/>
          <w:b/>
          <w:color w:val="16324F"/>
          <w:sz w:val="20"/>
        </w:rPr>
        <w:t xml:space="preserve">・証拠は開示ベース　</w:t>
      </w:r>
      <w:r>
        <w:rPr>
          <w:rFonts w:ascii="Times New Roman" w:hAnsi="Times New Roman" w:eastAsia="ＭＳ 明朝"/>
          <w:b w:val="0"/>
          <w:color w:val="000000"/>
          <w:sz w:val="20"/>
        </w:rPr>
        <w:t>証拠の強さは開示資料に基づく判定であり、現場の実態までは測れない。第Ⅳ章の取材は、この限界を埋めるために設計している。</w:t>
      </w:r>
    </w:p>
    <w:p>
      <w:pPr>
        <w:spacing w:before="0" w:after="40" w:line="293" w:lineRule="auto"/>
        <w:ind w:firstLine="0" w:firstLineChars="0"/>
      </w:pPr>
      <w:r>
        <w:rPr>
          <w:rFonts w:ascii="Arial" w:hAnsi="Arial" w:eastAsia="ＭＳ ゴシック"/>
          <w:b/>
          <w:color w:val="16324F"/>
          <w:sz w:val="20"/>
        </w:rPr>
        <w:t xml:space="preserve">・出発点は生存者のみ　</w:t>
      </w:r>
      <w:r>
        <w:rPr>
          <w:rFonts w:ascii="Times New Roman" w:hAnsi="Times New Roman" w:eastAsia="ＭＳ 明朝"/>
          <w:b w:val="0"/>
          <w:color w:val="000000"/>
          <w:sz w:val="20"/>
        </w:rPr>
        <w:t>出発点の3,481社は直近時点の上場一覧で、期間中に上場廃止となった企業を含まない(生存者バイアス)。成績はその分有利に出うる(技術補遺§A)。</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グレアム型と市場には有意に超え、新バフェットには全指標・全局面で上回るが有意差なし(互角〜やや上)。すべて自己検証であること、テーマ集中とデータの限界まで、先に書き残した。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対象(役割)</w:t>
            </w:r>
          </w:p>
        </w:tc>
        <w:tc>
          <w:tcPr>
            <w:tcW w:type="dxa" w:w="6690"/>
            <w:shd w:val="clear" w:color="auto" w:fill="16324F"/>
          </w:tcPr>
          <w:p>
            <w:pPr>
              <w:spacing w:after="0"/>
              <w:ind w:firstLine="0" w:firstLineChars="0"/>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santec(生まれる堀)</w:t>
            </w:r>
          </w:p>
        </w:tc>
        <w:tc>
          <w:tcPr>
            <w:tcW w:type="dxa" w:w="6690"/>
          </w:tcPr>
          <w:p>
            <w:pPr>
              <w:spacing w:after="0"/>
              <w:ind w:firstLine="0" w:firstLineChars="0"/>
              <w:jc w:val="left"/>
            </w:pPr>
            <w:r>
              <w:rPr>
                <w:rFonts w:ascii="Times New Roman" w:hAnsi="Times New Roman" w:eastAsia="ＭＳ 明朝"/>
                <w:b w:val="0"/>
                <w:color w:val="000000"/>
                <w:sz w:val="20"/>
              </w:rPr>
              <w:t>①ＡＩデータセンター向け光通信部品の受注動向と生産能力投資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6590 芝浦メカトロニクス(生まれる堀)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①半導体製造装置の需要見通し　②競合に対する技術優位の源泉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レーザーテック(完成した堀)</w:t>
            </w:r>
          </w:p>
        </w:tc>
        <w:tc>
          <w:tcPr>
            <w:tcW w:type="dxa" w:w="6690"/>
          </w:tcPr>
          <w:p>
            <w:pPr>
              <w:spacing w:after="0"/>
              <w:ind w:firstLine="0" w:firstLineChars="0"/>
              <w:jc w:val="left"/>
            </w:pPr>
            <w:r>
              <w:rPr>
                <w:rFonts w:ascii="Times New Roman" w:hAnsi="Times New Roman" w:eastAsia="ＭＳ 明朝"/>
                <w:b w:val="0"/>
                <w:color w:val="000000"/>
                <w:sz w:val="20"/>
              </w:rPr>
              <w:t>①半導体マスク検査での独占的地位の持続性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3092 ＺＯＺＯ(完成した堀)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①出店ブランドと購買データの両面ネットワークの堀　②海外・新規事業の成長余地</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1662 石油資源開発(変わる堀)</w:t>
            </w:r>
          </w:p>
        </w:tc>
        <w:tc>
          <w:tcPr>
            <w:tcW w:type="dxa" w:w="6690"/>
          </w:tcPr>
          <w:p>
            <w:pPr>
              <w:spacing w:after="0"/>
              <w:ind w:firstLine="0" w:firstLineChars="0"/>
              <w:jc w:val="left"/>
            </w:pPr>
            <w:r>
              <w:rPr>
                <w:rFonts w:ascii="Times New Roman" w:hAnsi="Times New Roman" w:eastAsia="ＭＳ 明朝"/>
                <w:b w:val="0"/>
                <w:color w:val="000000"/>
                <w:sz w:val="20"/>
              </w:rPr>
              <w:t>①資源価格の変動への耐性と株主還元の方針　②ＣＣＳ(ＣＯ２貯留)など変革の進捗</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9503 関西電力(変わる堀)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①原発再稼働と資本効率改革の進捗　②株主還元と設備投資の優先順位</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6861 キーエンス(両立型)</w:t>
            </w:r>
          </w:p>
        </w:tc>
        <w:tc>
          <w:tcPr>
            <w:tcW w:type="dxa" w:w="6690"/>
          </w:tcPr>
          <w:p>
            <w:pPr>
              <w:spacing w:after="0"/>
              <w:ind w:firstLine="0" w:firstLineChars="0"/>
              <w:jc w:val="left"/>
            </w:pPr>
            <w:r>
              <w:rPr>
                <w:rFonts w:ascii="Times New Roman" w:hAnsi="Times New Roman" w:eastAsia="ＭＳ 明朝"/>
                <w:b w:val="0"/>
                <w:color w:val="000000"/>
                <w:sz w:val="20"/>
              </w:rPr>
              <w:t>①高い営業利益率(価格支配力)の持続性　②工場自動化・ＡＩ活用による事業機会</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3449 テクノフレックス(分散役)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①ニッチ配管部材の参入障壁　②財務の安定性と成長計画</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項目</w:t>
            </w:r>
          </w:p>
        </w:tc>
        <w:tc>
          <w:tcPr>
            <w:tcW w:type="dxa" w:w="3742"/>
            <w:shd w:val="clear" w:color="auto" w:fill="16324F"/>
          </w:tcPr>
          <w:p>
            <w:pPr>
              <w:spacing w:after="0"/>
              <w:ind w:firstLine="0" w:firstLineChars="0"/>
            </w:pPr>
            <w:r>
              <w:rPr>
                <w:rFonts w:ascii="Arial" w:hAnsi="Arial" w:eastAsia="ＭＳ ゴシック"/>
                <w:b/>
                <w:color w:val="FFFFFF"/>
                <w:sz w:val="20"/>
              </w:rPr>
              <w:t>取材1(記入)</w:t>
            </w:r>
          </w:p>
        </w:tc>
        <w:tc>
          <w:tcPr>
            <w:tcW w:type="dxa" w:w="3742"/>
            <w:shd w:val="clear" w:color="auto" w:fill="16324F"/>
          </w:tcPr>
          <w:p>
            <w:pPr>
              <w:spacing w:after="0"/>
              <w:ind w:firstLine="0" w:firstLineChars="0"/>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100" w:line="281" w:lineRule="auto"/>
        <w:jc w:val="both"/>
        <w:ind w:firstLineChars="100" w:firstLine="210"/>
      </w:pPr>
      <w:r>
        <w:rPr>
          <w:rFonts w:ascii="Times New Roman" w:hAnsi="Times New Roman" w:eastAsia="ＭＳ 明朝"/>
          <w:b w:val="0"/>
          <w:color w:val="000000"/>
          <w:sz w:val="21"/>
        </w:rPr>
        <w:t>本文で直接引用した文献に加え、選定・検証・データ取得の設計にあたって参照した文献を、分野別にすべて記載する(正典: docs/references_master.md)。新バフェットの品質基準はBuffett's Alpha(Frazzini, Kabiller and Pedersen 2018)とQuality Minus Junk(Asness, Frazzini and Pedersen 2019)に、割安×優良の複合順位はGreenblatt(2006)に依拠する。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20"/>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20"/>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20"/>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20"/>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20"/>
        </w:rPr>
        <w:t>Amihud, Y. (2002) Illiquidity and Stock Returns: Cross-Section and Time-Series Effects. Journal of Financial Markets, 5(1), pp.31-56.</w:t>
      </w:r>
    </w:p>
    <w:p>
      <w:pPr>
        <w:spacing w:after="20"/>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20"/>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20"/>
        </w:rPr>
        <w:t>Markowitz, H. (1952) Portfolio Selection. The Journal of Finance, 7(1), pp.77-91.</w:t>
      </w:r>
    </w:p>
    <w:p>
      <w:pPr>
        <w:spacing w:after="20"/>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20"/>
        </w:rPr>
        <w:t>Sharpe, W. F. (1966) Mutual Fund Performance. The Journal of Business, 39(1), pp.119-138.</w:t>
      </w:r>
    </w:p>
    <w:p>
      <w:pPr>
        <w:spacing w:after="20"/>
        <w:ind w:left="360" w:hanging="360"/>
      </w:pPr>
      <w:r>
        <w:rPr>
          <w:rFonts w:ascii="Times New Roman" w:hAnsi="Times New Roman" w:eastAsia="ＭＳ 明朝"/>
          <w:b w:val="0"/>
          <w:color w:val="000000"/>
          <w:sz w:val="20"/>
        </w:rPr>
        <w:t>Sharpe, W. F. (1994) The Sharpe Ratio. The Journal of Portfolio Management, 21(1), pp.49-58.</w:t>
      </w:r>
    </w:p>
    <w:p>
      <w:pPr>
        <w:spacing w:after="20"/>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英語文献Ⅱ ― 検証・過学習対策・感度分析(壊れにくさ検査の典拠)</w:t>
      </w:r>
    </w:p>
    <w:p>
      <w:pPr>
        <w:spacing w:after="20"/>
        <w:ind w:left="360" w:hanging="360"/>
      </w:pPr>
      <w:r>
        <w:rPr>
          <w:rFonts w:ascii="Times New Roman" w:hAnsi="Times New Roman" w:eastAsia="ＭＳ 明朝"/>
          <w:b w:val="0"/>
          <w:color w:val="000000"/>
          <w:sz w:val="20"/>
        </w:rPr>
        <w:t>Bailey, D. H., &amp; López de Prado, M. (2012) The Sharpe Ratio Efficient Frontier. Journal of Risk, 15(2), pp.3-44.</w:t>
      </w:r>
    </w:p>
    <w:p>
      <w:pPr>
        <w:spacing w:after="20"/>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20"/>
        </w:rPr>
        <w:t>Bailey, D. H., Borwein, J. M., López de Prado, M., &amp; Zhu, Q. J. (2016) The Probability of Backtest Overfitting. Journal of Computational Finance, 20(4), pp.39-69.</w:t>
      </w:r>
    </w:p>
    <w:p>
      <w:pPr>
        <w:spacing w:after="20"/>
        <w:ind w:left="360" w:hanging="360"/>
      </w:pPr>
      <w:r>
        <w:rPr>
          <w:rFonts w:ascii="Times New Roman" w:hAnsi="Times New Roman" w:eastAsia="ＭＳ 明朝"/>
          <w:b w:val="0"/>
          <w:color w:val="000000"/>
          <w:sz w:val="20"/>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20"/>
        </w:rPr>
        <w:t>López de Prado, M. (2018) Advances in Financial Machine Learning, John Wiley &amp; Sons.</w:t>
      </w:r>
    </w:p>
    <w:p>
      <w:pPr>
        <w:spacing w:after="20"/>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20"/>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20"/>
        <w:ind w:left="360" w:hanging="360"/>
      </w:pPr>
      <w:r>
        <w:rPr>
          <w:rFonts w:ascii="Times New Roman" w:hAnsi="Times New Roman" w:eastAsia="ＭＳ 明朝"/>
          <w:b w:val="0"/>
          <w:color w:val="000000"/>
          <w:sz w:val="20"/>
        </w:rPr>
        <w:t>Sobol', I. M. (2001) Global Sensitivity Indices for Nonlinear Mathematical Models and Their Monte Carlo Estimates. Mathematics and Computers in Simulation, 55(1-3), pp.271-280.</w:t>
      </w:r>
    </w:p>
    <w:p>
      <w:pPr>
        <w:spacing w:after="20"/>
        <w:ind w:left="360" w:hanging="360"/>
      </w:pPr>
      <w:r>
        <w:rPr>
          <w:rFonts w:ascii="Times New Roman" w:hAnsi="Times New Roman" w:eastAsia="ＭＳ 明朝"/>
          <w:b w:val="0"/>
          <w:color w:val="000000"/>
          <w:sz w:val="20"/>
        </w:rPr>
        <w:t>White, H. (2000) A Reality Check for Data Snooping. Econometrica, 68(5), pp.1097-1126.</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背景調査で参照した文献</w:t>
      </w:r>
    </w:p>
    <w:p>
      <w:pPr>
        <w:spacing w:after="20"/>
        <w:ind w:left="360" w:hanging="360"/>
      </w:pPr>
      <w:r>
        <w:rPr>
          <w:rFonts w:ascii="Times New Roman" w:hAnsi="Times New Roman" w:eastAsia="ＭＳ 明朝"/>
          <w:b w:val="0"/>
          <w:color w:val="000000"/>
          <w:sz w:val="20"/>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20"/>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20"/>
        </w:rPr>
        <w:t>Beneish, M. D. (1999) The Detection of Earnings Manipulation. Financial Analysts Journal, 55(5), pp.24-36.</w:t>
      </w:r>
    </w:p>
    <w:p>
      <w:pPr>
        <w:spacing w:after="20"/>
        <w:ind w:left="360" w:hanging="360"/>
      </w:pPr>
      <w:r>
        <w:rPr>
          <w:rFonts w:ascii="Times New Roman" w:hAnsi="Times New Roman" w:eastAsia="ＭＳ 明朝"/>
          <w:b w:val="0"/>
          <w:color w:val="000000"/>
          <w:sz w:val="20"/>
        </w:rPr>
        <w:t>French, K. R. "Data Library", https://mba.tuck.dartmouth.edu/pages/faculty/ken.french/data_library.html (2026年7月8日)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日本語文献</w:t>
      </w:r>
    </w:p>
    <w:p>
      <w:pPr>
        <w:spacing w:after="20"/>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20"/>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20"/>
        <w:ind w:left="360" w:hanging="360"/>
      </w:pPr>
      <w:r>
        <w:rPr>
          <w:rFonts w:ascii="Times New Roman" w:hAnsi="Times New Roman" w:eastAsia="ＭＳ 明朝"/>
          <w:b w:val="0"/>
          <w:color w:val="000000"/>
          <w:sz w:val="20"/>
        </w:rPr>
        <w:t>金融庁「EDINET」，https://disclosure2.edinet-fsa.go.jp/ (2026年7月8日閲覧)</w:t>
      </w:r>
    </w:p>
    <w:p>
      <w:pPr>
        <w:spacing w:after="20"/>
        <w:ind w:left="360" w:hanging="360"/>
      </w:pPr>
      <w:r>
        <w:rPr>
          <w:rFonts w:ascii="Times New Roman" w:hAnsi="Times New Roman" w:eastAsia="ＭＳ 明朝"/>
          <w:b w:val="0"/>
          <w:color w:val="000000"/>
          <w:sz w:val="20"/>
        </w:rPr>
        <w:t>金融庁 企画市場局 企業開示課(2026)『EDINET API 仕様書(Version 2)』金融庁．</w:t>
      </w:r>
    </w:p>
    <w:p>
      <w:pPr>
        <w:spacing w:after="20"/>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20"/>
        <w:ind w:left="360" w:hanging="360"/>
      </w:pPr>
      <w:r>
        <w:rPr>
          <w:rFonts w:ascii="Times New Roman" w:hAnsi="Times New Roman" w:eastAsia="ＭＳ 明朝"/>
          <w:b w:val="0"/>
          <w:color w:val="000000"/>
          <w:sz w:val="20"/>
        </w:rPr>
        <w:t>日本取引所グループ「東証上場銘柄一覧」(データファイル)．</w:t>
      </w:r>
    </w:p>
    <w:p>
      <w:pPr>
        <w:spacing w:after="20"/>
        <w:ind w:left="360" w:hanging="360"/>
      </w:pPr>
      <w:r>
        <w:rPr>
          <w:rFonts w:ascii="Times New Roman" w:hAnsi="Times New Roman" w:eastAsia="ＭＳ 明朝"/>
          <w:b w:val="0"/>
          <w:color w:val="000000"/>
          <w:sz w:val="20"/>
        </w:rPr>
        <w:t>SciPy Developers, "scipy.optimize.minimize", SciPy Documentation, https://docs.scipy.org/ (2026年7月8日)</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v8</dc:description>
  <cp:lastModifiedBy/>
  <cp:revision>1</cp:revision>
  <dcterms:created xsi:type="dcterms:W3CDTF">2013-12-23T23:15:00Z</dcterms:created>
  <dcterms:modified xsi:type="dcterms:W3CDTF">2013-12-23T23:15:00Z</dcterms:modified>
  <cp:category/>
</cp:coreProperties>
</file>