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ＭＳ ゴシック"/>
          <w:b/>
          <w:color w:val="16324F"/>
          <w:sz w:val="32"/>
        </w:rPr>
        <w:t>BEYOND BUFFETT ― 査読用技術補遺(Technical Appendix) v9</w:t>
      </w:r>
    </w:p>
    <w:p>
      <w:pPr>
        <w:spacing w:after="1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日経ＳＴＯＣＫリーグ提出版『三世代の堀』の検証可能性を担保する技術資料。本編(≤30頁)に収まらない詳細――全パラメータ・選定規律・計算規約・統計・頑健性・限界・再現手順――を収載する。全数値は本編と同一の選定正典(JSON)から自動転記。**重要な前提: 全ＰＦは2026-06時点の財務・価格で選定し過去に当てた in-sample の自己検証であり、将来の成績予測ではない。**</w:t>
      </w:r>
    </w:p>
    <w:p>
      <w:pPr>
        <w:keepNext/>
        <w:spacing w:before="280" w:after="120"/>
      </w:pPr>
      <w:r>
        <w:rPr>
          <w:rFonts w:ascii="Times New Roman" w:hAnsi="Times New Roman" w:eastAsia="ＭＳ ゴシック"/>
          <w:b/>
          <w:color w:val="16324F"/>
          <w:sz w:val="26"/>
        </w:rPr>
        <w:t>§A　データ系譜と前処理</w:t>
      </w:r>
    </w:p>
    <w:p>
      <w:pPr>
        <w:spacing w:after="8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価格系列は正典 data/processed/prices_daily.parquet(2021-06-01〜2026-06-01、約1,221営業日)。個別株とＴＯＰＩＸ連動ＥＴＦ 1306.T は配当込み調整後終値、日経平均(^N225)は価格指数。1306.T は2026-03-30以降に未調整の1:10分割があり、当該日以降を×10して連続化した。リターンは version 非依存の pct_change(fill_method=None) で算出。</w:t>
      </w:r>
    </w:p>
    <w:p>
      <w:pPr>
        <w:spacing w:after="12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ユニバースは金融を除く普通株3,481社(価格あり)。投資適格＋流動性(60日平均売買代金)で1,819社、さらに価格履歴3年(756営業日=検証可能性)で1,791社を全枝共通の出発点(base)とする。守・破・離・両立・分散の全枝の社数はこのbaseから同一ガードで再計算し、出口20社が選定スクリプトの出力と一致することを機械検査した(funnel_branches_v9.json)。母集団は直近時点の上場一覧の単一断面で、期間中の上場廃止企業を含まない(生存者バイアス)。本ＰＦ・新バフェット・グレアムには同一条件で作用するため相互比較は内部整合するが、指数との水準比較は割り引いて読む。</w:t>
      </w:r>
    </w:p>
    <w:p>
      <w:pPr>
        <w:keepNext/>
        <w:spacing w:before="280" w:after="120"/>
      </w:pPr>
      <w:r>
        <w:rPr>
          <w:rFonts w:ascii="Times New Roman" w:hAnsi="Times New Roman" w:eastAsia="ＭＳ ゴシック"/>
          <w:b/>
          <w:color w:val="16324F"/>
          <w:sz w:val="26"/>
        </w:rPr>
        <w:t>§B　選定式の完全形</w:t>
      </w:r>
    </w:p>
    <w:p>
      <w:pPr>
        <w:keepNext/>
        <w:spacing w:before="180" w:after="60"/>
      </w:pPr>
      <w:r>
        <w:rPr>
          <w:rFonts w:ascii="Times New Roman" w:hAnsi="Times New Roman" w:eastAsia="ＭＳ ゴシック"/>
          <w:b/>
          <w:color w:val="2F6D5F"/>
          <w:sz w:val="22"/>
        </w:rPr>
        <w:t>B-1　守 ― 完成した堀(新バフェットの品質ゲート)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守は、割安一辺倒でなく『優良を適正価格で』という新バフェットの規律を、次の7関門で式化する(出典: Frazzini, Kabiller and Pedersen 2018 'Buffett's Alpha'; Asness, Frazzini and Pedersen 2019 'Quality Minus Junk')。①ＲＯＥ≥15% ②営業利益率≥10%(価格支配力=堀) ③自己資本比率≥50%(安全) ④直近3期無赤字(予測可能性) ⑤営業ＣＦ&gt;0(利益の質; Sloan 1996) ⑥増収かつ増益(非縮小) ⑦60日平均売買代金≥約0.1億円(流動性; Amihud 2002)。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236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守の品質関門(base=1,791社から累積)</w:t>
            </w:r>
          </w:p>
        </w:tc>
        <w:tc>
          <w:tcPr>
            <w:tcW w:type="dxa" w:w="1474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通過社数</w:t>
            </w:r>
          </w:p>
        </w:tc>
      </w:tr>
      <w:tr>
        <w:tc>
          <w:tcPr>
            <w:tcW w:type="dxa" w:w="6236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1-1　高収益 ＲＯＥ≥15％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384社</w:t>
            </w:r>
          </w:p>
        </w:tc>
      </w:tr>
      <w:tr>
        <w:tc>
          <w:tcPr>
            <w:tcW w:type="dxa" w:w="6236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1-2　堀・価格支配力 営業利益率≥10％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278社</w:t>
            </w:r>
          </w:p>
        </w:tc>
      </w:tr>
      <w:tr>
        <w:tc>
          <w:tcPr>
            <w:tcW w:type="dxa" w:w="6236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1-3　財務健全 自己資本比率≥50％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206社</w:t>
            </w:r>
          </w:p>
        </w:tc>
      </w:tr>
      <w:tr>
        <w:tc>
          <w:tcPr>
            <w:tcW w:type="dxa" w:w="6236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1-4　予測可能性 直近3期無赤字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182社</w:t>
            </w:r>
          </w:p>
        </w:tc>
      </w:tr>
      <w:tr>
        <w:tc>
          <w:tcPr>
            <w:tcW w:type="dxa" w:w="6236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1-5　現金創出 営業ＣＦ＞0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182社</w:t>
            </w:r>
          </w:p>
        </w:tc>
      </w:tr>
      <w:tr>
        <w:tc>
          <w:tcPr>
            <w:tcW w:type="dxa" w:w="6236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1-6　非縮小 増収かつ増益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162社</w:t>
            </w:r>
          </w:p>
        </w:tc>
      </w:tr>
      <w:tr>
        <w:tc>
          <w:tcPr>
            <w:tcW w:type="dxa" w:w="6236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1-7　価格ランク可能(時価総額データあり・益回り＞0)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20社</w:t>
            </w:r>
          </w:p>
        </w:tc>
      </w:tr>
      <w:tr>
        <w:tc>
          <w:tcPr>
            <w:tcW w:type="dxa" w:w="6236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1-8　割安×優良の複合順位＋同一業種2社まで → Top5固定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5社</w:t>
            </w:r>
          </w:p>
        </w:tc>
      </w:tr>
    </w:tbl>
    <w:p>
      <w:pPr>
        <w:spacing w:after="60"/>
      </w:pPr>
    </w:p>
    <w:p>
      <w:pPr>
        <w:spacing w:after="12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品質ユニバース162社のうち価格ランク可能20社を、ＲＯＥと益回りの順位和(Greenblatt型)で並べ、同一業種上限2で上位5社を固定(上位12社=主対照の新バフェット型)。</w:t>
      </w:r>
    </w:p>
    <w:p>
      <w:pPr>
        <w:keepNext/>
        <w:spacing w:before="180" w:after="60"/>
      </w:pPr>
      <w:r>
        <w:rPr>
          <w:rFonts w:ascii="Times New Roman" w:hAnsi="Times New Roman" w:eastAsia="ＭＳ ゴシック"/>
          <w:b/>
          <w:color w:val="2F6D5F"/>
          <w:sz w:val="22"/>
        </w:rPr>
        <w:t>B-2　破 ― 変わる堀(割安×変革)</w:t>
      </w:r>
    </w:p>
    <w:p>
      <w:pPr>
        <w:spacing w:after="12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破は、守の品質一辺倒を破り、東証の資本効率改革・脱炭素で評価がこれから変わる割安企業を選ぶ。study の変革カテゴリ(Transformation Moat)に分類される企業を、総合スコア(adjusted_bb_score; 割安・資本効率改善・株主還元・改革シグナルの合成)の上位から、営業黒字・純黒字・流動性・同一業種上限2の規律で5社選定する。重みは過去リターンで決めず変革の論理から設計し、±20%の摂動でも順位が崩れないことを監査した。枝ファネル: base 1,791社 → 変わる堀に分類282社 → 黒字251社 → ＲＯＥ≥5%で227社 → 点数上位＋業種上限2で5社(数値はfunnel_branches_v9.jsonから転記・実装一致assert済み)。</w:t>
      </w:r>
    </w:p>
    <w:p>
      <w:pPr>
        <w:keepNext/>
        <w:spacing w:before="180" w:after="60"/>
      </w:pPr>
      <w:r>
        <w:rPr>
          <w:rFonts w:ascii="Times New Roman" w:hAnsi="Times New Roman" w:eastAsia="ＭＳ ゴシック"/>
          <w:b/>
          <w:color w:val="2F6D5F"/>
          <w:sz w:val="22"/>
        </w:rPr>
        <w:t>B-3　離 ― 生まれる堀(AI・半導体を事業で検証)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離は、AI・半導体・光通信の実需で新しい堀が生まれる企業を選ぶ。ただし study の future_moat スコアは社名・業種へのキーワード照合に依存して飽和し(炊飯器・照明の企業まで満点に並ぶ)、定量選別に耐えない。そこで点数を鵜呑みにせず、各社の事業セグメント開示まで遡って半導体・AI基盤への実需接続を確認できた企業のみを採用した(キーワード頼みの排除・疑わしきは除外)。採用5社=santec／日本マイクロニクス／芝浦メカトロニクス／SAMCO／テラプローブ(各社の事業内容は本編§Ⅲ)。キーワード経路破棄の実証: future_moatスコアは全上場で273社が同一値に並び(火災報知機・時計・鉄道信号の会社が半導体マスク検査のレーザーテックと同点)、順位として機能しない。枝ファネル: 実需確認7社(予備2)→適格ガードで5社。両立型はプール1,463社→3社、分散役は未使用業種638社→2社。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両立型は現在の堀(moat)と未来の堀(future_moat)がともに上位の3社、分散役は業種・テーマの偏りを整える2社。証拠水準(接点のみ=1/具体=2/数字まで=3)を点数と分けて管理し、水準の低い会社は役割の候補から外す。</w:t>
      </w:r>
    </w:p>
    <w:p>
      <w:pPr>
        <w:spacing w:after="12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最終20社の証拠内訳: 水準3が9社・水準2が11社。</w:t>
      </w:r>
    </w:p>
    <w:p>
      <w:pPr>
        <w:keepNext/>
        <w:spacing w:before="180" w:after="60"/>
      </w:pPr>
      <w:r>
        <w:rPr>
          <w:rFonts w:ascii="Times New Roman" w:hAnsi="Times New Roman" w:eastAsia="ＭＳ ゴシック"/>
          <w:b/>
          <w:color w:val="2F6D5F"/>
          <w:sz w:val="22"/>
        </w:rPr>
        <w:t>B-4　配分(役割予算) ― 式(13)</w:t>
      </w:r>
    </w:p>
    <w:p>
      <w:pPr>
        <w:spacing w:after="12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配分は、成績の予想を使わず、役割予算で決める。予算配分は 守28%／破28%／離28%／両立10%／分散6% とし(三世代コアを等しく重視、両立・分散は支持役として軽く)、役割内は均等とした。真バフェットは大型優良で株価が高く通常の売買単位(100株)では500万円に収まらないため、1株から買える単元未満株(金額指定)を前提に目標比率で配分した。</w:t>
      </w:r>
    </w:p>
    <w:p>
      <w:pPr>
        <w:keepNext/>
        <w:spacing w:before="280" w:after="120"/>
      </w:pPr>
      <w:r>
        <w:rPr>
          <w:rFonts w:ascii="Times New Roman" w:hAnsi="Times New Roman" w:eastAsia="ＭＳ ゴシック"/>
          <w:b/>
          <w:color w:val="16324F"/>
          <w:sz w:val="26"/>
        </w:rPr>
        <w:t>§C　選定の規律(後出しの排除)</w:t>
      </w:r>
    </w:p>
    <w:p>
      <w:pPr>
        <w:spacing w:after="12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(1)成績で選ばない: 守・破・離のいずれも、過去リターンへの当てはめで銘柄や重みを選んでいない。守は品質ゲート(閾値)、破・離は事前に設計したスコアと事業検証で選ぶ。(2)後から入れ替えない: 選定後に成績を見て銘柄を差し替える操作は一切していない。(3)摂動監査: 破・離のスコア重みを±20%動かしても選ばれる顔ぶれが変わらないことを確認した。(4)在庫の限界: shares_outstanding 等の時価総額データは大型中心に約139社しか取得できず、価格ランク可能な品質企業が大型優良に偏る点は開示する(新バフェット=大型優良と整合)。(5)来歴の正直な開示: 初期の反復では多目的最適化(Deb et al. 2002)や無作為探索(Bergstra &amp; Bengio 2012)による重み探索も検討したが、後知恵の当てはめ(過去成績への最適化)を避けるため最終選定には用いず、変革の論理に基づく概念設計＋±20%摂動監査を採用した。</w:t>
      </w:r>
    </w:p>
    <w:p>
      <w:pPr>
        <w:keepNext/>
        <w:spacing w:before="280" w:after="120"/>
      </w:pPr>
      <w:r>
        <w:rPr>
          <w:rFonts w:ascii="Times New Roman" w:hAnsi="Times New Roman" w:eastAsia="ＭＳ ゴシック"/>
          <w:b/>
          <w:color w:val="16324F"/>
          <w:sz w:val="26"/>
        </w:rPr>
        <w:t>§D　検証規約とBH換算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主規約は固定重み日次リバランス(756/252営業日)。買い持ち(株数固定)は複利で極端な値になりやすいため参考(下表)。取引コスト・税は考慮しない。全ては2026-06選定を過去に当てた in-sample。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規約×期間</w:t>
            </w:r>
          </w:p>
        </w:tc>
        <w:tc>
          <w:tcPr>
            <w:tcW w:type="dxa" w:w="1928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本ＰＦ 年率</w:t>
            </w:r>
          </w:p>
        </w:tc>
        <w:tc>
          <w:tcPr>
            <w:tcW w:type="dxa" w:w="2268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本ＰＦ 最大下落</w:t>
            </w:r>
          </w:p>
        </w:tc>
        <w:tc>
          <w:tcPr>
            <w:tcW w:type="dxa" w:w="2268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新バフェット 年率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リバランス 3年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54.7%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-30.1%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42.6%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買い持ち 3年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58.7%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-35.2%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39.8%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リバランス 1年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124.0%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-9.7%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61.0%</w:t>
            </w:r>
          </w:p>
        </w:tc>
      </w:tr>
    </w:tbl>
    <w:p>
      <w:pPr>
        <w:spacing w:after="60"/>
      </w:pPr>
    </w:p>
    <w:p>
      <w:pPr>
        <w:keepNext/>
        <w:spacing w:before="280" w:after="120"/>
      </w:pPr>
      <w:r>
        <w:rPr>
          <w:rFonts w:ascii="Times New Roman" w:hAnsi="Times New Roman" w:eastAsia="ＭＳ ゴシック"/>
          <w:b/>
          <w:color w:val="16324F"/>
          <w:sz w:val="26"/>
        </w:rPr>
        <w:t>§E　頑健性 ― 多期間レジーム検証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固定した20社を、相場局面の異なる複数期間へ当てはめ、超過が特定局面に依存しないかを確かめた(買い持ち)。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268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期間</w:t>
            </w:r>
          </w:p>
        </w:tc>
        <w:tc>
          <w:tcPr>
            <w:tcW w:type="dxa" w:w="1701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本ＰＦ 年率</w:t>
            </w:r>
          </w:p>
        </w:tc>
        <w:tc>
          <w:tcPr>
            <w:tcW w:type="dxa" w:w="1474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対TOPIX</w:t>
            </w:r>
          </w:p>
        </w:tc>
        <w:tc>
          <w:tcPr>
            <w:tcW w:type="dxa" w:w="1474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最大下落</w:t>
            </w:r>
          </w:p>
        </w:tc>
        <w:tc>
          <w:tcPr>
            <w:tcW w:type="dxa" w:w="1247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Sharpe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全期間(約4.85年)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43.4%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+27.5pt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-33.8%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1.43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P1 利上げ21-22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19.3%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+20.5pt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-17.7%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0.86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P2 AI相場前半23-24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77.8%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+43.9pt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-12.7%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3.20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P3 直近24-26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39.2%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+20.4pt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-26.7%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1.32</w:t>
            </w:r>
          </w:p>
        </w:tc>
      </w:tr>
    </w:tbl>
    <w:p>
      <w:pPr>
        <w:spacing w:after="60"/>
      </w:pPr>
    </w:p>
    <w:p>
      <w:pPr>
        <w:spacing w:after="12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役割別の3年寄与: 生まれる堀58%・守21%・変わる堀10%・分散9%・両立2%。AI・半導体テーマ(電気機器＋機械)の比重は約40%で、これは『生まれる堀=AI/半導体バリューチェーンへの意図的な賭け』として開示する(業種HHI約0.16)。守・破が下げ相場の緩衝材となる。</w:t>
      </w:r>
    </w:p>
    <w:p>
      <w:pPr>
        <w:keepNext/>
        <w:spacing w:before="280" w:after="120"/>
      </w:pPr>
      <w:r>
        <w:rPr>
          <w:rFonts w:ascii="Times New Roman" w:hAnsi="Times New Roman" w:eastAsia="ＭＳ ゴシック"/>
          <w:b/>
          <w:color w:val="16324F"/>
          <w:sz w:val="26"/>
        </w:rPr>
        <w:t>§F　統計的有意性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日次超過リターンの平均がゼロと異なるかを、系列相関に頑健な Newey-West の t 値で検定した(自動ラグ)。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608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比較(期間)</w:t>
            </w:r>
          </w:p>
        </w:tc>
        <w:tc>
          <w:tcPr>
            <w:tcW w:type="dxa" w:w="1361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NW-t</w:t>
            </w:r>
          </w:p>
        </w:tc>
        <w:tc>
          <w:tcPr>
            <w:tcW w:type="dxa" w:w="1361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素のt</w:t>
            </w:r>
          </w:p>
        </w:tc>
        <w:tc>
          <w:tcPr>
            <w:tcW w:type="dxa" w:w="1928"/>
            <w:shd w:val="clear" w:color="auto" w:fill="16324F"/>
          </w:tcPr>
          <w:p>
            <w:r>
              <w:rPr>
                <w:rFonts w:ascii="Times New Roman" w:hAnsi="Times New Roman" w:eastAsia="ＭＳ ゴシック"/>
                <w:b/>
                <w:color w:val="FFFFFF"/>
                <w:sz w:val="19"/>
              </w:rPr>
              <w:t>年率超過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対 新バフェット(3年)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0.76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0.70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6.6%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対 純正グレアム(3年)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2.99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3.07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33.2%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対 TOPIX(3年)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2.80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2.70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22.2%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対 新バフェット(1年)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1.97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1.83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ＭＳ 明朝"/>
                <w:b w:val="0"/>
                <w:sz w:val="19"/>
              </w:rPr>
              <w:t>31.7%</w:t>
            </w:r>
          </w:p>
        </w:tc>
      </w:tr>
    </w:tbl>
    <w:p>
      <w:pPr>
        <w:spacing w:after="60"/>
      </w:pPr>
    </w:p>
    <w:p>
      <w:pPr>
        <w:spacing w:after="12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読み方: 純正グレアム型と市場(TOPIX)に対する超過は統計的に有意(NW-t&gt;2)。新バフェット型に対する超過は点推定では全指標・全局面で上回るが、3年のNW-tは有意水準に届かず『互角〜やや上』と評価する(過大主張しない)。</w:t>
      </w:r>
    </w:p>
    <w:p>
      <w:pPr>
        <w:keepNext/>
        <w:spacing w:before="280" w:after="120"/>
      </w:pPr>
      <w:r>
        <w:rPr>
          <w:rFonts w:ascii="Times New Roman" w:hAnsi="Times New Roman" w:eastAsia="ＭＳ ゴシック"/>
          <w:b/>
          <w:color w:val="16324F"/>
          <w:sz w:val="26"/>
        </w:rPr>
        <w:t>§G　限界レジスタ(不利な事実の等格開示)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・in-sample/look-ahead: 全PFは2026-06の財務・価格で選定し過去へ当てた自己検証。将来の市場超過の証明ではない。生リターン(1年で三桁%)はAI相場ピーク×後知恵選定の人工物であり、本文はリスク調整後・多期間・in-sample枠を前面に置く。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・テーマ集中: AI・半導体テーマに約40%・電気機器7社。意図的な賭けとしてHHIで開示。テーマ崩壊時は市場に劣後しうる。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・守の循環株: 名村造船は高ROE・割安でGreenblatt順位により守に入ったが造船は市況循環で持続的な堀は薄い(現在の堀偏差値45)。durable-moat純化の立場では差替余地があり、限界として明記する。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・証拠は開示ベース: 半導体・AIの実需はセグメント開示で確認したが現場の実態までは測れない。取材(第Ⅳ章)で補完する。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・単元未満株の前提: 大型優良は株価が高く、単元未満株(金額指定)の取扱いがない証券会社では本配分をそのまま再現できない。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・価格データ在庫: 時価総額データは大型中心の約139社。価格ランク可能な品質企業が大型に偏る。</w:t>
      </w:r>
    </w:p>
    <w:p>
      <w:pPr>
        <w:keepNext/>
        <w:spacing w:before="280" w:after="120"/>
      </w:pPr>
      <w:r>
        <w:rPr>
          <w:rFonts w:ascii="Times New Roman" w:hAnsi="Times New Roman" w:eastAsia="ＭＳ ゴシック"/>
          <w:b/>
          <w:color w:val="16324F"/>
          <w:sz w:val="26"/>
        </w:rPr>
        <w:t>§H　再現手順</w:t>
      </w:r>
    </w:p>
    <w:p>
      <w:pPr>
        <w:spacing w:after="60" w:line="300" w:lineRule="auto"/>
        <w:jc w:val="both"/>
      </w:pPr>
      <w:r>
        <w:rPr>
          <w:rFonts w:ascii="Times New Roman" w:hAnsi="Times New Roman" w:eastAsia="ＭＳ 明朝"/>
          <w:b w:val="0"/>
          <w:sz w:val="21"/>
        </w:rPr>
        <w:t>すべて .venv/bin/python(3.12, python-docx 1.2)で実行。正典データ→図→本編(2パス)→本補遺の順。</w:t>
      </w:r>
    </w:p>
    <w:p>
      <w:pPr>
        <w:spacing w:after="120" w:line="300" w:lineRule="auto"/>
        <w:jc w:val="both"/>
      </w:pPr>
      <w:r>
        <w:rPr>
          <w:rFonts w:ascii="Times New Roman" w:hAnsi="Times New Roman" w:eastAsia="Consolas"/>
          <w:b w:val="0"/>
          <w:sz w:val="19"/>
        </w:rPr>
        <w:t>1. 提出PF・多期間: scripts/... build_portfolio_v7.py → work/pure_buffett_benchmark/portfolio_v7.json</w:t>
        <w:br/>
        <w:t>2. 比較・有意性: build_report_data_v7.py → control_comparison_v7.json / significance_v7.json</w:t>
        <w:br/>
        <w:t>3. 守ファネル: build_funnel_v7.py → funnel_exclusion_v7.json</w:t>
        <w:br/>
        <w:t>4. 役割寄与: (multiperiodハーネス) → role_contribution_v7.json</w:t>
        <w:br/>
        <w:t>5. 20社データ: build_data_real_v7.py → data_real_v7.json</w:t>
        <w:br/>
        <w:t>6. 図: build_figs_v7.py / build_fig_cum_v7.py / build_figs_v9.py(全枝ファネル4点) → assets/*.png、全枝ファネル正典: build_funnel_v9.py → funnel_branches_v9.json</w:t>
        <w:br/>
        <w:t>7. 本編(2パス): build_contest_v9.py → soffice pdf → make_tocmap.py → build_contest_v9.py --tocmap tocmap_v9.json → soffice pdf</w:t>
        <w:br/>
        <w:t>8. 本補遺: build_appendix_v9.py → soffice pdf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