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Yu Gothic" w:cs="Yu Gothic" w:eastAsia="Yu Gothic" w:hAnsi="Yu Gothic"/>
          <w:b w:val="false"/>
          <w:bCs w:val="false"/>
          <w:i w:val="false"/>
          <w:iCs w:val="false"/>
          <w:color w:val="5B6373"/>
          <w:sz w:val="17"/>
          <w:szCs w:val="17"/>
        </w:rPr>
        <w:t xml:space="preserve">STOCKリーグ提出版</w:t>
      </w:r>
    </w:p>
    <w:p>
      <w:pPr>
        <w:spacing w:after="60"/>
      </w:pPr>
      <w:r>
        <w:rPr>
          <w:rFonts w:ascii="Yu Gothic" w:cs="Yu Gothic" w:eastAsia="Yu Gothic" w:hAnsi="Yu Gothic"/>
          <w:b/>
          <w:bCs/>
          <w:i w:val="false"/>
          <w:iCs w:val="false"/>
          <w:color w:val="1B1F27"/>
          <w:sz w:val="34"/>
          <w:szCs w:val="34"/>
        </w:rPr>
        <w:t xml:space="preserve">スクリーニング簡易レポート（自作式版）</w:t>
      </w:r>
    </w:p>
    <w:p>
      <w:pPr>
        <w:spacing w:after="150"/>
      </w:pPr>
      <w:r>
        <w:rPr>
          <w:rFonts w:ascii="Yu Gothic" w:cs="Yu Gothic" w:eastAsia="Yu Gothic" w:hAnsi="Yu Gothic"/>
          <w:b w:val="false"/>
          <w:bCs w:val="false"/>
          <w:i w:val="false"/>
          <w:iCs w:val="false"/>
          <w:color w:val="2F4B8F"/>
          <w:sz w:val="21"/>
          <w:szCs w:val="21"/>
        </w:rPr>
        <w:t xml:space="preserve">4軸（Moat／Change／Future／Price）を自前で定義し等重み25%で合成</w:t>
      </w:r>
    </w:p>
    <w:p>
      <w:pPr>
        <w:pBdr>
          <w:bottom w:val="single" w:color="C9CEDA" w:sz="6" w:space="8"/>
        </w:pBdr>
        <w:spacing w:after="320"/>
      </w:pPr>
      <w:r>
        <w:rPr>
          <w:rFonts w:ascii="Yu Gothic" w:cs="Yu Gothic" w:eastAsia="Yu Gothic" w:hAnsi="Yu Gothic"/>
          <w:b w:val="false"/>
          <w:bCs w:val="false"/>
          <w:i w:val="false"/>
          <w:iCs w:val="false"/>
          <w:color w:val="5B6373"/>
          <w:sz w:val="16"/>
          <w:szCs w:val="16"/>
        </w:rPr>
        <w:t xml:space="preserve">2026-08-17　／　株価・時価総額 2026-08-17時点／財務 各社最新の有価証券報告書／流動性・業種 2026-06-01時点</w:t>
      </w:r>
    </w:p>
    <w:p>
      <w:pPr>
        <w:pStyle w:val="Heading1"/>
        <w:pBdr>
          <w:bottom w:val="single" w:color="2F4B8F" w:sz="8" w:space="6"/>
        </w:pBdr>
        <w:spacing w:after="170" w:before="380"/>
      </w:pPr>
      <w:r>
        <w:rPr>
          <w:rFonts w:ascii="Yu Gothic" w:cs="Yu Gothic" w:eastAsia="Yu Gothic" w:hAnsi="Yu Gothic"/>
          <w:b/>
          <w:bCs/>
          <w:i w:val="false"/>
          <w:iCs w:val="false"/>
          <w:color w:val="2F4B8F"/>
          <w:sz w:val="26"/>
          <w:szCs w:val="26"/>
        </w:rPr>
        <w:t xml:space="preserve">0. 本書について</w:t>
      </w:r>
    </w:p>
    <w:p>
      <w:pPr>
        <w:spacing w:after="130" w:before="0" w:line="300"/>
        <w:jc w:val="left"/>
      </w:pPr>
      <w:r>
        <w:rPr>
          <w:rFonts w:ascii="Yu Gothic" w:cs="Yu Gothic" w:eastAsia="Yu Gothic" w:hAnsi="Yu Gothic"/>
          <w:b w:val="false"/>
          <w:bCs w:val="false"/>
          <w:i w:val="false"/>
          <w:iCs w:val="false"/>
          <w:color w:val="1B1F27"/>
          <w:sz w:val="18"/>
          <w:szCs w:val="18"/>
        </w:rPr>
        <w:t xml:space="preserve">本書は、上場企業3,649社の中から20社を選ぶまでの手順・根拠・結果を、本書だけで追えるようにまとめたものである。使ったデータ、各評価軸の式、選抜のルール、選ばれた20社とその理由、方式が機能するかの検証、そして限界までを収めている。</w:t>
      </w:r>
    </w:p>
    <w:p>
      <w:pPr>
        <w:spacing w:after="60" w:before="150"/>
      </w:pPr>
      <w:r>
        <w:rPr>
          <w:rFonts w:ascii="Yu Gothic" w:cs="Yu Gothic" w:eastAsia="Yu Gothic" w:hAnsi="Yu Gothic"/>
          <w:b/>
          <w:bCs/>
          <w:i w:val="false"/>
          <w:iCs w:val="false"/>
          <w:color w:val="5B6373"/>
          <w:sz w:val="16"/>
          <w:szCs w:val="16"/>
        </w:rPr>
        <w:t xml:space="preserve">本書の構成</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00"/>
        <w:gridCol w:w="9106"/>
      </w:tblGrid>
      <w:tr>
        <w:trPr>
          <w:tblHeader/>
        </w:trPr>
        <w:tc>
          <w:tcPr>
            <w:tcW w:type="dxa" w:w="11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章</w:t>
            </w:r>
          </w:p>
        </w:tc>
        <w:tc>
          <w:tcPr>
            <w:tcW w:type="dxa" w:w="9106"/>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内容</w:t>
            </w:r>
          </w:p>
        </w:tc>
      </w:tr>
      <w:tr>
        <w:tc>
          <w:tcPr>
            <w:tcW w:type="dxa" w:w="11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1</w:t>
            </w:r>
          </w:p>
        </w:tc>
        <w:tc>
          <w:tcPr>
            <w:tcW w:type="dxa" w:w="91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結論 — 何を選んだか、要約数値</w:t>
            </w:r>
          </w:p>
        </w:tc>
      </w:tr>
      <w:tr>
        <w:tc>
          <w:tcPr>
            <w:tcW w:type="dxa" w:w="11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2</w:t>
            </w:r>
          </w:p>
        </w:tc>
        <w:tc>
          <w:tcPr>
            <w:tcW w:type="dxa" w:w="91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用語の説明</w:t>
            </w:r>
          </w:p>
        </w:tc>
      </w:tr>
      <w:tr>
        <w:tc>
          <w:tcPr>
            <w:tcW w:type="dxa" w:w="11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3</w:t>
            </w:r>
          </w:p>
        </w:tc>
        <w:tc>
          <w:tcPr>
            <w:tcW w:type="dxa" w:w="91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使ったデータと取得率</w:t>
            </w:r>
          </w:p>
        </w:tc>
      </w:tr>
      <w:tr>
        <w:tc>
          <w:tcPr>
            <w:tcW w:type="dxa" w:w="11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4</w:t>
            </w:r>
          </w:p>
        </w:tc>
        <w:tc>
          <w:tcPr>
            <w:tcW w:type="dxa" w:w="91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Step 0 — 母集団の絞り込み（除外条件とファネル）</w:t>
            </w:r>
          </w:p>
        </w:tc>
      </w:tr>
      <w:tr>
        <w:tc>
          <w:tcPr>
            <w:tcW w:type="dxa" w:w="11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5</w:t>
            </w:r>
          </w:p>
        </w:tc>
        <w:tc>
          <w:tcPr>
            <w:tcW w:type="dxa" w:w="91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Step 1 — 4つの評価軸の定義（式と成分）</w:t>
            </w:r>
          </w:p>
        </w:tc>
      </w:tr>
      <w:tr>
        <w:tc>
          <w:tcPr>
            <w:tcW w:type="dxa" w:w="11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6</w:t>
            </w:r>
          </w:p>
        </w:tc>
        <w:tc>
          <w:tcPr>
            <w:tcW w:type="dxa" w:w="91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Step 2 — 合成、名目配点と実効寄与、軸の重複</w:t>
            </w:r>
          </w:p>
        </w:tc>
      </w:tr>
      <w:tr>
        <w:tc>
          <w:tcPr>
            <w:tcW w:type="dxa" w:w="11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7</w:t>
            </w:r>
          </w:p>
        </w:tc>
        <w:tc>
          <w:tcPr>
            <w:tcW w:type="dxa" w:w="91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Step 3・4 — 選抜ルールと保有比率の決め方</w:t>
            </w:r>
          </w:p>
        </w:tc>
      </w:tr>
      <w:tr>
        <w:tc>
          <w:tcPr>
            <w:tcW w:type="dxa" w:w="11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8</w:t>
            </w:r>
          </w:p>
        </w:tc>
        <w:tc>
          <w:tcPr>
            <w:tcW w:type="dxa" w:w="91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選定した20社（軸スコア・選定理由・財務指標）</w:t>
            </w:r>
          </w:p>
        </w:tc>
      </w:tr>
      <w:tr>
        <w:tc>
          <w:tcPr>
            <w:tcW w:type="dxa" w:w="11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9</w:t>
            </w:r>
          </w:p>
        </w:tc>
        <w:tc>
          <w:tcPr>
            <w:tcW w:type="dxa" w:w="91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ポートフォリオ構成（株数・投資額・比率）</w:t>
            </w:r>
          </w:p>
        </w:tc>
      </w:tr>
      <w:tr>
        <w:tc>
          <w:tcPr>
            <w:tcW w:type="dxa" w:w="11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10</w:t>
            </w:r>
          </w:p>
        </w:tc>
        <w:tc>
          <w:tcPr>
            <w:tcW w:type="dxa" w:w="91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構成の特徴（業種・市場・規模・バリュエーション）</w:t>
            </w:r>
          </w:p>
        </w:tc>
      </w:tr>
      <w:tr>
        <w:tc>
          <w:tcPr>
            <w:tcW w:type="dxa" w:w="11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11</w:t>
            </w:r>
          </w:p>
        </w:tc>
        <w:tc>
          <w:tcPr>
            <w:tcW w:type="dxa" w:w="91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この方式は機能するか（前向きリターンによる自己検証）</w:t>
            </w:r>
          </w:p>
        </w:tc>
      </w:tr>
      <w:tr>
        <w:tc>
          <w:tcPr>
            <w:tcW w:type="dxa" w:w="11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12</w:t>
            </w:r>
          </w:p>
        </w:tc>
        <w:tc>
          <w:tcPr>
            <w:tcW w:type="dxa" w:w="91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他方式との比較</w:t>
            </w:r>
          </w:p>
        </w:tc>
      </w:tr>
      <w:tr>
        <w:tc>
          <w:tcPr>
            <w:tcW w:type="dxa" w:w="11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13</w:t>
            </w:r>
          </w:p>
        </w:tc>
        <w:tc>
          <w:tcPr>
            <w:tcW w:type="dxa" w:w="91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限界と注意点</w:t>
            </w:r>
          </w:p>
        </w:tc>
      </w:tr>
      <w:tr>
        <w:tc>
          <w:tcPr>
            <w:tcW w:type="dxa" w:w="11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14</w:t>
            </w:r>
          </w:p>
        </w:tc>
        <w:tc>
          <w:tcPr>
            <w:tcW w:type="dxa" w:w="91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再現手順</w:t>
            </w:r>
          </w:p>
        </w:tc>
      </w:tr>
    </w:tbl>
    <w:p>
      <w:pPr>
        <w:spacing w:after="150" w:before="110" w:line="285"/>
      </w:pPr>
      <w:r>
        <w:rPr>
          <w:rFonts w:ascii="Yu Gothic" w:cs="Yu Gothic" w:eastAsia="Yu Gothic" w:hAnsi="Yu Gothic"/>
          <w:b w:val="false"/>
          <w:bCs w:val="false"/>
          <w:i w:val="false"/>
          <w:iCs w:val="false"/>
          <w:color w:val="5B6373"/>
          <w:sz w:val="16"/>
          <w:szCs w:val="16"/>
        </w:rPr>
        <w:t xml:space="preserve">数値はすべて第14章のコードから生成されており、同じコードを実行すれば本書の表がそのまま再現できる。</w:t>
      </w:r>
    </w:p>
    <w:p>
      <w:pPr>
        <w:pStyle w:val="Heading1"/>
        <w:pBdr>
          <w:bottom w:val="single" w:color="2F4B8F" w:sz="8" w:space="6"/>
        </w:pBdr>
        <w:spacing w:after="170" w:before="380"/>
      </w:pPr>
      <w:r>
        <w:rPr>
          <w:rFonts w:ascii="Yu Gothic" w:cs="Yu Gothic" w:eastAsia="Yu Gothic" w:hAnsi="Yu Gothic"/>
          <w:b/>
          <w:bCs/>
          <w:i w:val="false"/>
          <w:iCs w:val="false"/>
          <w:color w:val="2F4B8F"/>
          <w:sz w:val="26"/>
          <w:szCs w:val="26"/>
        </w:rPr>
        <w:t xml:space="preserve">1. 結論</w:t>
      </w:r>
    </w:p>
    <w:p>
      <w:pPr>
        <w:spacing w:after="130" w:before="0" w:line="300"/>
        <w:jc w:val="left"/>
      </w:pPr>
      <w:r>
        <w:rPr>
          <w:rFonts w:ascii="Yu Gothic" w:cs="Yu Gothic" w:eastAsia="Yu Gothic" w:hAnsi="Yu Gothic"/>
          <w:b w:val="false"/>
          <w:bCs w:val="false"/>
          <w:i w:val="false"/>
          <w:iCs w:val="false"/>
          <w:color w:val="1B1F27"/>
          <w:sz w:val="18"/>
          <w:szCs w:val="18"/>
        </w:rPr>
        <w:t xml:space="preserve">全上場3,649社から投資可能な1,931社を母集団とし、4つの軸（Moat・Change・Future・Price）を各0〜100点の順位点にして25%ずつ合計、同一業種2社までの制約をかけて20社を選んだ。11業種に分散している。</w:t>
      </w:r>
    </w:p>
    <w:p>
      <w:pPr>
        <w:spacing w:after="130" w:before="0" w:line="300"/>
        <w:jc w:val="left"/>
      </w:pPr>
      <w:r>
        <w:rPr>
          <w:rFonts w:ascii="Yu Gothic" w:cs="Yu Gothic" w:eastAsia="Yu Gothic" w:hAnsi="Yu Gothic"/>
          <w:b w:val="false"/>
          <w:bCs w:val="false"/>
          <w:i w:val="false"/>
          <w:iCs w:val="false"/>
          <w:color w:val="1B1F27"/>
          <w:sz w:val="18"/>
          <w:szCs w:val="18"/>
        </w:rPr>
        <w:t xml:space="preserve">選んだ20社はPER中央値8.3倍・PBR中央値0.79倍・時価総額中央値171億円。投資枠500万円に対し4,988,650円を配分し、余剰現金は11,350円。</w:t>
      </w:r>
    </w:p>
    <w:p>
      <w:pPr>
        <w:spacing w:after="130" w:before="0" w:line="300"/>
        <w:jc w:val="left"/>
      </w:pPr>
      <w:r>
        <w:rPr>
          <w:rFonts w:ascii="Yu Gothic" w:cs="Yu Gothic" w:eastAsia="Yu Gothic" w:hAnsi="Yu Gothic"/>
          <w:b w:val="false"/>
          <w:bCs w:val="false"/>
          <w:i w:val="false"/>
          <w:iCs w:val="false"/>
          <w:color w:val="1B1F27"/>
          <w:sz w:val="18"/>
          <w:szCs w:val="18"/>
        </w:rPr>
        <w:t xml:space="preserve">評価軸の指標の選び方と重みは我々が決めている。その判断が結果をどう左右するかは第6章（実効寄与・軸の重複）と第11章（重みの感度）に示す。</w:t>
      </w:r>
    </w:p>
    <w:p>
      <w:pPr>
        <w:spacing w:after="60" w:before="150"/>
      </w:pPr>
      <w:r>
        <w:rPr>
          <w:rFonts w:ascii="Yu Gothic" w:cs="Yu Gothic" w:eastAsia="Yu Gothic" w:hAnsi="Yu Gothic"/>
          <w:b/>
          <w:bCs/>
          <w:i w:val="false"/>
          <w:iCs w:val="false"/>
          <w:color w:val="5B6373"/>
          <w:sz w:val="16"/>
          <w:szCs w:val="16"/>
        </w:rPr>
        <w:t xml:space="preserve">要約数値</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4906"/>
      </w:tblGrid>
      <w:tr>
        <w:trPr>
          <w:tblHeader/>
        </w:trPr>
        <w:tc>
          <w:tcPr>
            <w:tcW w:type="dxa" w:w="34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項目</w:t>
            </w:r>
          </w:p>
        </w:tc>
        <w:tc>
          <w:tcPr>
            <w:tcW w:type="dxa" w:w="19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値</w:t>
            </w:r>
          </w:p>
        </w:tc>
        <w:tc>
          <w:tcPr>
            <w:tcW w:type="dxa" w:w="4906"/>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意味</w:t>
            </w:r>
          </w:p>
        </w:tc>
      </w:tr>
      <w:tr>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母集団（Step 0通過）</w:t>
            </w:r>
          </w:p>
        </w:tc>
        <w:tc>
          <w:tcPr>
            <w:tcW w:type="dxa" w:w="19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1,931社</w:t>
            </w:r>
          </w:p>
        </w:tc>
        <w:tc>
          <w:tcPr>
            <w:tcW w:type="dxa" w:w="49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採点の対象になった会社</w:t>
            </w:r>
          </w:p>
        </w:tc>
      </w:tr>
      <w:tr>
        <w:tc>
          <w:tcPr>
            <w:tcW w:type="dxa" w:w="3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選定</w:t>
            </w:r>
          </w:p>
        </w:tc>
        <w:tc>
          <w:tcPr>
            <w:tcW w:type="dxa" w:w="19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20社</w:t>
            </w:r>
          </w:p>
        </w:tc>
        <w:tc>
          <w:tcPr>
            <w:tcW w:type="dxa" w:w="49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11業種に分散</w:t>
            </w:r>
          </w:p>
        </w:tc>
      </w:tr>
      <w:tr>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PER 中央値</w:t>
            </w:r>
          </w:p>
        </w:tc>
        <w:tc>
          <w:tcPr>
            <w:tcW w:type="dxa" w:w="19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8.3倍</w:t>
            </w:r>
          </w:p>
        </w:tc>
        <w:tc>
          <w:tcPr>
            <w:tcW w:type="dxa" w:w="49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母集団は16.2倍</w:t>
            </w:r>
          </w:p>
        </w:tc>
      </w:tr>
      <w:tr>
        <w:tc>
          <w:tcPr>
            <w:tcW w:type="dxa" w:w="3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PBR 中央値</w:t>
            </w:r>
          </w:p>
        </w:tc>
        <w:tc>
          <w:tcPr>
            <w:tcW w:type="dxa" w:w="19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0.79倍</w:t>
            </w:r>
          </w:p>
        </w:tc>
        <w:tc>
          <w:tcPr>
            <w:tcW w:type="dxa" w:w="49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母集団は1.33倍</w:t>
            </w:r>
          </w:p>
        </w:tc>
      </w:tr>
      <w:tr>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時価総額 中央値</w:t>
            </w:r>
          </w:p>
        </w:tc>
        <w:tc>
          <w:tcPr>
            <w:tcW w:type="dxa" w:w="19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171億円</w:t>
            </w:r>
          </w:p>
        </w:tc>
        <w:tc>
          <w:tcPr>
            <w:tcW w:type="dxa" w:w="49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小型〜中型が中心</w:t>
            </w:r>
          </w:p>
        </w:tc>
      </w:tr>
      <w:tr>
        <w:tc>
          <w:tcPr>
            <w:tcW w:type="dxa" w:w="3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投資額</w:t>
            </w:r>
          </w:p>
        </w:tc>
        <w:tc>
          <w:tcPr>
            <w:tcW w:type="dxa" w:w="19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4,988,650円</w:t>
            </w:r>
          </w:p>
        </w:tc>
        <w:tc>
          <w:tcPr>
            <w:tcW w:type="dxa" w:w="49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余剰現金 11,350円</w:t>
            </w:r>
          </w:p>
        </w:tc>
      </w:tr>
      <w:tr>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総合点の順位相関（FY2024）</w:t>
            </w:r>
          </w:p>
        </w:tc>
        <w:tc>
          <w:tcPr>
            <w:tcW w:type="dxa" w:w="19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+0.092</w:t>
            </w:r>
          </w:p>
        </w:tc>
        <w:tc>
          <w:tcPr>
            <w:tcW w:type="dxa" w:w="49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その後1年のリターン順位との一致度</w:t>
            </w:r>
          </w:p>
        </w:tc>
      </w:tr>
    </w:tbl>
    <w:p>
      <w:pPr>
        <w:pStyle w:val="Heading1"/>
        <w:pBdr>
          <w:bottom w:val="single" w:color="2F4B8F" w:sz="8" w:space="6"/>
        </w:pBdr>
        <w:spacing w:after="170" w:before="380"/>
      </w:pPr>
      <w:r>
        <w:rPr>
          <w:rFonts w:ascii="Yu Gothic" w:cs="Yu Gothic" w:eastAsia="Yu Gothic" w:hAnsi="Yu Gothic"/>
          <w:b/>
          <w:bCs/>
          <w:i w:val="false"/>
          <w:iCs w:val="false"/>
          <w:color w:val="2F4B8F"/>
          <w:sz w:val="26"/>
          <w:szCs w:val="26"/>
        </w:rPr>
        <w:t xml:space="preserve">2. 用語の説明</w:t>
      </w:r>
    </w:p>
    <w:p>
      <w:pPr>
        <w:spacing w:after="130" w:before="0" w:line="300"/>
        <w:jc w:val="left"/>
      </w:pPr>
      <w:r>
        <w:rPr>
          <w:rFonts w:ascii="Yu Gothic" w:cs="Yu Gothic" w:eastAsia="Yu Gothic" w:hAnsi="Yu Gothic"/>
          <w:b w:val="false"/>
          <w:bCs w:val="false"/>
          <w:i w:val="false"/>
          <w:iCs w:val="false"/>
          <w:color w:val="1B1F27"/>
          <w:sz w:val="18"/>
          <w:szCs w:val="18"/>
        </w:rPr>
        <w:t xml:space="preserve">本書に出てくる指標を、はじめて読む人向けに定義する。</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00"/>
        <w:gridCol w:w="7806"/>
      </w:tblGrid>
      <w:tr>
        <w:trPr>
          <w:tblHeader/>
        </w:trPr>
        <w:tc>
          <w:tcPr>
            <w:tcW w:type="dxa" w:w="24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用語</w:t>
            </w:r>
          </w:p>
        </w:tc>
        <w:tc>
          <w:tcPr>
            <w:tcW w:type="dxa" w:w="7806"/>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定義</w:t>
            </w:r>
          </w:p>
        </w:tc>
      </w:tr>
      <w:tr>
        <w:tc>
          <w:tcPr>
            <w:tcW w:type="dxa" w:w="2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順位点（0〜100）</w:t>
            </w:r>
          </w:p>
        </w:tc>
        <w:tc>
          <w:tcPr>
            <w:tcW w:type="dxa" w:w="78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母集団の中で何番目かを0〜100に直した値。50なら中位。金額や倍率をそのまま足すと単位が違って比べられないため、順位に直してから平均する。</w:t>
            </w:r>
          </w:p>
        </w:tc>
      </w:tr>
      <w:tr>
        <w:tc>
          <w:tcPr>
            <w:tcW w:type="dxa" w:w="2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PER</w:t>
            </w:r>
          </w:p>
        </w:tc>
        <w:tc>
          <w:tcPr>
            <w:tcW w:type="dxa" w:w="78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株価収益率。時価総額 ÷ 当期純利益。低いほど利益に対して株価が安い。</w:t>
            </w:r>
          </w:p>
        </w:tc>
      </w:tr>
      <w:tr>
        <w:tc>
          <w:tcPr>
            <w:tcW w:type="dxa" w:w="2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PBR</w:t>
            </w:r>
          </w:p>
        </w:tc>
        <w:tc>
          <w:tcPr>
            <w:tcW w:type="dxa" w:w="78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株価純資産倍率。時価総額 ÷ 自己資本。1倍割れは会社の解散価値を下回る評価。</w:t>
            </w:r>
          </w:p>
        </w:tc>
      </w:tr>
      <w:tr>
        <w:tc>
          <w:tcPr>
            <w:tcW w:type="dxa" w:w="2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ROE</w:t>
            </w:r>
          </w:p>
        </w:tc>
        <w:tc>
          <w:tcPr>
            <w:tcW w:type="dxa" w:w="78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自己資本利益率。当期純利益 ÷ 自己資本。株主の出したお金でどれだけ稼いだか。</w:t>
            </w:r>
          </w:p>
        </w:tc>
      </w:tr>
      <w:tr>
        <w:tc>
          <w:tcPr>
            <w:tcW w:type="dxa" w:w="2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営業CF率</w:t>
            </w:r>
          </w:p>
        </w:tc>
        <w:tc>
          <w:tcPr>
            <w:tcW w:type="dxa" w:w="78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営業キャッシュフロー ÷ 売上高。利益が実際の現金として入ってきているか。</w:t>
            </w:r>
          </w:p>
        </w:tc>
      </w:tr>
      <w:tr>
        <w:tc>
          <w:tcPr>
            <w:tcW w:type="dxa" w:w="2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時価総額</w:t>
            </w:r>
          </w:p>
        </w:tc>
        <w:tc>
          <w:tcPr>
            <w:tcW w:type="dxa" w:w="78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発行済株式数 × 株価。会社を丸ごと買うのに必要な金額。</w:t>
            </w:r>
          </w:p>
        </w:tc>
      </w:tr>
      <w:tr>
        <w:tc>
          <w:tcPr>
            <w:tcW w:type="dxa" w:w="2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企業価値（EV）</w:t>
            </w:r>
          </w:p>
        </w:tc>
        <w:tc>
          <w:tcPr>
            <w:tcW w:type="dxa" w:w="78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時価総額 + 有利子負債 − 現預金。借金と手元現金を調整した買収価格。</w:t>
            </w:r>
          </w:p>
        </w:tc>
      </w:tr>
      <w:tr>
        <w:tc>
          <w:tcPr>
            <w:tcW w:type="dxa" w:w="2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順位相関（rank IC）</w:t>
            </w:r>
          </w:p>
        </w:tc>
        <w:tc>
          <w:tcPr>
            <w:tcW w:type="dxa" w:w="78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スコアの順位と、その後のリターンの順位がどれだけ一致したか。＋1で完全一致、0で無関係。株式のスクリーニングでは0.05以上あれば実用的とされる。</w:t>
            </w:r>
          </w:p>
        </w:tc>
      </w:tr>
      <w:tr>
        <w:tc>
          <w:tcPr>
            <w:tcW w:type="dxa" w:w="2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十分位スプレッド</w:t>
            </w:r>
          </w:p>
        </w:tc>
        <w:tc>
          <w:tcPr>
            <w:tcW w:type="dxa" w:w="78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母集団をスコアで10等分し、上位10%の平均リターンから下位10%の平均リターンを引いた差。大きいほど選別が効いている。</w:t>
            </w:r>
          </w:p>
        </w:tc>
      </w:tr>
      <w:tr>
        <w:tc>
          <w:tcPr>
            <w:tcW w:type="dxa" w:w="2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実効寄与</w:t>
            </w:r>
          </w:p>
        </w:tc>
        <w:tc>
          <w:tcPr>
            <w:tcW w:type="dxa" w:w="78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「25%ずつ配点した」としても、実際に総合点の差を生んでいる割合は等しくならない。各軸が合成点のばらつきをどれだけ説明しているかを測ったもの。合計100%。</w:t>
            </w:r>
          </w:p>
        </w:tc>
      </w:tr>
      <w:tr>
        <w:tc>
          <w:tcPr>
            <w:tcW w:type="dxa" w:w="2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ブートストラップ95%区間</w:t>
            </w:r>
          </w:p>
        </w:tc>
        <w:tc>
          <w:tcPr>
            <w:tcW w:type="dxa" w:w="78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20社を重複ありで選び直す試行を2,000回繰り返し、平均リターンが収まる範囲を示したもの。20社という少なさの不確かさを表す。</w:t>
            </w:r>
          </w:p>
        </w:tc>
      </w:tr>
    </w:tbl>
    <w:p>
      <w:pPr>
        <w:pageBreakBefore/>
      </w:pPr>
    </w:p>
    <w:p>
      <w:pPr>
        <w:pStyle w:val="Heading1"/>
        <w:pBdr>
          <w:bottom w:val="single" w:color="2F4B8F" w:sz="8" w:space="6"/>
        </w:pBdr>
        <w:spacing w:after="170" w:before="380"/>
      </w:pPr>
      <w:r>
        <w:rPr>
          <w:rFonts w:ascii="Yu Gothic" w:cs="Yu Gothic" w:eastAsia="Yu Gothic" w:hAnsi="Yu Gothic"/>
          <w:b/>
          <w:bCs/>
          <w:i w:val="false"/>
          <w:iCs w:val="false"/>
          <w:color w:val="2F4B8F"/>
          <w:sz w:val="26"/>
          <w:szCs w:val="26"/>
        </w:rPr>
        <w:t xml:space="preserve">3. 使ったデータ</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606"/>
      </w:tblGrid>
      <w:tr>
        <w:trPr>
          <w:tblHeader/>
        </w:trPr>
        <w:tc>
          <w:tcPr>
            <w:tcW w:type="dxa" w:w="22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項目</w:t>
            </w:r>
          </w:p>
        </w:tc>
        <w:tc>
          <w:tcPr>
            <w:tcW w:type="dxa" w:w="34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出所</w:t>
            </w:r>
          </w:p>
        </w:tc>
        <w:tc>
          <w:tcPr>
            <w:tcW w:type="dxa" w:w="4606"/>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時点・備考</w:t>
            </w:r>
          </w:p>
        </w:tc>
      </w:tr>
      <w:tr>
        <w:tc>
          <w:tcPr>
            <w:tcW w:type="dxa" w:w="2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財務データ</w:t>
            </w:r>
          </w:p>
        </w:tc>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EDINET 有価証券報告書（XBRL）</w:t>
            </w:r>
          </w:p>
        </w:tc>
        <w:tc>
          <w:tcPr>
            <w:tcW w:type="dxa" w:w="46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各社の最新提出分。10,712件をローカル保有</w:t>
            </w:r>
          </w:p>
        </w:tc>
      </w:tr>
      <w:tr>
        <w:tc>
          <w:tcPr>
            <w:tcW w:type="dxa" w:w="22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株価・売買代金</w:t>
            </w:r>
          </w:p>
        </w:tc>
        <w:tc>
          <w:tcPr>
            <w:tcW w:type="dxa" w:w="3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Yahoo Finance 日次株価</w:t>
            </w:r>
          </w:p>
        </w:tc>
        <w:tc>
          <w:tcPr>
            <w:tcW w:type="dxa" w:w="46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2021-06〜2026-06。流動性は直近60営業日の平均売買代金</w:t>
            </w:r>
          </w:p>
        </w:tc>
      </w:tr>
      <w:tr>
        <w:tc>
          <w:tcPr>
            <w:tcW w:type="dxa" w:w="2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発行済株式数</w:t>
            </w:r>
          </w:p>
        </w:tc>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Yahoo Finance 実勢値（取得できない分はXBRL）</w:t>
            </w:r>
          </w:p>
        </w:tc>
        <w:tc>
          <w:tcPr>
            <w:tcW w:type="dxa" w:w="46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2026-08-17時点。1,948/1,963社</w:t>
            </w:r>
          </w:p>
        </w:tc>
      </w:tr>
      <w:tr>
        <w:tc>
          <w:tcPr>
            <w:tcW w:type="dxa" w:w="22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業種・市場区分</w:t>
            </w:r>
          </w:p>
        </w:tc>
        <w:tc>
          <w:tcPr>
            <w:tcW w:type="dxa" w:w="3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JPX 上場銘柄一覧（33業種分類）</w:t>
            </w:r>
          </w:p>
        </w:tc>
        <w:tc>
          <w:tcPr>
            <w:tcW w:type="dxa" w:w="46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2026-06-01時点</w:t>
            </w:r>
          </w:p>
        </w:tc>
      </w:tr>
      <w:tr>
        <w:tc>
          <w:tcPr>
            <w:tcW w:type="dxa" w:w="2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検証用の前向きリターン</w:t>
            </w:r>
          </w:p>
        </w:tc>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上記株価から算出</w:t>
            </w:r>
          </w:p>
        </w:tc>
        <w:tc>
          <w:tcPr>
            <w:tcW w:type="dxa" w:w="46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有報の提出日を基準に、その後の株価のみを使用</w:t>
            </w:r>
          </w:p>
        </w:tc>
      </w:tr>
    </w:tbl>
    <w:p>
      <w:pPr>
        <w:spacing w:after="60" w:before="150"/>
      </w:pPr>
      <w:r>
        <w:rPr>
          <w:rFonts w:ascii="Yu Gothic" w:cs="Yu Gothic" w:eastAsia="Yu Gothic" w:hAnsi="Yu Gothic"/>
          <w:b/>
          <w:bCs/>
          <w:i w:val="false"/>
          <w:iCs w:val="false"/>
          <w:color w:val="5B6373"/>
          <w:sz w:val="16"/>
          <w:szCs w:val="16"/>
        </w:rPr>
        <w:t xml:space="preserve">主要項目のカバレッジ（母集団に対する取得率）</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4906"/>
      </w:tblGrid>
      <w:tr>
        <w:trPr>
          <w:tblHeader/>
        </w:trPr>
        <w:tc>
          <w:tcPr>
            <w:tcW w:type="dxa" w:w="36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項目</w:t>
            </w:r>
          </w:p>
        </w:tc>
        <w:tc>
          <w:tcPr>
            <w:tcW w:type="dxa" w:w="17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取得率</w:t>
            </w:r>
          </w:p>
        </w:tc>
        <w:tc>
          <w:tcPr>
            <w:tcW w:type="dxa" w:w="4906"/>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備考</w:t>
            </w:r>
          </w:p>
        </w:tc>
      </w:tr>
      <w:tr>
        <w:tc>
          <w:tcPr>
            <w:tcW w:type="dxa" w:w="36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売上総利益 ÷ 総資産</w:t>
            </w:r>
          </w:p>
        </w:tc>
        <w:tc>
          <w:tcPr>
            <w:tcW w:type="dxa" w:w="17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90.5%</w:t>
            </w:r>
          </w:p>
        </w:tc>
        <w:tc>
          <w:tcPr>
            <w:tcW w:type="dxa" w:w="49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
            </w:r>
          </w:p>
        </w:tc>
      </w:tr>
      <w:tr>
        <w:tc>
          <w:tcPr>
            <w:tcW w:type="dxa" w:w="36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営業利益 ÷ 売上高</w:t>
            </w:r>
          </w:p>
        </w:tc>
        <w:tc>
          <w:tcPr>
            <w:tcW w:type="dxa" w:w="17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96.8%</w:t>
            </w:r>
          </w:p>
        </w:tc>
        <w:tc>
          <w:tcPr>
            <w:tcW w:type="dxa" w:w="49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
            </w:r>
          </w:p>
        </w:tc>
      </w:tr>
      <w:tr>
        <w:tc>
          <w:tcPr>
            <w:tcW w:type="dxa" w:w="36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当期純利益 ÷ 総資産</w:t>
            </w:r>
          </w:p>
        </w:tc>
        <w:tc>
          <w:tcPr>
            <w:tcW w:type="dxa" w:w="17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100.0%</w:t>
            </w:r>
          </w:p>
        </w:tc>
        <w:tc>
          <w:tcPr>
            <w:tcW w:type="dxa" w:w="49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
            </w:r>
          </w:p>
        </w:tc>
      </w:tr>
      <w:tr>
        <w:tc>
          <w:tcPr>
            <w:tcW w:type="dxa" w:w="36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営業CF ÷ 売上高</w:t>
            </w:r>
          </w:p>
        </w:tc>
        <w:tc>
          <w:tcPr>
            <w:tcW w:type="dxa" w:w="17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96.6%</w:t>
            </w:r>
          </w:p>
        </w:tc>
        <w:tc>
          <w:tcPr>
            <w:tcW w:type="dxa" w:w="49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
            </w:r>
          </w:p>
        </w:tc>
      </w:tr>
      <w:tr>
        <w:tc>
          <w:tcPr>
            <w:tcW w:type="dxa" w:w="36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自己資本比率</w:t>
            </w:r>
          </w:p>
        </w:tc>
        <w:tc>
          <w:tcPr>
            <w:tcW w:type="dxa" w:w="17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100.0%</w:t>
            </w:r>
          </w:p>
        </w:tc>
        <w:tc>
          <w:tcPr>
            <w:tcW w:type="dxa" w:w="49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
            </w:r>
          </w:p>
        </w:tc>
      </w:tr>
      <w:tr>
        <w:tc>
          <w:tcPr>
            <w:tcW w:type="dxa" w:w="36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Piotroski F-Score</w:t>
            </w:r>
          </w:p>
        </w:tc>
        <w:tc>
          <w:tcPr>
            <w:tcW w:type="dxa" w:w="17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100.0%</w:t>
            </w:r>
          </w:p>
        </w:tc>
        <w:tc>
          <w:tcPr>
            <w:tcW w:type="dxa" w:w="49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
            </w:r>
          </w:p>
        </w:tc>
      </w:tr>
      <w:tr>
        <w:tc>
          <w:tcPr>
            <w:tcW w:type="dxa" w:w="36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ROAの前期差</w:t>
            </w:r>
          </w:p>
        </w:tc>
        <w:tc>
          <w:tcPr>
            <w:tcW w:type="dxa" w:w="17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99.9%</w:t>
            </w:r>
          </w:p>
        </w:tc>
        <w:tc>
          <w:tcPr>
            <w:tcW w:type="dxa" w:w="49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
            </w:r>
          </w:p>
        </w:tc>
      </w:tr>
      <w:tr>
        <w:tc>
          <w:tcPr>
            <w:tcW w:type="dxa" w:w="36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売上総利益率の前期差</w:t>
            </w:r>
          </w:p>
        </w:tc>
        <w:tc>
          <w:tcPr>
            <w:tcW w:type="dxa" w:w="17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90.5%</w:t>
            </w:r>
          </w:p>
        </w:tc>
        <w:tc>
          <w:tcPr>
            <w:tcW w:type="dxa" w:w="49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
            </w:r>
          </w:p>
        </w:tc>
      </w:tr>
      <w:tr>
        <w:tc>
          <w:tcPr>
            <w:tcW w:type="dxa" w:w="36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増収率</w:t>
            </w:r>
          </w:p>
        </w:tc>
        <w:tc>
          <w:tcPr>
            <w:tcW w:type="dxa" w:w="17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96.7%</w:t>
            </w:r>
          </w:p>
        </w:tc>
        <w:tc>
          <w:tcPr>
            <w:tcW w:type="dxa" w:w="49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
            </w:r>
          </w:p>
        </w:tc>
      </w:tr>
      <w:tr>
        <w:tc>
          <w:tcPr>
            <w:tcW w:type="dxa" w:w="36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当期純利益 ÷ 時価総額</w:t>
            </w:r>
          </w:p>
        </w:tc>
        <w:tc>
          <w:tcPr>
            <w:tcW w:type="dxa" w:w="17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100.0%</w:t>
            </w:r>
          </w:p>
        </w:tc>
        <w:tc>
          <w:tcPr>
            <w:tcW w:type="dxa" w:w="49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
            </w:r>
          </w:p>
        </w:tc>
      </w:tr>
      <w:tr>
        <w:tc>
          <w:tcPr>
            <w:tcW w:type="dxa" w:w="36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自己資本 ÷ 時価総額</w:t>
            </w:r>
          </w:p>
        </w:tc>
        <w:tc>
          <w:tcPr>
            <w:tcW w:type="dxa" w:w="17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100.0%</w:t>
            </w:r>
          </w:p>
        </w:tc>
        <w:tc>
          <w:tcPr>
            <w:tcW w:type="dxa" w:w="49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
            </w:r>
          </w:p>
        </w:tc>
      </w:tr>
    </w:tbl>
    <w:p>
      <w:pPr>
        <w:spacing w:after="150" w:before="110" w:line="285"/>
      </w:pPr>
      <w:r>
        <w:rPr>
          <w:rFonts w:ascii="Yu Gothic" w:cs="Yu Gothic" w:eastAsia="Yu Gothic" w:hAnsi="Yu Gothic"/>
          <w:b w:val="false"/>
          <w:bCs w:val="false"/>
          <w:i w:val="false"/>
          <w:iCs w:val="false"/>
          <w:color w:val="5B6373"/>
          <w:sz w:val="16"/>
          <w:szCs w:val="16"/>
        </w:rPr>
        <w:t xml:space="preserve">各指標は母集団内の順位に直してから平均する。欠測はゼロで埋めず、平均から外す。ゼロ埋めは「母集団の平均並み」を意味してしまい、データを持たない会社を中位に置いてしまうため。</w:t>
      </w:r>
    </w:p>
    <w:p>
      <w:pPr>
        <w:spacing w:after="150" w:before="110" w:line="285"/>
      </w:pPr>
      <w:r>
        <w:rPr>
          <w:rFonts w:ascii="Yu Gothic" w:cs="Yu Gothic" w:eastAsia="Yu Gothic" w:hAnsi="Yu Gothic"/>
          <w:b w:val="false"/>
          <w:bCs w:val="false"/>
          <w:i w:val="false"/>
          <w:iCs w:val="false"/>
          <w:color w:val="5B6373"/>
          <w:sz w:val="16"/>
          <w:szCs w:val="16"/>
        </w:rPr>
        <w:t xml:space="preserve">時価総額は実勢の発行済株式数×実勢株価で計算している。有価証券報告書の提出後に株式分割した会社は、報告書の株式数のままだと時価総額が分割比率のぶん過小になり「異常に割安」と誤判定される。母集団で216社の提出後分割を検出し、実勢値に置き換えた。</w:t>
      </w:r>
    </w:p>
    <w:p>
      <w:pPr>
        <w:pStyle w:val="Heading1"/>
        <w:pBdr>
          <w:bottom w:val="single" w:color="2F4B8F" w:sz="8" w:space="6"/>
        </w:pBdr>
        <w:spacing w:after="170" w:before="380"/>
      </w:pPr>
      <w:r>
        <w:rPr>
          <w:rFonts w:ascii="Yu Gothic" w:cs="Yu Gothic" w:eastAsia="Yu Gothic" w:hAnsi="Yu Gothic"/>
          <w:b/>
          <w:bCs/>
          <w:i w:val="false"/>
          <w:iCs w:val="false"/>
          <w:color w:val="2F4B8F"/>
          <w:sz w:val="26"/>
          <w:szCs w:val="26"/>
        </w:rPr>
        <w:t xml:space="preserve">4. Step 0 — 母集団の絞り込み</w:t>
      </w:r>
    </w:p>
    <w:p>
      <w:pPr>
        <w:spacing w:after="130" w:before="0" w:line="300"/>
        <w:jc w:val="left"/>
      </w:pPr>
      <w:r>
        <w:rPr>
          <w:rFonts w:ascii="Yu Gothic" w:cs="Yu Gothic" w:eastAsia="Yu Gothic" w:hAnsi="Yu Gothic"/>
          <w:b w:val="false"/>
          <w:bCs w:val="false"/>
          <w:i w:val="false"/>
          <w:iCs w:val="false"/>
          <w:color w:val="1B1F27"/>
          <w:sz w:val="18"/>
          <w:szCs w:val="18"/>
        </w:rPr>
        <w:t xml:space="preserve">「儲かる会社を選ぶ」段ではなく、「そもそも買えない会社・データが信用できない会社を落とす」段である。</w:t>
      </w:r>
    </w:p>
    <w:p>
      <w:pPr>
        <w:spacing w:after="60" w:before="150"/>
      </w:pPr>
      <w:r>
        <w:rPr>
          <w:rFonts w:ascii="Yu Gothic" w:cs="Yu Gothic" w:eastAsia="Yu Gothic" w:hAnsi="Yu Gothic"/>
          <w:b/>
          <w:bCs/>
          <w:i w:val="false"/>
          <w:iCs w:val="false"/>
          <w:color w:val="5B6373"/>
          <w:sz w:val="16"/>
          <w:szCs w:val="16"/>
        </w:rPr>
        <w:t xml:space="preserve">除外条件</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50"/>
        <w:gridCol w:w="4650"/>
        <w:gridCol w:w="4906"/>
      </w:tblGrid>
      <w:tr>
        <w:trPr>
          <w:tblHeader/>
        </w:trPr>
        <w:tc>
          <w:tcPr>
            <w:tcW w:type="dxa" w:w="65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w:t>
            </w:r>
          </w:p>
        </w:tc>
        <w:tc>
          <w:tcPr>
            <w:tcW w:type="dxa" w:w="465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条件</w:t>
            </w:r>
          </w:p>
        </w:tc>
        <w:tc>
          <w:tcPr>
            <w:tcW w:type="dxa" w:w="4906"/>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趣旨</w:t>
            </w:r>
          </w:p>
        </w:tc>
      </w:tr>
      <w:tr>
        <w:tc>
          <w:tcPr>
            <w:tcW w:type="dxa" w:w="65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w:t>
            </w:r>
          </w:p>
        </w:tc>
        <w:tc>
          <w:tcPr>
            <w:tcW w:type="dxa" w:w="465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株価データが存在する</w:t>
            </w:r>
          </w:p>
        </w:tc>
        <w:tc>
          <w:tcPr>
            <w:tcW w:type="dxa" w:w="49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売買できない銘柄を落とす</w:t>
            </w:r>
          </w:p>
        </w:tc>
      </w:tr>
      <w:tr>
        <w:tc>
          <w:tcPr>
            <w:tcW w:type="dxa" w:w="65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w:t>
            </w:r>
          </w:p>
        </w:tc>
        <w:tc>
          <w:tcPr>
            <w:tcW w:type="dxa" w:w="465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直近60営業日の平均売買代金が2,000万円以上／日</w:t>
            </w:r>
          </w:p>
        </w:tc>
        <w:tc>
          <w:tcPr>
            <w:tcW w:type="dxa" w:w="49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買えても売れない銘柄を落とす</w:t>
            </w:r>
          </w:p>
        </w:tc>
      </w:tr>
      <w:tr>
        <w:tc>
          <w:tcPr>
            <w:tcW w:type="dxa" w:w="65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3</w:t>
            </w:r>
          </w:p>
        </w:tc>
        <w:tc>
          <w:tcPr>
            <w:tcW w:type="dxa" w:w="465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総資産・自己資本・当期純利益などが揃っている</w:t>
            </w:r>
          </w:p>
        </w:tc>
        <w:tc>
          <w:tcPr>
            <w:tcW w:type="dxa" w:w="49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そもそも採点できない銘柄を落とす</w:t>
            </w:r>
          </w:p>
        </w:tc>
      </w:tr>
      <w:tr>
        <w:tc>
          <w:tcPr>
            <w:tcW w:type="dxa" w:w="65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4</w:t>
            </w:r>
          </w:p>
        </w:tc>
        <w:tc>
          <w:tcPr>
            <w:tcW w:type="dxa" w:w="465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3期連続の営業赤字でない</w:t>
            </w:r>
          </w:p>
        </w:tc>
        <w:tc>
          <w:tcPr>
            <w:tcW w:type="dxa" w:w="49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本業が続かない会社を落とす</w:t>
            </w:r>
          </w:p>
        </w:tc>
      </w:tr>
      <w:tr>
        <w:tc>
          <w:tcPr>
            <w:tcW w:type="dxa" w:w="65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5</w:t>
            </w:r>
          </w:p>
        </w:tc>
        <w:tc>
          <w:tcPr>
            <w:tcW w:type="dxa" w:w="465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3期連続の経常赤字・純損失でない</w:t>
            </w:r>
          </w:p>
        </w:tc>
        <w:tc>
          <w:tcPr>
            <w:tcW w:type="dxa" w:w="49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同上</w:t>
            </w:r>
          </w:p>
        </w:tc>
      </w:tr>
      <w:tr>
        <w:tc>
          <w:tcPr>
            <w:tcW w:type="dxa" w:w="65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6</w:t>
            </w:r>
          </w:p>
        </w:tc>
        <w:tc>
          <w:tcPr>
            <w:tcW w:type="dxa" w:w="465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3期連続の営業キャッシュフローがマイナスでない</w:t>
            </w:r>
          </w:p>
        </w:tc>
        <w:tc>
          <w:tcPr>
            <w:tcW w:type="dxa" w:w="49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現金が出ていく一方の会社を落とす</w:t>
            </w:r>
          </w:p>
        </w:tc>
      </w:tr>
      <w:tr>
        <w:tc>
          <w:tcPr>
            <w:tcW w:type="dxa" w:w="65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7</w:t>
            </w:r>
          </w:p>
        </w:tc>
        <w:tc>
          <w:tcPr>
            <w:tcW w:type="dxa" w:w="465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自己資本比率が極端に低くない／負債が過大でない</w:t>
            </w:r>
          </w:p>
        </w:tc>
        <w:tc>
          <w:tcPr>
            <w:tcW w:type="dxa" w:w="49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財務が持たない会社を落とす</w:t>
            </w:r>
          </w:p>
        </w:tc>
      </w:tr>
      <w:tr>
        <w:tc>
          <w:tcPr>
            <w:tcW w:type="dxa" w:w="65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8</w:t>
            </w:r>
          </w:p>
        </w:tc>
        <w:tc>
          <w:tcPr>
            <w:tcW w:type="dxa" w:w="465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ROEが−50〜+80%、営業利益率が−50〜+100%の範囲</w:t>
            </w:r>
          </w:p>
        </w:tc>
        <w:tc>
          <w:tcPr>
            <w:tcW w:type="dxa" w:w="49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異常値・特殊要因を落とす</w:t>
            </w:r>
          </w:p>
        </w:tc>
      </w:tr>
      <w:tr>
        <w:tc>
          <w:tcPr>
            <w:tcW w:type="dxa" w:w="65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9</w:t>
            </w:r>
          </w:p>
        </w:tc>
        <w:tc>
          <w:tcPr>
            <w:tcW w:type="dxa" w:w="465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PERが0超120以下、PBRが0超20以下</w:t>
            </w:r>
          </w:p>
        </w:tc>
        <w:tc>
          <w:tcPr>
            <w:tcW w:type="dxa" w:w="49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採点の前提が壊れる極端な評価を落とす</w:t>
            </w:r>
          </w:p>
        </w:tc>
      </w:tr>
    </w:tbl>
    <w:p>
      <w:pPr>
        <w:spacing w:after="60" w:before="150"/>
      </w:pPr>
      <w:r>
        <w:rPr>
          <w:rFonts w:ascii="Yu Gothic" w:cs="Yu Gothic" w:eastAsia="Yu Gothic" w:hAnsi="Yu Gothic"/>
          <w:b/>
          <w:bCs/>
          <w:i w:val="false"/>
          <w:iCs w:val="false"/>
          <w:color w:val="5B6373"/>
          <w:sz w:val="16"/>
          <w:szCs w:val="16"/>
        </w:rPr>
        <w:t xml:space="preserve">ファネル（実測）</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700"/>
        <w:gridCol w:w="1300"/>
        <w:gridCol w:w="5206"/>
      </w:tblGrid>
      <w:tr>
        <w:trPr>
          <w:tblHeader/>
        </w:trPr>
        <w:tc>
          <w:tcPr>
            <w:tcW w:type="dxa" w:w="37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段階</w:t>
            </w:r>
          </w:p>
        </w:tc>
        <w:tc>
          <w:tcPr>
            <w:tcW w:type="dxa" w:w="13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社数</w:t>
            </w:r>
          </w:p>
        </w:tc>
        <w:tc>
          <w:tcPr>
            <w:tcW w:type="dxa" w:w="5206"/>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内容</w:t>
            </w:r>
          </w:p>
        </w:tc>
      </w:tr>
      <w:tr>
        <w:tc>
          <w:tcPr>
            <w:tcW w:type="dxa" w:w="37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全上場企業</w:t>
            </w:r>
          </w:p>
        </w:tc>
        <w:tc>
          <w:tcPr>
            <w:tcW w:type="dxa" w:w="13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3,649社</w:t>
            </w:r>
          </w:p>
        </w:tc>
        <w:tc>
          <w:tcPr>
            <w:tcW w:type="dxa" w:w="52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JPX上場全銘柄</w:t>
            </w:r>
          </w:p>
        </w:tc>
      </w:tr>
      <w:tr>
        <w:tc>
          <w:tcPr>
            <w:tcW w:type="dxa" w:w="37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条件1〜8を通過</w:t>
            </w:r>
          </w:p>
        </w:tc>
        <w:tc>
          <w:tcPr>
            <w:tcW w:type="dxa" w:w="13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1,963社</w:t>
            </w:r>
          </w:p>
        </w:tc>
        <w:tc>
          <w:tcPr>
            <w:tcW w:type="dxa" w:w="52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流動性・連続赤字・データ完備など</w:t>
            </w:r>
          </w:p>
        </w:tc>
      </w:tr>
      <w:tr>
        <w:tc>
          <w:tcPr>
            <w:tcW w:type="dxa" w:w="37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条件9（バリュエーション範囲）で除外</w:t>
            </w:r>
          </w:p>
        </w:tc>
        <w:tc>
          <w:tcPr>
            <w:tcW w:type="dxa" w:w="13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−32社</w:t>
            </w:r>
          </w:p>
        </w:tc>
        <w:tc>
          <w:tcPr>
            <w:tcW w:type="dxa" w:w="52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PER・PBRが極端な銘柄</w:t>
            </w:r>
          </w:p>
        </w:tc>
      </w:tr>
      <w:tr>
        <w:tc>
          <w:tcPr>
            <w:tcW w:type="dxa" w:w="37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Step 0 通過（母集団）</w:t>
            </w:r>
          </w:p>
        </w:tc>
        <w:tc>
          <w:tcPr>
            <w:tcW w:type="dxa" w:w="13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1,931社</w:t>
            </w:r>
          </w:p>
        </w:tc>
        <w:tc>
          <w:tcPr>
            <w:tcW w:type="dxa" w:w="52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4軸で採点する対象</w:t>
            </w:r>
          </w:p>
        </w:tc>
      </w:tr>
      <w:tr>
        <w:tc>
          <w:tcPr>
            <w:tcW w:type="dxa" w:w="37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1単元が上限8%を超え購入不可</w:t>
            </w:r>
          </w:p>
        </w:tc>
        <w:tc>
          <w:tcPr>
            <w:tcW w:type="dxa" w:w="13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−334社</w:t>
            </w:r>
          </w:p>
        </w:tc>
        <w:tc>
          <w:tcPr>
            <w:tcW w:type="dxa" w:w="52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1単元40万円超。投資枠500万円では買えないため次点を繰り上げる</w:t>
            </w:r>
          </w:p>
        </w:tc>
      </w:tr>
      <w:tr>
        <w:tc>
          <w:tcPr>
            <w:tcW w:type="dxa" w:w="37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Step 3 選抜</w:t>
            </w:r>
          </w:p>
        </w:tc>
        <w:tc>
          <w:tcPr>
            <w:tcW w:type="dxa" w:w="13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20社</w:t>
            </w:r>
          </w:p>
        </w:tc>
        <w:tc>
          <w:tcPr>
            <w:tcW w:type="dxa" w:w="52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総合点の上位・同一業種は2社まで</w:t>
            </w:r>
          </w:p>
        </w:tc>
      </w:tr>
    </w:tbl>
    <w:p>
      <w:pPr>
        <w:spacing w:after="150" w:before="110" w:line="285"/>
      </w:pPr>
      <w:r>
        <w:rPr>
          <w:rFonts w:ascii="Yu Gothic" w:cs="Yu Gothic" w:eastAsia="Yu Gothic" w:hAnsi="Yu Gothic"/>
          <w:b w:val="false"/>
          <w:bCs w:val="false"/>
          <w:i w:val="false"/>
          <w:iCs w:val="false"/>
          <w:color w:val="5B6373"/>
          <w:sz w:val="16"/>
          <w:szCs w:val="16"/>
        </w:rPr>
        <w:t xml:space="preserve">条件9は、これまで株価指標を取得できていた売買代金上位300社にしか適用されていなかった。全社の時価総額を用意したため、今回から全社に適用している。</w:t>
      </w:r>
    </w:p>
    <w:p>
      <w:pPr>
        <w:spacing w:after="150" w:before="110" w:line="285"/>
      </w:pPr>
      <w:r>
        <w:rPr>
          <w:rFonts w:ascii="Yu Gothic" w:cs="Yu Gothic" w:eastAsia="Yu Gothic" w:hAnsi="Yu Gothic"/>
          <w:b w:val="false"/>
          <w:bCs w:val="false"/>
          <w:i w:val="false"/>
          <w:iCs w:val="false"/>
          <w:color w:val="5B6373"/>
          <w:sz w:val="16"/>
          <w:szCs w:val="16"/>
        </w:rPr>
        <w:t xml:space="preserve">投資枠500万円・1銘柄上限8%の制約から、1単元が40万円を超える334社は構造的に選ばれない。これは資金量に依存する制約である。</w:t>
      </w:r>
    </w:p>
    <w:p>
      <w:pPr>
        <w:pageBreakBefore/>
      </w:pPr>
    </w:p>
    <w:p>
      <w:pPr>
        <w:pStyle w:val="Heading1"/>
        <w:pBdr>
          <w:bottom w:val="single" w:color="2F4B8F" w:sz="8" w:space="6"/>
        </w:pBdr>
        <w:spacing w:after="170" w:before="380"/>
      </w:pPr>
      <w:r>
        <w:rPr>
          <w:rFonts w:ascii="Yu Gothic" w:cs="Yu Gothic" w:eastAsia="Yu Gothic" w:hAnsi="Yu Gothic"/>
          <w:b/>
          <w:bCs/>
          <w:i w:val="false"/>
          <w:iCs w:val="false"/>
          <w:color w:val="2F4B8F"/>
          <w:sz w:val="26"/>
          <w:szCs w:val="26"/>
        </w:rPr>
        <w:t xml:space="preserve">5. Step 1 — 4つの評価軸</w:t>
      </w:r>
    </w:p>
    <w:p>
      <w:pPr>
        <w:spacing w:after="130" w:before="0" w:line="300"/>
        <w:jc w:val="left"/>
      </w:pPr>
      <w:r>
        <w:rPr>
          <w:rFonts w:ascii="Yu Gothic" w:cs="Yu Gothic" w:eastAsia="Yu Gothic" w:hAnsi="Yu Gothic"/>
          <w:b w:val="false"/>
          <w:bCs w:val="false"/>
          <w:i w:val="false"/>
          <w:iCs w:val="false"/>
          <w:color w:val="1B1F27"/>
          <w:sz w:val="18"/>
          <w:szCs w:val="18"/>
        </w:rPr>
        <w:t xml:space="preserve">4つの軸は、それぞれ複数の指標を母集団内の順位（0〜100点）に直して平均したもの。どの指標を選びどう重み付けるかは我々が決めている。その判断が結果をどう左右するかは第6章と第11章に示す。</w:t>
      </w:r>
    </w:p>
    <w:p>
      <w:pPr>
        <w:pStyle w:val="Heading2"/>
        <w:spacing w:after="115" w:before="280"/>
      </w:pPr>
      <w:r>
        <w:rPr>
          <w:rFonts w:ascii="Yu Gothic" w:cs="Yu Gothic" w:eastAsia="Yu Gothic" w:hAnsi="Yu Gothic"/>
          <w:b/>
          <w:bCs/>
          <w:i w:val="false"/>
          <w:iCs w:val="false"/>
          <w:color w:val="1B1F27"/>
          <w:sz w:val="21"/>
          <w:szCs w:val="21"/>
        </w:rPr>
        <w:t xml:space="preserve">① Moat — いま強いか</w:t>
      </w:r>
    </w:p>
    <w:p>
      <w:pPr>
        <w:spacing w:after="130" w:before="0" w:line="300"/>
        <w:jc w:val="left"/>
      </w:pPr>
      <w:r>
        <w:rPr>
          <w:rFonts w:ascii="Yu Gothic" w:cs="Yu Gothic" w:eastAsia="Yu Gothic" w:hAnsi="Yu Gothic"/>
          <w:b w:val="false"/>
          <w:bCs w:val="false"/>
          <w:i w:val="false"/>
          <w:iCs w:val="false"/>
          <w:color w:val="1B1F27"/>
          <w:sz w:val="18"/>
          <w:szCs w:val="18"/>
        </w:rPr>
        <w:t xml:space="preserve">利益率・資本効率・現金創出力・財務の厚みという方向から、いま強い会社かを測る。5指標の順位点の平均。</w:t>
      </w:r>
    </w:p>
    <w:p>
      <w:pPr>
        <w:shd w:fill="F2F4F8" w:color="auto" w:val="clear"/>
        <w:spacing w:after="0" w:before="140" w:line="265"/>
        <w:ind w:left="130" w:right="130"/>
      </w:pPr>
      <w:r>
        <w:rPr>
          <w:rFonts w:ascii="SFMono-Regular" w:cs="SFMono-Regular" w:eastAsia="SFMono-Regular" w:hAnsi="SFMono-Regular"/>
          <w:color w:val="1B1F27"/>
          <w:sz w:val="15"/>
          <w:szCs w:val="15"/>
        </w:rPr>
        <w:t xml:space="preserve">Moat = 平均( 順位(GP/A), 順位(営業利益率), 順位(ROA),</w:t>
      </w:r>
    </w:p>
    <w:p>
      <w:pPr>
        <w:shd w:fill="F2F4F8" w:color="auto" w:val="clear"/>
        <w:spacing w:after="160" w:before="0" w:line="265"/>
        <w:ind w:left="130" w:right="130"/>
      </w:pPr>
      <w:r>
        <w:rPr>
          <w:rFonts w:ascii="SFMono-Regular" w:cs="SFMono-Regular" w:eastAsia="SFMono-Regular" w:hAnsi="SFMono-Regular"/>
          <w:color w:val="1B1F27"/>
          <w:sz w:val="15"/>
          <w:szCs w:val="15"/>
        </w:rPr>
        <w:t xml:space="preserve">             順位(営業CF率), 順位(自己資本比率) )</w:t>
      </w:r>
    </w:p>
    <w:p>
      <w:pPr>
        <w:spacing w:after="60" w:before="150"/>
      </w:pPr>
      <w:r>
        <w:rPr>
          <w:rFonts w:ascii="Yu Gothic" w:cs="Yu Gothic" w:eastAsia="Yu Gothic" w:hAnsi="Yu Gothic"/>
          <w:b/>
          <w:bCs/>
          <w:i w:val="false"/>
          <w:iCs w:val="false"/>
          <w:color w:val="5B6373"/>
          <w:sz w:val="16"/>
          <w:szCs w:val="16"/>
        </w:rPr>
        <w:t xml:space="preserve">成分の意味</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700"/>
        <w:gridCol w:w="5200"/>
        <w:gridCol w:w="2306"/>
      </w:tblGrid>
      <w:tr>
        <w:trPr>
          <w:tblHeader/>
        </w:trPr>
        <w:tc>
          <w:tcPr>
            <w:tcW w:type="dxa" w:w="27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成分</w:t>
            </w:r>
          </w:p>
        </w:tc>
        <w:tc>
          <w:tcPr>
            <w:tcW w:type="dxa" w:w="52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定義</w:t>
            </w:r>
          </w:p>
        </w:tc>
        <w:tc>
          <w:tcPr>
            <w:tcW w:type="dxa" w:w="2306"/>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取得率</w:t>
            </w:r>
          </w:p>
        </w:tc>
      </w:tr>
      <w:tr>
        <w:tc>
          <w:tcPr>
            <w:tcW w:type="dxa" w:w="27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GP/A</w:t>
            </w:r>
          </w:p>
        </w:tc>
        <w:tc>
          <w:tcPr>
            <w:tcW w:type="dxa" w:w="5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売上総利益 ÷ 総資産</w:t>
            </w:r>
          </w:p>
        </w:tc>
        <w:tc>
          <w:tcPr>
            <w:tcW w:type="dxa" w:w="23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90.5%</w:t>
            </w:r>
          </w:p>
        </w:tc>
      </w:tr>
      <w:tr>
        <w:tc>
          <w:tcPr>
            <w:tcW w:type="dxa" w:w="27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営業利益率</w:t>
            </w:r>
          </w:p>
        </w:tc>
        <w:tc>
          <w:tcPr>
            <w:tcW w:type="dxa" w:w="52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営業利益 ÷ 売上高</w:t>
            </w:r>
          </w:p>
        </w:tc>
        <w:tc>
          <w:tcPr>
            <w:tcW w:type="dxa" w:w="23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96.8%</w:t>
            </w:r>
          </w:p>
        </w:tc>
      </w:tr>
      <w:tr>
        <w:tc>
          <w:tcPr>
            <w:tcW w:type="dxa" w:w="27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ROA</w:t>
            </w:r>
          </w:p>
        </w:tc>
        <w:tc>
          <w:tcPr>
            <w:tcW w:type="dxa" w:w="5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当期純利益 ÷ 総資産</w:t>
            </w:r>
          </w:p>
        </w:tc>
        <w:tc>
          <w:tcPr>
            <w:tcW w:type="dxa" w:w="23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100.0%</w:t>
            </w:r>
          </w:p>
        </w:tc>
      </w:tr>
      <w:tr>
        <w:tc>
          <w:tcPr>
            <w:tcW w:type="dxa" w:w="27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営業CF率</w:t>
            </w:r>
          </w:p>
        </w:tc>
        <w:tc>
          <w:tcPr>
            <w:tcW w:type="dxa" w:w="52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営業キャッシュフロー ÷ 売上高</w:t>
            </w:r>
          </w:p>
        </w:tc>
        <w:tc>
          <w:tcPr>
            <w:tcW w:type="dxa" w:w="23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96.6%</w:t>
            </w:r>
          </w:p>
        </w:tc>
      </w:tr>
      <w:tr>
        <w:tc>
          <w:tcPr>
            <w:tcW w:type="dxa" w:w="27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自己資本比率</w:t>
            </w:r>
          </w:p>
        </w:tc>
        <w:tc>
          <w:tcPr>
            <w:tcW w:type="dxa" w:w="5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1 − 負債 ÷ 総資産</w:t>
            </w:r>
          </w:p>
        </w:tc>
        <w:tc>
          <w:tcPr>
            <w:tcW w:type="dxa" w:w="23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100.0%</w:t>
            </w:r>
          </w:p>
        </w:tc>
      </w:tr>
    </w:tbl>
    <w:p>
      <w:pPr>
        <w:spacing w:after="150" w:before="110" w:line="285"/>
      </w:pPr>
      <w:r>
        <w:rPr>
          <w:rFonts w:ascii="Yu Gothic" w:cs="Yu Gothic" w:eastAsia="Yu Gothic" w:hAnsi="Yu Gothic"/>
          <w:b w:val="false"/>
          <w:bCs w:val="false"/>
          <w:i w:val="false"/>
          <w:iCs w:val="false"/>
          <w:color w:val="5B6373"/>
          <w:sz w:val="16"/>
          <w:szCs w:val="16"/>
        </w:rPr>
        <w:t xml:space="preserve">従来使っていた研究開発費比率は外した。抽出できていた企業が極端に少なく、ゼロ埋めの結果この成分が営業利益率の二重計上に退化していたため。</w:t>
      </w:r>
    </w:p>
    <w:p>
      <w:pPr>
        <w:pStyle w:val="Heading2"/>
        <w:spacing w:after="115" w:before="280"/>
      </w:pPr>
      <w:r>
        <w:rPr>
          <w:rFonts w:ascii="Yu Gothic" w:cs="Yu Gothic" w:eastAsia="Yu Gothic" w:hAnsi="Yu Gothic"/>
          <w:b/>
          <w:bCs/>
          <w:i w:val="false"/>
          <w:iCs w:val="false"/>
          <w:color w:val="1B1F27"/>
          <w:sz w:val="21"/>
          <w:szCs w:val="21"/>
        </w:rPr>
        <w:t xml:space="preserve">② Change — 良くなっているか</w:t>
      </w:r>
    </w:p>
    <w:p>
      <w:pPr>
        <w:spacing w:after="130" w:before="0" w:line="300"/>
        <w:jc w:val="left"/>
      </w:pPr>
      <w:r>
        <w:rPr>
          <w:rFonts w:ascii="Yu Gothic" w:cs="Yu Gothic" w:eastAsia="Yu Gothic" w:hAnsi="Yu Gothic"/>
          <w:b w:val="false"/>
          <w:bCs w:val="false"/>
          <w:i w:val="false"/>
          <w:iCs w:val="false"/>
          <w:color w:val="1B1F27"/>
          <w:sz w:val="18"/>
          <w:szCs w:val="18"/>
        </w:rPr>
        <w:t xml:space="preserve">去年より良くなっているかを、会計上の改善指標6つで測る。株価倍率を一切含めていないので、Price軸と重複しない。</w:t>
      </w:r>
    </w:p>
    <w:p>
      <w:pPr>
        <w:shd w:fill="F2F4F8" w:color="auto" w:val="clear"/>
        <w:spacing w:after="0" w:before="140" w:line="265"/>
        <w:ind w:left="130" w:right="130"/>
      </w:pPr>
      <w:r>
        <w:rPr>
          <w:rFonts w:ascii="SFMono-Regular" w:cs="SFMono-Regular" w:eastAsia="SFMono-Regular" w:hAnsi="SFMono-Regular"/>
          <w:color w:val="1B1F27"/>
          <w:sz w:val="15"/>
          <w:szCs w:val="15"/>
        </w:rPr>
        <w:t xml:space="preserve">Change = 平均( 順位(Piotroski F-Score), 順位(ΔROA),</w:t>
      </w:r>
    </w:p>
    <w:p>
      <w:pPr>
        <w:shd w:fill="F2F4F8" w:color="auto" w:val="clear"/>
        <w:spacing w:after="0" w:before="0" w:line="265"/>
        <w:ind w:left="130" w:right="130"/>
      </w:pPr>
      <w:r>
        <w:rPr>
          <w:rFonts w:ascii="SFMono-Regular" w:cs="SFMono-Regular" w:eastAsia="SFMono-Regular" w:hAnsi="SFMono-Regular"/>
          <w:color w:val="1B1F27"/>
          <w:sz w:val="15"/>
          <w:szCs w:val="15"/>
        </w:rPr>
        <w:t xml:space="preserve">               順位(Δ売上総利益率), 順位(Δ総資産回転率),</w:t>
      </w:r>
    </w:p>
    <w:p>
      <w:pPr>
        <w:shd w:fill="F2F4F8" w:color="auto" w:val="clear"/>
        <w:spacing w:after="0" w:before="0" w:line="265"/>
        <w:ind w:left="130" w:right="130"/>
      </w:pPr>
      <w:r>
        <w:rPr>
          <w:rFonts w:ascii="SFMono-Regular" w:cs="SFMono-Regular" w:eastAsia="SFMono-Regular" w:hAnsi="SFMono-Regular"/>
          <w:color w:val="1B1F27"/>
          <w:sz w:val="15"/>
          <w:szCs w:val="15"/>
        </w:rPr>
        <w:t xml:space="preserve">               順位(増収率), 順位(営業増益率) )</w:t>
      </w:r>
    </w:p>
    <w:p>
      <w:pPr>
        <w:shd w:fill="F2F4F8" w:color="auto" w:val="clear"/>
        <w:spacing w:after="0" w:before="0" w:line="265"/>
        <w:ind w:left="130" w:right="130"/>
      </w:pPr>
      <w:r>
        <w:rPr>
          <w:rFonts w:ascii="SFMono-Regular" w:cs="SFMono-Regular" w:eastAsia="SFMono-Regular" w:hAnsi="SFMono-Regular"/>
          <w:color w:val="1B1F27"/>
          <w:sz w:val="15"/>
          <w:szCs w:val="15"/>
        </w:rPr>
        <w:t xml:space="preserve"> </w:t>
      </w:r>
    </w:p>
    <w:p>
      <w:pPr>
        <w:shd w:fill="F2F4F8" w:color="auto" w:val="clear"/>
        <w:spacing w:after="160" w:before="0" w:line="265"/>
        <w:ind w:left="130" w:right="130"/>
      </w:pPr>
      <w:r>
        <w:rPr>
          <w:rFonts w:ascii="SFMono-Regular" w:cs="SFMono-Regular" w:eastAsia="SFMono-Regular" w:hAnsi="SFMono-Regular"/>
          <w:color w:val="1B1F27"/>
          <w:sz w:val="15"/>
          <w:szCs w:val="15"/>
        </w:rPr>
        <w:t xml:space="preserve">Δx = 今期の x − 前期の x</w:t>
      </w:r>
    </w:p>
    <w:p>
      <w:pPr>
        <w:spacing w:after="60" w:before="150"/>
      </w:pPr>
      <w:r>
        <w:rPr>
          <w:rFonts w:ascii="Yu Gothic" w:cs="Yu Gothic" w:eastAsia="Yu Gothic" w:hAnsi="Yu Gothic"/>
          <w:b/>
          <w:bCs/>
          <w:i w:val="false"/>
          <w:iCs w:val="false"/>
          <w:color w:val="5B6373"/>
          <w:sz w:val="16"/>
          <w:szCs w:val="16"/>
        </w:rPr>
        <w:t xml:space="preserve">成分の意味</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700"/>
        <w:gridCol w:w="5200"/>
        <w:gridCol w:w="2306"/>
      </w:tblGrid>
      <w:tr>
        <w:trPr>
          <w:tblHeader/>
        </w:trPr>
        <w:tc>
          <w:tcPr>
            <w:tcW w:type="dxa" w:w="27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成分</w:t>
            </w:r>
          </w:p>
        </w:tc>
        <w:tc>
          <w:tcPr>
            <w:tcW w:type="dxa" w:w="52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定義</w:t>
            </w:r>
          </w:p>
        </w:tc>
        <w:tc>
          <w:tcPr>
            <w:tcW w:type="dxa" w:w="2306"/>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取得率</w:t>
            </w:r>
          </w:p>
        </w:tc>
      </w:tr>
      <w:tr>
        <w:tc>
          <w:tcPr>
            <w:tcW w:type="dxa" w:w="27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Piotroski F-Score</w:t>
            </w:r>
          </w:p>
        </w:tc>
        <w:tc>
          <w:tcPr>
            <w:tcW w:type="dxa" w:w="5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改善を測る9項目の合計（0〜9点）</w:t>
            </w:r>
          </w:p>
        </w:tc>
        <w:tc>
          <w:tcPr>
            <w:tcW w:type="dxa" w:w="23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100.0%</w:t>
            </w:r>
          </w:p>
        </w:tc>
      </w:tr>
      <w:tr>
        <w:tc>
          <w:tcPr>
            <w:tcW w:type="dxa" w:w="27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ΔROA</w:t>
            </w:r>
          </w:p>
        </w:tc>
        <w:tc>
          <w:tcPr>
            <w:tcW w:type="dxa" w:w="52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総資産利益率の前期差</w:t>
            </w:r>
          </w:p>
        </w:tc>
        <w:tc>
          <w:tcPr>
            <w:tcW w:type="dxa" w:w="23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99.9%</w:t>
            </w:r>
          </w:p>
        </w:tc>
      </w:tr>
      <w:tr>
        <w:tc>
          <w:tcPr>
            <w:tcW w:type="dxa" w:w="27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Δ売上総利益率</w:t>
            </w:r>
          </w:p>
        </w:tc>
        <w:tc>
          <w:tcPr>
            <w:tcW w:type="dxa" w:w="5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粗利率の前期差</w:t>
            </w:r>
          </w:p>
        </w:tc>
        <w:tc>
          <w:tcPr>
            <w:tcW w:type="dxa" w:w="23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90.5%</w:t>
            </w:r>
          </w:p>
        </w:tc>
      </w:tr>
      <w:tr>
        <w:tc>
          <w:tcPr>
            <w:tcW w:type="dxa" w:w="27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Δ総資産回転率</w:t>
            </w:r>
          </w:p>
        </w:tc>
        <w:tc>
          <w:tcPr>
            <w:tcW w:type="dxa" w:w="52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資産の使い方の効率の前期差</w:t>
            </w:r>
          </w:p>
        </w:tc>
        <w:tc>
          <w:tcPr>
            <w:tcW w:type="dxa" w:w="23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96.7%</w:t>
            </w:r>
          </w:p>
        </w:tc>
      </w:tr>
      <w:tr>
        <w:tc>
          <w:tcPr>
            <w:tcW w:type="dxa" w:w="27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増収率</w:t>
            </w:r>
          </w:p>
        </w:tc>
        <w:tc>
          <w:tcPr>
            <w:tcW w:type="dxa" w:w="5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(売上高 − 前期売上高) ÷ |前期売上高|</w:t>
            </w:r>
          </w:p>
        </w:tc>
        <w:tc>
          <w:tcPr>
            <w:tcW w:type="dxa" w:w="23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96.7%</w:t>
            </w:r>
          </w:p>
        </w:tc>
      </w:tr>
      <w:tr>
        <w:tc>
          <w:tcPr>
            <w:tcW w:type="dxa" w:w="27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営業増益率</w:t>
            </w:r>
          </w:p>
        </w:tc>
        <w:tc>
          <w:tcPr>
            <w:tcW w:type="dxa" w:w="52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(営業利益 − 前期営業利益) ÷ |前期営業利益|</w:t>
            </w:r>
          </w:p>
        </w:tc>
        <w:tc>
          <w:tcPr>
            <w:tcW w:type="dxa" w:w="23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97.4%</w:t>
            </w:r>
          </w:p>
        </w:tc>
      </w:tr>
    </w:tbl>
    <w:p>
      <w:pPr>
        <w:spacing w:after="150" w:before="110" w:line="285"/>
      </w:pPr>
      <w:r>
        <w:rPr>
          <w:rFonts w:ascii="Yu Gothic" w:cs="Yu Gothic" w:eastAsia="Yu Gothic" w:hAnsi="Yu Gothic"/>
          <w:b w:val="false"/>
          <w:bCs w:val="false"/>
          <w:i w:val="false"/>
          <w:iCs w:val="false"/>
          <w:color w:val="5B6373"/>
          <w:sz w:val="16"/>
          <w:szCs w:val="16"/>
        </w:rPr>
        <w:t xml:space="preserve">従来の「変わる堀」の式は重みの70%がPBR・PER・配当利回りで、実質的に割安さを測っていた（Price軸との順位相関 +0.368）。改善そのものを測る指標だけで組み直している。</w:t>
      </w:r>
    </w:p>
    <w:p>
      <w:pPr>
        <w:pStyle w:val="Heading2"/>
        <w:spacing w:after="115" w:before="280"/>
      </w:pPr>
      <w:r>
        <w:rPr>
          <w:rFonts w:ascii="Yu Gothic" w:cs="Yu Gothic" w:eastAsia="Yu Gothic" w:hAnsi="Yu Gothic"/>
          <w:b/>
          <w:bCs/>
          <w:i w:val="false"/>
          <w:iCs w:val="false"/>
          <w:color w:val="1B1F27"/>
          <w:sz w:val="21"/>
          <w:szCs w:val="21"/>
        </w:rPr>
        <w:t xml:space="preserve">③ Future — 未来の恩恵を受けられるか</w:t>
      </w:r>
    </w:p>
    <w:p>
      <w:pPr>
        <w:spacing w:after="130" w:before="0" w:line="300"/>
        <w:jc w:val="left"/>
      </w:pPr>
      <w:r>
        <w:rPr>
          <w:rFonts w:ascii="Yu Gothic" w:cs="Yu Gothic" w:eastAsia="Yu Gothic" w:hAnsi="Yu Gothic"/>
          <w:b w:val="false"/>
          <w:bCs w:val="false"/>
          <w:i w:val="false"/>
          <w:iCs w:val="false"/>
          <w:color w:val="1B1F27"/>
          <w:sz w:val="18"/>
          <w:szCs w:val="18"/>
        </w:rPr>
        <w:t xml:space="preserve">有価証券報告書の本文を、半導体・データセンター・ロボット・クラウド・セキュリティなどのキーワードで照合し、構造変化の恩恵を受けやすいかを測る。</w:t>
      </w:r>
    </w:p>
    <w:p>
      <w:pPr>
        <w:shd w:fill="F2F4F8" w:color="auto" w:val="clear"/>
        <w:spacing w:after="0" w:before="140" w:line="265"/>
        <w:ind w:left="130" w:right="130"/>
      </w:pPr>
      <w:r>
        <w:rPr>
          <w:rFonts w:ascii="SFMono-Regular" w:cs="SFMono-Regular" w:eastAsia="SFMono-Regular" w:hAnsi="SFMono-Regular"/>
          <w:color w:val="1B1F27"/>
          <w:sz w:val="15"/>
          <w:szCs w:val="15"/>
        </w:rPr>
        <w:t xml:space="preserve">Future = 順位( 0.30×AI基盤 + 0.25×無形資産投資 + 0.20×省人化</w:t>
      </w:r>
    </w:p>
    <w:p>
      <w:pPr>
        <w:shd w:fill="F2F4F8" w:color="auto" w:val="clear"/>
        <w:spacing w:after="160" w:before="0" w:line="265"/>
        <w:ind w:left="130" w:right="130"/>
      </w:pPr>
      <w:r>
        <w:rPr>
          <w:rFonts w:ascii="SFMono-Regular" w:cs="SFMono-Regular" w:eastAsia="SFMono-Regular" w:hAnsi="SFMono-Regular"/>
          <w:color w:val="1B1F27"/>
          <w:sz w:val="15"/>
          <w:szCs w:val="15"/>
        </w:rPr>
        <w:t xml:space="preserve">               + 0.15×データ + 0.10×信頼・安全 )</w:t>
      </w:r>
    </w:p>
    <w:p>
      <w:pPr>
        <w:spacing w:after="60" w:before="150"/>
      </w:pPr>
      <w:r>
        <w:rPr>
          <w:rFonts w:ascii="Yu Gothic" w:cs="Yu Gothic" w:eastAsia="Yu Gothic" w:hAnsi="Yu Gothic"/>
          <w:b/>
          <w:bCs/>
          <w:i w:val="false"/>
          <w:iCs w:val="false"/>
          <w:color w:val="5B6373"/>
          <w:sz w:val="16"/>
          <w:szCs w:val="16"/>
        </w:rPr>
        <w:t xml:space="preserve">成分の意味</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700"/>
        <w:gridCol w:w="5200"/>
        <w:gridCol w:w="2306"/>
      </w:tblGrid>
      <w:tr>
        <w:trPr>
          <w:tblHeader/>
        </w:trPr>
        <w:tc>
          <w:tcPr>
            <w:tcW w:type="dxa" w:w="27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成分</w:t>
            </w:r>
          </w:p>
        </w:tc>
        <w:tc>
          <w:tcPr>
            <w:tcW w:type="dxa" w:w="52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定義</w:t>
            </w:r>
          </w:p>
        </w:tc>
        <w:tc>
          <w:tcPr>
            <w:tcW w:type="dxa" w:w="2306"/>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取得率</w:t>
            </w:r>
          </w:p>
        </w:tc>
      </w:tr>
      <w:tr>
        <w:tc>
          <w:tcPr>
            <w:tcW w:type="dxa" w:w="27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AI基盤</w:t>
            </w:r>
          </w:p>
        </w:tc>
        <w:tc>
          <w:tcPr>
            <w:tcW w:type="dxa" w:w="5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半導体・データセンター・電力などの語の出現</w:t>
            </w:r>
          </w:p>
        </w:tc>
        <w:tc>
          <w:tcPr>
            <w:tcW w:type="dxa" w:w="23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全社</w:t>
            </w:r>
          </w:p>
        </w:tc>
      </w:tr>
      <w:tr>
        <w:tc>
          <w:tcPr>
            <w:tcW w:type="dxa" w:w="27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無形資産投資</w:t>
            </w:r>
          </w:p>
        </w:tc>
        <w:tc>
          <w:tcPr>
            <w:tcW w:type="dxa" w:w="52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研究開発費比率</w:t>
            </w:r>
          </w:p>
        </w:tc>
        <w:tc>
          <w:tcPr>
            <w:tcW w:type="dxa" w:w="23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実質未取得</w:t>
            </w:r>
          </w:p>
        </w:tc>
      </w:tr>
      <w:tr>
        <w:tc>
          <w:tcPr>
            <w:tcW w:type="dxa" w:w="27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省人化</w:t>
            </w:r>
          </w:p>
        </w:tc>
        <w:tc>
          <w:tcPr>
            <w:tcW w:type="dxa" w:w="5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ロボット・自動化・センサーなどの語</w:t>
            </w:r>
          </w:p>
        </w:tc>
        <w:tc>
          <w:tcPr>
            <w:tcW w:type="dxa" w:w="23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全社</w:t>
            </w:r>
          </w:p>
        </w:tc>
      </w:tr>
      <w:tr>
        <w:tc>
          <w:tcPr>
            <w:tcW w:type="dxa" w:w="27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データ</w:t>
            </w:r>
          </w:p>
        </w:tc>
        <w:tc>
          <w:tcPr>
            <w:tcW w:type="dxa" w:w="52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クラウド・SaaS・業務データなどの語</w:t>
            </w:r>
          </w:p>
        </w:tc>
        <w:tc>
          <w:tcPr>
            <w:tcW w:type="dxa" w:w="23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全社</w:t>
            </w:r>
          </w:p>
        </w:tc>
      </w:tr>
      <w:tr>
        <w:tc>
          <w:tcPr>
            <w:tcW w:type="dxa" w:w="27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信頼・安全</w:t>
            </w:r>
          </w:p>
        </w:tc>
        <w:tc>
          <w:tcPr>
            <w:tcW w:type="dxa" w:w="5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セキュリティ・監査・品質などの語</w:t>
            </w:r>
          </w:p>
        </w:tc>
        <w:tc>
          <w:tcPr>
            <w:tcW w:type="dxa" w:w="23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全社</w:t>
            </w:r>
          </w:p>
        </w:tc>
      </w:tr>
    </w:tbl>
    <w:p>
      <w:pPr>
        <w:spacing w:after="150" w:before="110" w:line="285"/>
      </w:pPr>
      <w:r>
        <w:rPr>
          <w:rFonts w:ascii="Yu Gothic" w:cs="Yu Gothic" w:eastAsia="Yu Gothic" w:hAnsi="Yu Gothic"/>
          <w:b w:val="false"/>
          <w:bCs w:val="false"/>
          <w:i w:val="false"/>
          <w:iCs w:val="false"/>
          <w:color w:val="5B6373"/>
          <w:sz w:val="16"/>
          <w:szCs w:val="16"/>
        </w:rPr>
        <w:t xml:space="preserve">この軸は33業種の分類だけで99.4%が説明できる。個社の判断ではなく「構造変化の恩恵を受けやすい業種群に属しているか」の判定である。また無形資産投資（重み0.25）は研究開発費がほぼ取得できず実質的に機能していない。</w:t>
      </w:r>
    </w:p>
    <w:p>
      <w:pPr>
        <w:pStyle w:val="Heading2"/>
        <w:spacing w:after="115" w:before="280"/>
      </w:pPr>
      <w:r>
        <w:rPr>
          <w:rFonts w:ascii="Yu Gothic" w:cs="Yu Gothic" w:eastAsia="Yu Gothic" w:hAnsi="Yu Gothic"/>
          <w:b/>
          <w:bCs/>
          <w:i w:val="false"/>
          <w:iCs w:val="false"/>
          <w:color w:val="1B1F27"/>
          <w:sz w:val="21"/>
          <w:szCs w:val="21"/>
        </w:rPr>
        <w:t xml:space="preserve">④ Price — 高すぎないか</w:t>
      </w:r>
    </w:p>
    <w:p>
      <w:pPr>
        <w:spacing w:after="130" w:before="0" w:line="300"/>
        <w:jc w:val="left"/>
      </w:pPr>
      <w:r>
        <w:rPr>
          <w:rFonts w:ascii="Yu Gothic" w:cs="Yu Gothic" w:eastAsia="Yu Gothic" w:hAnsi="Yu Gothic"/>
          <w:b w:val="false"/>
          <w:bCs w:val="false"/>
          <w:i w:val="false"/>
          <w:iCs w:val="false"/>
          <w:color w:val="1B1F27"/>
          <w:sz w:val="18"/>
          <w:szCs w:val="18"/>
        </w:rPr>
        <w:t xml:space="preserve">利益と自己資本の2方向から、株価が高すぎないかを測る。</w:t>
      </w:r>
    </w:p>
    <w:p>
      <w:pPr>
        <w:shd w:fill="F2F4F8" w:color="auto" w:val="clear"/>
        <w:spacing w:after="0" w:before="140" w:line="265"/>
        <w:ind w:left="130" w:right="130"/>
      </w:pPr>
      <w:r>
        <w:rPr>
          <w:rFonts w:ascii="SFMono-Regular" w:cs="SFMono-Regular" w:eastAsia="SFMono-Regular" w:hAnsi="SFMono-Regular"/>
          <w:color w:val="1B1F27"/>
          <w:sz w:val="15"/>
          <w:szCs w:val="15"/>
        </w:rPr>
        <w:t xml:space="preserve">Price = 平均( 順位(益回り), 順位(自己資本倍率) )</w:t>
      </w:r>
    </w:p>
    <w:p>
      <w:pPr>
        <w:shd w:fill="F2F4F8" w:color="auto" w:val="clear"/>
        <w:spacing w:after="0" w:before="0" w:line="265"/>
        <w:ind w:left="130" w:right="130"/>
      </w:pPr>
      <w:r>
        <w:rPr>
          <w:rFonts w:ascii="SFMono-Regular" w:cs="SFMono-Regular" w:eastAsia="SFMono-Regular" w:hAnsi="SFMono-Regular"/>
          <w:color w:val="1B1F27"/>
          <w:sz w:val="15"/>
          <w:szCs w:val="15"/>
        </w:rPr>
        <w:t xml:space="preserve"> </w:t>
      </w:r>
    </w:p>
    <w:p>
      <w:pPr>
        <w:shd w:fill="F2F4F8" w:color="auto" w:val="clear"/>
        <w:spacing w:after="0" w:before="0" w:line="265"/>
        <w:ind w:left="130" w:right="130"/>
      </w:pPr>
      <w:r>
        <w:rPr>
          <w:rFonts w:ascii="SFMono-Regular" w:cs="SFMono-Regular" w:eastAsia="SFMono-Regular" w:hAnsi="SFMono-Regular"/>
          <w:color w:val="1B1F27"/>
          <w:sz w:val="15"/>
          <w:szCs w:val="15"/>
        </w:rPr>
        <w:t xml:space="preserve">益回り       = 当期純利益 ÷ 時価総額</w:t>
      </w:r>
    </w:p>
    <w:p>
      <w:pPr>
        <w:shd w:fill="F2F4F8" w:color="auto" w:val="clear"/>
        <w:spacing w:after="160" w:before="0" w:line="265"/>
        <w:ind w:left="130" w:right="130"/>
      </w:pPr>
      <w:r>
        <w:rPr>
          <w:rFonts w:ascii="SFMono-Regular" w:cs="SFMono-Regular" w:eastAsia="SFMono-Regular" w:hAnsi="SFMono-Regular"/>
          <w:color w:val="1B1F27"/>
          <w:sz w:val="15"/>
          <w:szCs w:val="15"/>
        </w:rPr>
        <w:t xml:space="preserve">自己資本倍率 = 自己資本 ÷ 時価総額（PBRの逆数）</w:t>
      </w:r>
    </w:p>
    <w:p>
      <w:pPr>
        <w:spacing w:after="60" w:before="150"/>
      </w:pPr>
      <w:r>
        <w:rPr>
          <w:rFonts w:ascii="Yu Gothic" w:cs="Yu Gothic" w:eastAsia="Yu Gothic" w:hAnsi="Yu Gothic"/>
          <w:b/>
          <w:bCs/>
          <w:i w:val="false"/>
          <w:iCs w:val="false"/>
          <w:color w:val="5B6373"/>
          <w:sz w:val="16"/>
          <w:szCs w:val="16"/>
        </w:rPr>
        <w:t xml:space="preserve">成分の意味</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700"/>
        <w:gridCol w:w="5200"/>
        <w:gridCol w:w="2306"/>
      </w:tblGrid>
      <w:tr>
        <w:trPr>
          <w:tblHeader/>
        </w:trPr>
        <w:tc>
          <w:tcPr>
            <w:tcW w:type="dxa" w:w="27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成分</w:t>
            </w:r>
          </w:p>
        </w:tc>
        <w:tc>
          <w:tcPr>
            <w:tcW w:type="dxa" w:w="52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定義</w:t>
            </w:r>
          </w:p>
        </w:tc>
        <w:tc>
          <w:tcPr>
            <w:tcW w:type="dxa" w:w="2306"/>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取得率</w:t>
            </w:r>
          </w:p>
        </w:tc>
      </w:tr>
      <w:tr>
        <w:tc>
          <w:tcPr>
            <w:tcW w:type="dxa" w:w="27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益回り</w:t>
            </w:r>
          </w:p>
        </w:tc>
        <w:tc>
          <w:tcPr>
            <w:tcW w:type="dxa" w:w="5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当期純利益 ÷ 時価総額</w:t>
            </w:r>
          </w:p>
        </w:tc>
        <w:tc>
          <w:tcPr>
            <w:tcW w:type="dxa" w:w="23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100.0%</w:t>
            </w:r>
          </w:p>
        </w:tc>
      </w:tr>
      <w:tr>
        <w:tc>
          <w:tcPr>
            <w:tcW w:type="dxa" w:w="27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自己資本倍率</w:t>
            </w:r>
          </w:p>
        </w:tc>
        <w:tc>
          <w:tcPr>
            <w:tcW w:type="dxa" w:w="52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自己資本 ÷ 時価総額</w:t>
            </w:r>
          </w:p>
        </w:tc>
        <w:tc>
          <w:tcPr>
            <w:tcW w:type="dxa" w:w="23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100.0%</w:t>
            </w:r>
          </w:p>
        </w:tc>
      </w:tr>
    </w:tbl>
    <w:p>
      <w:pPr>
        <w:spacing w:after="150" w:before="110" w:line="285"/>
      </w:pPr>
      <w:r>
        <w:rPr>
          <w:rFonts w:ascii="Yu Gothic" w:cs="Yu Gothic" w:eastAsia="Yu Gothic" w:hAnsi="Yu Gothic"/>
          <w:b w:val="false"/>
          <w:bCs w:val="false"/>
          <w:i w:val="false"/>
          <w:iCs w:val="false"/>
          <w:color w:val="5B6373"/>
          <w:sz w:val="16"/>
          <w:szCs w:val="16"/>
        </w:rPr>
        <w:t xml:space="preserve">配当利回りは全社では取得できないため入れていない。</w:t>
      </w:r>
    </w:p>
    <w:p>
      <w:pPr>
        <w:pStyle w:val="Heading1"/>
        <w:pBdr>
          <w:bottom w:val="single" w:color="2F4B8F" w:sz="8" w:space="6"/>
        </w:pBdr>
        <w:spacing w:after="170" w:before="380"/>
      </w:pPr>
      <w:r>
        <w:rPr>
          <w:rFonts w:ascii="Yu Gothic" w:cs="Yu Gothic" w:eastAsia="Yu Gothic" w:hAnsi="Yu Gothic"/>
          <w:b/>
          <w:bCs/>
          <w:i w:val="false"/>
          <w:iCs w:val="false"/>
          <w:color w:val="2F4B8F"/>
          <w:sz w:val="26"/>
          <w:szCs w:val="26"/>
        </w:rPr>
        <w:t xml:space="preserve">6. Step 2 — 合成</w:t>
      </w:r>
    </w:p>
    <w:p>
      <w:pPr>
        <w:shd w:fill="F2F4F8" w:color="auto" w:val="clear"/>
        <w:spacing w:after="0" w:before="140" w:line="265"/>
        <w:ind w:left="130" w:right="130"/>
      </w:pPr>
      <w:r>
        <w:rPr>
          <w:rFonts w:ascii="SFMono-Regular" w:cs="SFMono-Regular" w:eastAsia="SFMono-Regular" w:hAnsi="SFMono-Regular"/>
          <w:color w:val="1B1F27"/>
          <w:sz w:val="15"/>
          <w:szCs w:val="15"/>
        </w:rPr>
        <w:t xml:space="preserve">総合点 = 0.25×Moat + 0.25×Change + 0.25×Future + 0.25×Price</w:t>
      </w:r>
    </w:p>
    <w:p>
      <w:pPr>
        <w:shd w:fill="F2F4F8" w:color="auto" w:val="clear"/>
        <w:spacing w:after="0" w:before="0" w:line="265"/>
        <w:ind w:left="130" w:right="130"/>
      </w:pPr>
      <w:r>
        <w:rPr>
          <w:rFonts w:ascii="SFMono-Regular" w:cs="SFMono-Regular" w:eastAsia="SFMono-Regular" w:hAnsi="SFMono-Regular"/>
          <w:color w:val="1B1F27"/>
          <w:sz w:val="15"/>
          <w:szCs w:val="15"/>
        </w:rPr>
        <w:t xml:space="preserve"> </w:t>
      </w:r>
    </w:p>
    <w:p>
      <w:pPr>
        <w:shd w:fill="F2F4F8" w:color="auto" w:val="clear"/>
        <w:spacing w:after="160" w:before="0" w:line="265"/>
        <w:ind w:left="130" w:right="130"/>
      </w:pPr>
      <w:r>
        <w:rPr>
          <w:rFonts w:ascii="SFMono-Regular" w:cs="SFMono-Regular" w:eastAsia="SFMono-Regular" w:hAnsi="SFMono-Regular"/>
          <w:color w:val="1B1F27"/>
          <w:sz w:val="15"/>
          <w:szCs w:val="15"/>
        </w:rPr>
        <w:t xml:space="preserve">各軸はいずれも0〜100点なので、総合点も0〜100点になる</w:t>
      </w:r>
    </w:p>
    <w:p>
      <w:pPr>
        <w:spacing w:after="130" w:before="0" w:line="300"/>
        <w:jc w:val="left"/>
      </w:pPr>
      <w:r>
        <w:rPr>
          <w:rFonts w:ascii="Yu Gothic" w:cs="Yu Gothic" w:eastAsia="Yu Gothic" w:hAnsi="Yu Gothic"/>
          <w:b w:val="false"/>
          <w:bCs w:val="false"/>
          <w:i w:val="false"/>
          <w:iCs w:val="false"/>
          <w:color w:val="1B1F27"/>
          <w:sz w:val="18"/>
          <w:szCs w:val="18"/>
        </w:rPr>
        <w:t xml:space="preserve">どれか一つの軸に賭けるのではなく、四方向から等しく評価するという考え方に基づく。ただし「等しく配点する」ことと「等しく効く」ことは別である。</w:t>
      </w:r>
    </w:p>
    <w:p>
      <w:pPr>
        <w:spacing w:after="60" w:before="150"/>
      </w:pPr>
      <w:r>
        <w:rPr>
          <w:rFonts w:ascii="Yu Gothic" w:cs="Yu Gothic" w:eastAsia="Yu Gothic" w:hAnsi="Yu Gothic"/>
          <w:b/>
          <w:bCs/>
          <w:i w:val="false"/>
          <w:iCs w:val="false"/>
          <w:color w:val="5B6373"/>
          <w:sz w:val="16"/>
          <w:szCs w:val="16"/>
        </w:rPr>
        <w:t xml:space="preserve">名目の配点と、実際に総合点を動かした割合</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606"/>
        <w:gridCol w:w="1900"/>
        <w:gridCol w:w="1900"/>
        <w:gridCol w:w="1900"/>
        <w:gridCol w:w="1900"/>
      </w:tblGrid>
      <w:tr>
        <w:trPr>
          <w:tblHeader/>
        </w:trPr>
        <w:tc>
          <w:tcPr>
            <w:tcW w:type="dxa" w:w="2606"/>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
            </w:r>
          </w:p>
        </w:tc>
        <w:tc>
          <w:tcPr>
            <w:tcW w:type="dxa" w:w="19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Moat</w:t>
            </w:r>
          </w:p>
        </w:tc>
        <w:tc>
          <w:tcPr>
            <w:tcW w:type="dxa" w:w="19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Change</w:t>
            </w:r>
          </w:p>
        </w:tc>
        <w:tc>
          <w:tcPr>
            <w:tcW w:type="dxa" w:w="19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Future</w:t>
            </w:r>
          </w:p>
        </w:tc>
        <w:tc>
          <w:tcPr>
            <w:tcW w:type="dxa" w:w="19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Price</w:t>
            </w:r>
          </w:p>
        </w:tc>
      </w:tr>
      <w:tr>
        <w:tc>
          <w:tcPr>
            <w:tcW w:type="dxa" w:w="26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名目の配点</w:t>
            </w:r>
          </w:p>
        </w:tc>
        <w:tc>
          <w:tcPr>
            <w:tcW w:type="dxa" w:w="19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25.0%</w:t>
            </w:r>
          </w:p>
        </w:tc>
        <w:tc>
          <w:tcPr>
            <w:tcW w:type="dxa" w:w="19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25.0%</w:t>
            </w:r>
          </w:p>
        </w:tc>
        <w:tc>
          <w:tcPr>
            <w:tcW w:type="dxa" w:w="19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25.0%</w:t>
            </w:r>
          </w:p>
        </w:tc>
        <w:tc>
          <w:tcPr>
            <w:tcW w:type="dxa" w:w="19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25.0%</w:t>
            </w:r>
          </w:p>
        </w:tc>
      </w:tr>
      <w:tr>
        <w:tc>
          <w:tcPr>
            <w:tcW w:type="dxa" w:w="26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実際に総合点を動かした割合</w:t>
            </w:r>
          </w:p>
        </w:tc>
        <w:tc>
          <w:tcPr>
            <w:tcW w:type="dxa" w:w="19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24.0%</w:t>
            </w:r>
          </w:p>
        </w:tc>
        <w:tc>
          <w:tcPr>
            <w:tcW w:type="dxa" w:w="19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21.7%</w:t>
            </w:r>
          </w:p>
        </w:tc>
        <w:tc>
          <w:tcPr>
            <w:tcW w:type="dxa" w:w="19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38.7%</w:t>
            </w:r>
          </w:p>
        </w:tc>
        <w:tc>
          <w:tcPr>
            <w:tcW w:type="dxa" w:w="19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15.6%</w:t>
            </w:r>
          </w:p>
        </w:tc>
      </w:tr>
    </w:tbl>
    <w:p>
      <w:pPr>
        <w:spacing w:after="150" w:before="110" w:line="285"/>
      </w:pPr>
      <w:r>
        <w:rPr>
          <w:rFonts w:ascii="Yu Gothic" w:cs="Yu Gothic" w:eastAsia="Yu Gothic" w:hAnsi="Yu Gothic"/>
          <w:b w:val="false"/>
          <w:bCs w:val="false"/>
          <w:i w:val="false"/>
          <w:iCs w:val="false"/>
          <w:color w:val="5B6373"/>
          <w:sz w:val="16"/>
          <w:szCs w:val="16"/>
        </w:rPr>
        <w:t xml:space="preserve">実効寄与は、各軸が総合点のばらつきをどれだけ説明しているかを測ったもの（合計100%）。軸どうしが逆方向に動くと合計の中で打ち消し合うため、名目25%でも実効は等しくならない。これは合成スコア一般の性質であり、隠さず併記するのが正しい。</w:t>
      </w:r>
    </w:p>
    <w:p>
      <w:pPr>
        <w:spacing w:after="60" w:before="150"/>
      </w:pPr>
      <w:r>
        <w:rPr>
          <w:rFonts w:ascii="Yu Gothic" w:cs="Yu Gothic" w:eastAsia="Yu Gothic" w:hAnsi="Yu Gothic"/>
          <w:b/>
          <w:bCs/>
          <w:i w:val="false"/>
          <w:iCs w:val="false"/>
          <w:color w:val="5B6373"/>
          <w:sz w:val="16"/>
          <w:szCs w:val="16"/>
        </w:rPr>
        <w:t xml:space="preserve">軸どうしの順位相関（同じものを重複して測っていないかの確認）</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06"/>
        <w:gridCol w:w="2000"/>
        <w:gridCol w:w="2000"/>
        <w:gridCol w:w="2000"/>
        <w:gridCol w:w="2000"/>
      </w:tblGrid>
      <w:tr>
        <w:trPr>
          <w:tblHeader/>
        </w:trPr>
        <w:tc>
          <w:tcPr>
            <w:tcW w:type="dxa" w:w="2206"/>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
            </w:r>
          </w:p>
        </w:tc>
        <w:tc>
          <w:tcPr>
            <w:tcW w:type="dxa" w:w="20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Moat</w:t>
            </w:r>
          </w:p>
        </w:tc>
        <w:tc>
          <w:tcPr>
            <w:tcW w:type="dxa" w:w="20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Change</w:t>
            </w:r>
          </w:p>
        </w:tc>
        <w:tc>
          <w:tcPr>
            <w:tcW w:type="dxa" w:w="20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Future</w:t>
            </w:r>
          </w:p>
        </w:tc>
        <w:tc>
          <w:tcPr>
            <w:tcW w:type="dxa" w:w="20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Price</w:t>
            </w:r>
          </w:p>
        </w:tc>
      </w:tr>
      <w:tr>
        <w:tc>
          <w:tcPr>
            <w:tcW w:type="dxa" w:w="22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Moat</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+1.000</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+0.252</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+0.247</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-0.263</w:t>
            </w:r>
          </w:p>
        </w:tc>
      </w:tr>
      <w:tr>
        <w:tc>
          <w:tcPr>
            <w:tcW w:type="dxa" w:w="22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Change</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+0.252</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+1.000</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+0.098</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-0.056</w:t>
            </w:r>
          </w:p>
        </w:tc>
      </w:tr>
      <w:tr>
        <w:tc>
          <w:tcPr>
            <w:tcW w:type="dxa" w:w="22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Future</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+0.247</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+0.098</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+1.000</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-0.106</w:t>
            </w:r>
          </w:p>
        </w:tc>
      </w:tr>
      <w:tr>
        <w:tc>
          <w:tcPr>
            <w:tcW w:type="dxa" w:w="22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Price</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-0.263</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-0.056</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-0.106</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+1.000</w:t>
            </w:r>
          </w:p>
        </w:tc>
      </w:tr>
    </w:tbl>
    <w:p>
      <w:pPr>
        <w:spacing w:after="150" w:before="110" w:line="285"/>
      </w:pPr>
      <w:r>
        <w:rPr>
          <w:rFonts w:ascii="Yu Gothic" w:cs="Yu Gothic" w:eastAsia="Yu Gothic" w:hAnsi="Yu Gothic"/>
          <w:b w:val="false"/>
          <w:bCs w:val="false"/>
          <w:i w:val="false"/>
          <w:iCs w:val="false"/>
          <w:color w:val="5B6373"/>
          <w:sz w:val="16"/>
          <w:szCs w:val="16"/>
        </w:rPr>
        <w:t xml:space="preserve">0に近いほど別のものを測れている。1に近い組み合わせがあれば、同じものを二重に数えている。従来の「変わる堀」はPrice軸と+0.368の相関があったが、改善指標だけで組み直して解消した。</w:t>
      </w:r>
    </w:p>
    <w:p>
      <w:pPr>
        <w:spacing w:after="60" w:before="150"/>
      </w:pPr>
      <w:r>
        <w:rPr>
          <w:rFonts w:ascii="Yu Gothic" w:cs="Yu Gothic" w:eastAsia="Yu Gothic" w:hAnsi="Yu Gothic"/>
          <w:b/>
          <w:bCs/>
          <w:i w:val="false"/>
          <w:iCs w:val="false"/>
          <w:color w:val="5B6373"/>
          <w:sz w:val="16"/>
          <w:szCs w:val="16"/>
        </w:rPr>
        <w:t xml:space="preserve">4軸すべてが基準以上の企業数</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3406"/>
      </w:tblGrid>
      <w:tr>
        <w:trPr>
          <w:tblHeader/>
        </w:trPr>
        <w:tc>
          <w:tcPr>
            <w:tcW w:type="dxa" w:w="34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基準</w:t>
            </w:r>
          </w:p>
        </w:tc>
        <w:tc>
          <w:tcPr>
            <w:tcW w:type="dxa" w:w="34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社数</w:t>
            </w:r>
          </w:p>
        </w:tc>
        <w:tc>
          <w:tcPr>
            <w:tcW w:type="dxa" w:w="3406"/>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母集団に対する割合</w:t>
            </w:r>
          </w:p>
        </w:tc>
      </w:tr>
      <w:tr>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全4軸 50点以上</w:t>
            </w:r>
          </w:p>
        </w:tc>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121社</w:t>
            </w:r>
          </w:p>
        </w:tc>
        <w:tc>
          <w:tcPr>
            <w:tcW w:type="dxa" w:w="34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6.3%</w:t>
            </w:r>
          </w:p>
        </w:tc>
      </w:tr>
      <w:tr>
        <w:tc>
          <w:tcPr>
            <w:tcW w:type="dxa" w:w="3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全4軸 60点以上</w:t>
            </w:r>
          </w:p>
        </w:tc>
        <w:tc>
          <w:tcPr>
            <w:tcW w:type="dxa" w:w="3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24社</w:t>
            </w:r>
          </w:p>
        </w:tc>
        <w:tc>
          <w:tcPr>
            <w:tcW w:type="dxa" w:w="34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1.2%</w:t>
            </w:r>
          </w:p>
        </w:tc>
      </w:tr>
      <w:tr>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全4軸 70点以上</w:t>
            </w:r>
          </w:p>
        </w:tc>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1社</w:t>
            </w:r>
          </w:p>
        </w:tc>
        <w:tc>
          <w:tcPr>
            <w:tcW w:type="dxa" w:w="34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0.1%</w:t>
            </w:r>
          </w:p>
        </w:tc>
      </w:tr>
      <w:tr>
        <w:tc>
          <w:tcPr>
            <w:tcW w:type="dxa" w:w="3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全4軸 80点以上</w:t>
            </w:r>
          </w:p>
        </w:tc>
        <w:tc>
          <w:tcPr>
            <w:tcW w:type="dxa" w:w="3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0社</w:t>
            </w:r>
          </w:p>
        </w:tc>
        <w:tc>
          <w:tcPr>
            <w:tcW w:type="dxa" w:w="34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0.0%</w:t>
            </w:r>
          </w:p>
        </w:tc>
      </w:tr>
      <w:tr>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全4軸 90点以上</w:t>
            </w:r>
          </w:p>
        </w:tc>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0社</w:t>
            </w:r>
          </w:p>
        </w:tc>
        <w:tc>
          <w:tcPr>
            <w:tcW w:type="dxa" w:w="34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0.0%</w:t>
            </w:r>
          </w:p>
        </w:tc>
      </w:tr>
    </w:tbl>
    <w:p>
      <w:pPr>
        <w:pBdr>
          <w:left w:val="single" w:color="2F4B8F" w:sz="18" w:space="10"/>
        </w:pBdr>
        <w:shd w:fill="E4E9F5" w:color="auto" w:val="clear"/>
        <w:spacing w:after="190" w:before="170" w:line="300"/>
        <w:ind w:left="130" w:right="130"/>
      </w:pPr>
      <w:r>
        <w:rPr>
          <w:rFonts w:ascii="Yu Gothic" w:cs="Yu Gothic" w:eastAsia="Yu Gothic" w:hAnsi="Yu Gothic"/>
          <w:b w:val="false"/>
          <w:bCs w:val="false"/>
          <w:i w:val="false"/>
          <w:iCs w:val="false"/>
          <w:color w:val="1B1F27"/>
          <w:sz w:val="18"/>
          <w:szCs w:val="18"/>
        </w:rPr>
        <w:t xml:space="preserve">4軸すべてで高得点の会社は事実上存在しない（80点以上は0社、90点以上は0社）。したがって「4条件すべてを満たす会社を探す」方式では20社を組めない。平均を取る方式を採る以上、選ばれた会社もどこか1軸は必ず弱い。第8章の選定理由で、各社がどの軸で入りどこが弱いかを一社ずつ開示している。</w:t>
      </w:r>
    </w:p>
    <w:p>
      <w:pPr>
        <w:pStyle w:val="Heading1"/>
        <w:pBdr>
          <w:bottom w:val="single" w:color="2F4B8F" w:sz="8" w:space="6"/>
        </w:pBdr>
        <w:spacing w:after="170" w:before="380"/>
      </w:pPr>
      <w:r>
        <w:rPr>
          <w:rFonts w:ascii="Yu Gothic" w:cs="Yu Gothic" w:eastAsia="Yu Gothic" w:hAnsi="Yu Gothic"/>
          <w:b/>
          <w:bCs/>
          <w:i w:val="false"/>
          <w:iCs w:val="false"/>
          <w:color w:val="2F4B8F"/>
          <w:sz w:val="26"/>
          <w:szCs w:val="26"/>
        </w:rPr>
        <w:t xml:space="preserve">7. Step 3・4 — 選抜と保有比率</w:t>
      </w:r>
    </w:p>
    <w:p>
      <w:pPr>
        <w:pStyle w:val="Heading2"/>
        <w:spacing w:after="115" w:before="280"/>
      </w:pPr>
      <w:r>
        <w:rPr>
          <w:rFonts w:ascii="Yu Gothic" w:cs="Yu Gothic" w:eastAsia="Yu Gothic" w:hAnsi="Yu Gothic"/>
          <w:b/>
          <w:bCs/>
          <w:i w:val="false"/>
          <w:iCs w:val="false"/>
          <w:color w:val="1B1F27"/>
          <w:sz w:val="21"/>
          <w:szCs w:val="21"/>
        </w:rPr>
        <w:t xml:space="preserve">7-1. 選抜ルール</w:t>
      </w:r>
    </w:p>
    <w:p>
      <w:pPr>
        <w:pStyle w:val="ListParagraph"/>
        <w:numPr>
          <w:ilvl w:val="0"/>
          <w:numId w:val="2"/>
        </w:numPr>
        <w:spacing w:after="80" w:line="295"/>
      </w:pPr>
      <w:r>
        <w:rPr>
          <w:rFonts w:ascii="Yu Gothic" w:cs="Yu Gothic" w:eastAsia="Yu Gothic" w:hAnsi="Yu Gothic"/>
          <w:b w:val="false"/>
          <w:bCs w:val="false"/>
          <w:i w:val="false"/>
          <w:iCs w:val="false"/>
          <w:color w:val="1B1F27"/>
          <w:sz w:val="18"/>
          <w:szCs w:val="18"/>
        </w:rPr>
        <w:t xml:space="preserve">総合点の高い順に並べる。</w:t>
      </w:r>
    </w:p>
    <w:p>
      <w:pPr>
        <w:pStyle w:val="ListParagraph"/>
        <w:numPr>
          <w:ilvl w:val="0"/>
          <w:numId w:val="2"/>
        </w:numPr>
        <w:spacing w:after="80" w:line="295"/>
      </w:pPr>
      <w:r>
        <w:rPr>
          <w:rFonts w:ascii="Yu Gothic" w:cs="Yu Gothic" w:eastAsia="Yu Gothic" w:hAnsi="Yu Gothic"/>
          <w:b w:val="false"/>
          <w:bCs w:val="false"/>
          <w:i w:val="false"/>
          <w:iCs w:val="false"/>
          <w:color w:val="1B1F27"/>
          <w:sz w:val="18"/>
          <w:szCs w:val="18"/>
        </w:rPr>
        <w:t xml:space="preserve">上から順に採用する。ただし同一の33業種分類は最大2社まで。</w:t>
      </w:r>
    </w:p>
    <w:p>
      <w:pPr>
        <w:pStyle w:val="ListParagraph"/>
        <w:numPr>
          <w:ilvl w:val="0"/>
          <w:numId w:val="2"/>
        </w:numPr>
        <w:spacing w:after="80" w:line="295"/>
      </w:pPr>
      <w:r>
        <w:rPr>
          <w:rFonts w:ascii="Yu Gothic" w:cs="Yu Gothic" w:eastAsia="Yu Gothic" w:hAnsi="Yu Gothic"/>
          <w:b w:val="false"/>
          <w:bCs w:val="false"/>
          <w:i w:val="false"/>
          <w:iCs w:val="false"/>
          <w:color w:val="1B1F27"/>
          <w:sz w:val="18"/>
          <w:szCs w:val="18"/>
        </w:rPr>
        <w:t xml:space="preserve">1単元が投資枠の8%（40万円）を超えて買えない銘柄は飛ばし、次点を繰り上げる。</w:t>
      </w:r>
    </w:p>
    <w:p>
      <w:pPr>
        <w:pStyle w:val="ListParagraph"/>
        <w:numPr>
          <w:ilvl w:val="0"/>
          <w:numId w:val="2"/>
        </w:numPr>
        <w:spacing w:after="80" w:line="295"/>
      </w:pPr>
      <w:r>
        <w:rPr>
          <w:rFonts w:ascii="Yu Gothic" w:cs="Yu Gothic" w:eastAsia="Yu Gothic" w:hAnsi="Yu Gothic"/>
          <w:b w:val="false"/>
          <w:bCs w:val="false"/>
          <w:i w:val="false"/>
          <w:iCs w:val="false"/>
          <w:color w:val="1B1F27"/>
          <w:sz w:val="18"/>
          <w:szCs w:val="18"/>
        </w:rPr>
        <w:t xml:space="preserve">20社に達したら終了する。</w:t>
      </w:r>
    </w:p>
    <w:p>
      <w:pPr>
        <w:spacing w:after="60" w:before="150"/>
      </w:pPr>
      <w:r>
        <w:rPr>
          <w:rFonts w:ascii="Yu Gothic" w:cs="Yu Gothic" w:eastAsia="Yu Gothic" w:hAnsi="Yu Gothic"/>
          <w:b/>
          <w:bCs/>
          <w:i w:val="false"/>
          <w:iCs w:val="false"/>
          <w:color w:val="5B6373"/>
          <w:sz w:val="16"/>
          <w:szCs w:val="16"/>
        </w:rPr>
        <w:t xml:space="preserve">業種上限の効果</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4606"/>
      </w:tblGrid>
      <w:tr>
        <w:trPr>
          <w:tblHeader/>
        </w:trPr>
        <w:tc>
          <w:tcPr>
            <w:tcW w:type="dxa" w:w="34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
            </w:r>
          </w:p>
        </w:tc>
        <w:tc>
          <w:tcPr>
            <w:tcW w:type="dxa" w:w="22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業種数</w:t>
            </w:r>
          </w:p>
        </w:tc>
        <w:tc>
          <w:tcPr>
            <w:tcW w:type="dxa" w:w="4606"/>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上位業種の集中</w:t>
            </w:r>
          </w:p>
        </w:tc>
      </w:tr>
      <w:tr>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業種上限なし（単純上位20）</w:t>
            </w:r>
          </w:p>
        </w:tc>
        <w:tc>
          <w:tcPr>
            <w:tcW w:type="dxa" w:w="2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5業種</w:t>
            </w:r>
          </w:p>
        </w:tc>
        <w:tc>
          <w:tcPr>
            <w:tcW w:type="dxa" w:w="46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機械8社・電気機器8社</w:t>
            </w:r>
          </w:p>
        </w:tc>
      </w:tr>
      <w:tr>
        <w:tc>
          <w:tcPr>
            <w:tcW w:type="dxa" w:w="3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業種上限2社（本方式）</w:t>
            </w:r>
          </w:p>
        </w:tc>
        <w:tc>
          <w:tcPr>
            <w:tcW w:type="dxa" w:w="22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11業種</w:t>
            </w:r>
          </w:p>
        </w:tc>
        <w:tc>
          <w:tcPr>
            <w:tcW w:type="dxa" w:w="46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w:t>
            </w:r>
          </w:p>
        </w:tc>
      </w:tr>
    </w:tbl>
    <w:p>
      <w:pPr>
        <w:spacing w:after="150" w:before="110" w:line="285"/>
      </w:pPr>
      <w:r>
        <w:rPr>
          <w:rFonts w:ascii="Yu Gothic" w:cs="Yu Gothic" w:eastAsia="Yu Gothic" w:hAnsi="Yu Gothic"/>
          <w:b w:val="false"/>
          <w:bCs w:val="false"/>
          <w:i w:val="false"/>
          <w:iCs w:val="false"/>
          <w:color w:val="5B6373"/>
          <w:sz w:val="16"/>
          <w:szCs w:val="16"/>
        </w:rPr>
        <w:t xml:space="preserve">上限を入れると平均総合点は77.63点から74.2点へ下がるが、集中は解消される。この代償は払う価値がある。</w:t>
      </w:r>
    </w:p>
    <w:p>
      <w:pPr>
        <w:pStyle w:val="Heading2"/>
        <w:spacing w:after="115" w:before="280"/>
      </w:pPr>
      <w:r>
        <w:rPr>
          <w:rFonts w:ascii="Yu Gothic" w:cs="Yu Gothic" w:eastAsia="Yu Gothic" w:hAnsi="Yu Gothic"/>
          <w:b/>
          <w:bCs/>
          <w:i w:val="false"/>
          <w:iCs w:val="false"/>
          <w:color w:val="1B1F27"/>
          <w:sz w:val="21"/>
          <w:szCs w:val="21"/>
        </w:rPr>
        <w:t xml:space="preserve">7-2. 保有比率の決め方</w:t>
      </w:r>
    </w:p>
    <w:p>
      <w:pPr>
        <w:shd w:fill="F2F4F8" w:color="auto" w:val="clear"/>
        <w:spacing w:after="0" w:before="140" w:line="265"/>
        <w:ind w:left="130" w:right="130"/>
      </w:pPr>
      <w:r>
        <w:rPr>
          <w:rFonts w:ascii="SFMono-Regular" w:cs="SFMono-Regular" w:eastAsia="SFMono-Regular" w:hAnsi="SFMono-Regular"/>
          <w:color w:val="1B1F27"/>
          <w:sz w:val="15"/>
          <w:szCs w:val="15"/>
        </w:rPr>
        <w:t xml:space="preserve">1銘柄あたりの目標投資額 = 5,000,000円 × 5% = 250,000円</w:t>
      </w:r>
    </w:p>
    <w:p>
      <w:pPr>
        <w:shd w:fill="F2F4F8" w:color="auto" w:val="clear"/>
        <w:spacing w:after="0" w:before="0" w:line="265"/>
        <w:ind w:left="130" w:right="130"/>
      </w:pPr>
      <w:r>
        <w:rPr>
          <w:rFonts w:ascii="SFMono-Regular" w:cs="SFMono-Regular" w:eastAsia="SFMono-Regular" w:hAnsi="SFMono-Regular"/>
          <w:color w:val="1B1F27"/>
          <w:sz w:val="15"/>
          <w:szCs w:val="15"/>
        </w:rPr>
        <w:t xml:space="preserve">単元数 = round( 250,000 ÷ (株価 × 100) )   ただし最低1単元</w:t>
      </w:r>
    </w:p>
    <w:p>
      <w:pPr>
        <w:shd w:fill="F2F4F8" w:color="auto" w:val="clear"/>
        <w:spacing w:after="0" w:before="0" w:line="265"/>
        <w:ind w:left="130" w:right="130"/>
      </w:pPr>
      <w:r>
        <w:rPr>
          <w:rFonts w:ascii="SFMono-Regular" w:cs="SFMono-Regular" w:eastAsia="SFMono-Regular" w:hAnsi="SFMono-Regular"/>
          <w:color w:val="1B1F27"/>
          <w:sz w:val="15"/>
          <w:szCs w:val="15"/>
        </w:rPr>
        <w:t xml:space="preserve">1銘柄の投資額が400,000円（上限8%）を超えたら単元数を減らす</w:t>
      </w:r>
    </w:p>
    <w:p>
      <w:pPr>
        <w:shd w:fill="F2F4F8" w:color="auto" w:val="clear"/>
        <w:spacing w:after="160" w:before="0" w:line="265"/>
        <w:ind w:left="130" w:right="130"/>
      </w:pPr>
      <w:r>
        <w:rPr>
          <w:rFonts w:ascii="SFMono-Regular" w:cs="SFMono-Regular" w:eastAsia="SFMono-Regular" w:hAnsi="SFMono-Regular"/>
          <w:color w:val="1B1F27"/>
          <w:sz w:val="15"/>
          <w:szCs w:val="15"/>
        </w:rPr>
        <w:t xml:space="preserve">余った現金は、目標250,000円から最も下振れている銘柄へ1単元ずつ配る</w:t>
      </w:r>
    </w:p>
    <w:p>
      <w:pPr>
        <w:spacing w:after="130" w:before="0" w:line="300"/>
        <w:jc w:val="left"/>
      </w:pPr>
      <w:r>
        <w:rPr>
          <w:rFonts w:ascii="Yu Gothic" w:cs="Yu Gothic" w:eastAsia="Yu Gothic" w:hAnsi="Yu Gothic"/>
          <w:b w:val="false"/>
          <w:bCs w:val="false"/>
          <w:i w:val="false"/>
          <w:iCs w:val="false"/>
          <w:color w:val="1B1F27"/>
          <w:sz w:val="18"/>
          <w:szCs w:val="18"/>
        </w:rPr>
        <w:t xml:space="preserve">均等5%を目標にする。総合点に比例させる方法もあるが、実測では比率が4.5%〜6.0%にしかならず差が出ないため、説明しやすい均等を採る。日本株は100株単位でしか買えないため、目標ちょうどにはならない。</w:t>
      </w:r>
    </w:p>
    <w:p>
      <w:pPr>
        <w:pageBreakBefore/>
      </w:pPr>
    </w:p>
    <w:p>
      <w:pPr>
        <w:pStyle w:val="Heading1"/>
        <w:pBdr>
          <w:bottom w:val="single" w:color="2F4B8F" w:sz="8" w:space="6"/>
        </w:pBdr>
        <w:spacing w:after="170" w:before="380"/>
      </w:pPr>
      <w:r>
        <w:rPr>
          <w:rFonts w:ascii="Yu Gothic" w:cs="Yu Gothic" w:eastAsia="Yu Gothic" w:hAnsi="Yu Gothic"/>
          <w:b/>
          <w:bCs/>
          <w:i w:val="false"/>
          <w:iCs w:val="false"/>
          <w:color w:val="2F4B8F"/>
          <w:sz w:val="26"/>
          <w:szCs w:val="26"/>
        </w:rPr>
        <w:t xml:space="preserve">8. 選定した20社</w:t>
      </w:r>
    </w:p>
    <w:p>
      <w:pPr>
        <w:spacing w:after="150" w:before="110" w:line="285"/>
      </w:pPr>
      <w:r>
        <w:rPr>
          <w:rFonts w:ascii="Yu Gothic" w:cs="Yu Gothic" w:eastAsia="Yu Gothic" w:hAnsi="Yu Gothic"/>
          <w:b w:val="false"/>
          <w:bCs w:val="false"/>
          <w:i w:val="false"/>
          <w:iCs w:val="false"/>
          <w:color w:val="5B6373"/>
          <w:sz w:val="16"/>
          <w:szCs w:val="16"/>
        </w:rPr>
        <w:t xml:space="preserve">数値は各軸の0〜100点。総合点はその単純平均。</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20"/>
        <w:gridCol w:w="760"/>
        <w:gridCol w:w="2320"/>
        <w:gridCol w:w="1560"/>
        <w:gridCol w:w="1020"/>
        <w:gridCol w:w="760"/>
        <w:gridCol w:w="760"/>
        <w:gridCol w:w="760"/>
        <w:gridCol w:w="760"/>
        <w:gridCol w:w="986"/>
      </w:tblGrid>
      <w:tr>
        <w:trPr>
          <w:tblHeader/>
        </w:trPr>
        <w:tc>
          <w:tcPr>
            <w:tcW w:type="dxa" w:w="52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w:t>
            </w:r>
          </w:p>
        </w:tc>
        <w:tc>
          <w:tcPr>
            <w:tcW w:type="dxa" w:w="76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コード</w:t>
            </w:r>
          </w:p>
        </w:tc>
        <w:tc>
          <w:tcPr>
            <w:tcW w:type="dxa" w:w="232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5"/>
                <w:szCs w:val="15"/>
              </w:rPr>
              <w:t xml:space="preserve">会社名</w:t>
            </w:r>
          </w:p>
        </w:tc>
        <w:tc>
          <w:tcPr>
            <w:tcW w:type="dxa" w:w="156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5"/>
                <w:szCs w:val="15"/>
              </w:rPr>
              <w:t xml:space="preserve">業種</w:t>
            </w:r>
          </w:p>
        </w:tc>
        <w:tc>
          <w:tcPr>
            <w:tcW w:type="dxa" w:w="102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5"/>
                <w:szCs w:val="15"/>
              </w:rPr>
              <w:t xml:space="preserve">市場</w:t>
            </w:r>
          </w:p>
        </w:tc>
        <w:tc>
          <w:tcPr>
            <w:tcW w:type="dxa" w:w="76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Moat</w:t>
            </w:r>
          </w:p>
        </w:tc>
        <w:tc>
          <w:tcPr>
            <w:tcW w:type="dxa" w:w="76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Chg</w:t>
            </w:r>
          </w:p>
        </w:tc>
        <w:tc>
          <w:tcPr>
            <w:tcW w:type="dxa" w:w="76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Fut</w:t>
            </w:r>
          </w:p>
        </w:tc>
        <w:tc>
          <w:tcPr>
            <w:tcW w:type="dxa" w:w="76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Price</w:t>
            </w:r>
          </w:p>
        </w:tc>
        <w:tc>
          <w:tcPr>
            <w:tcW w:type="dxa" w:w="986"/>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総合</w:t>
            </w:r>
          </w:p>
        </w:tc>
      </w:tr>
      <w:tr>
        <w:tc>
          <w:tcPr>
            <w:tcW w:type="dxa" w:w="5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7991</w:t>
            </w:r>
          </w:p>
        </w:tc>
        <w:tc>
          <w:tcPr>
            <w:tcW w:type="dxa" w:w="23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マミヤ・オーピー</w:t>
            </w:r>
          </w:p>
        </w:tc>
        <w:tc>
          <w:tcPr>
            <w:tcW w:type="dxa" w:w="15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機械</w:t>
            </w:r>
          </w:p>
        </w:tc>
        <w:tc>
          <w:tcPr>
            <w:tcW w:type="dxa" w:w="10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スタンダード</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74</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77</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88</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98</w:t>
            </w:r>
          </w:p>
        </w:tc>
        <w:tc>
          <w:tcPr>
            <w:tcW w:type="dxa" w:w="98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84.4</w:t>
            </w:r>
          </w:p>
        </w:tc>
      </w:tr>
      <w:tr>
        <w:tc>
          <w:tcPr>
            <w:tcW w:type="dxa" w:w="5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6149</w:t>
            </w:r>
          </w:p>
        </w:tc>
        <w:tc>
          <w:tcPr>
            <w:tcW w:type="dxa" w:w="23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小田原エンジニアリング</w:t>
            </w:r>
          </w:p>
        </w:tc>
        <w:tc>
          <w:tcPr>
            <w:tcW w:type="dxa" w:w="15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機械</w:t>
            </w:r>
          </w:p>
        </w:tc>
        <w:tc>
          <w:tcPr>
            <w:tcW w:type="dxa" w:w="10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スタンダード</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60</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91</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88</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93</w:t>
            </w:r>
          </w:p>
        </w:tc>
        <w:tc>
          <w:tcPr>
            <w:tcW w:type="dxa" w:w="98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82.9</w:t>
            </w:r>
          </w:p>
        </w:tc>
      </w:tr>
      <w:tr>
        <w:tc>
          <w:tcPr>
            <w:tcW w:type="dxa" w:w="5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6626</w:t>
            </w:r>
          </w:p>
        </w:tc>
        <w:tc>
          <w:tcPr>
            <w:tcW w:type="dxa" w:w="23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ＳＥＭＩＴＥＣ</w:t>
            </w:r>
          </w:p>
        </w:tc>
        <w:tc>
          <w:tcPr>
            <w:tcW w:type="dxa" w:w="15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電気機器</w:t>
            </w:r>
          </w:p>
        </w:tc>
        <w:tc>
          <w:tcPr>
            <w:tcW w:type="dxa" w:w="10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スタンダード</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80</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62</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96</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84</w:t>
            </w:r>
          </w:p>
        </w:tc>
        <w:tc>
          <w:tcPr>
            <w:tcW w:type="dxa" w:w="98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80.3</w:t>
            </w:r>
          </w:p>
        </w:tc>
      </w:tr>
      <w:tr>
        <w:tc>
          <w:tcPr>
            <w:tcW w:type="dxa" w:w="5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7722</w:t>
            </w:r>
          </w:p>
        </w:tc>
        <w:tc>
          <w:tcPr>
            <w:tcW w:type="dxa" w:w="23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国際計測器</w:t>
            </w:r>
          </w:p>
        </w:tc>
        <w:tc>
          <w:tcPr>
            <w:tcW w:type="dxa" w:w="15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精密機器</w:t>
            </w:r>
          </w:p>
        </w:tc>
        <w:tc>
          <w:tcPr>
            <w:tcW w:type="dxa" w:w="10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スタンダード</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49</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96</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96</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77</w:t>
            </w:r>
          </w:p>
        </w:tc>
        <w:tc>
          <w:tcPr>
            <w:tcW w:type="dxa" w:w="98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79.6</w:t>
            </w:r>
          </w:p>
        </w:tc>
      </w:tr>
      <w:tr>
        <w:tc>
          <w:tcPr>
            <w:tcW w:type="dxa" w:w="5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6658</w:t>
            </w:r>
          </w:p>
        </w:tc>
        <w:tc>
          <w:tcPr>
            <w:tcW w:type="dxa" w:w="23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シライ電子工業</w:t>
            </w:r>
          </w:p>
        </w:tc>
        <w:tc>
          <w:tcPr>
            <w:tcW w:type="dxa" w:w="15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電気機器</w:t>
            </w:r>
          </w:p>
        </w:tc>
        <w:tc>
          <w:tcPr>
            <w:tcW w:type="dxa" w:w="10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スタンダード</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60</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65</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96</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94</w:t>
            </w:r>
          </w:p>
        </w:tc>
        <w:tc>
          <w:tcPr>
            <w:tcW w:type="dxa" w:w="98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78.5</w:t>
            </w:r>
          </w:p>
        </w:tc>
      </w:tr>
      <w:tr>
        <w:tc>
          <w:tcPr>
            <w:tcW w:type="dxa" w:w="5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4112</w:t>
            </w:r>
          </w:p>
        </w:tc>
        <w:tc>
          <w:tcPr>
            <w:tcW w:type="dxa" w:w="23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保土谷化学工業</w:t>
            </w:r>
          </w:p>
        </w:tc>
        <w:tc>
          <w:tcPr>
            <w:tcW w:type="dxa" w:w="15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化学</w:t>
            </w:r>
          </w:p>
        </w:tc>
        <w:tc>
          <w:tcPr>
            <w:tcW w:type="dxa" w:w="10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プライム</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64</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74</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79</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92</w:t>
            </w:r>
          </w:p>
        </w:tc>
        <w:tc>
          <w:tcPr>
            <w:tcW w:type="dxa" w:w="98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77.1</w:t>
            </w:r>
          </w:p>
        </w:tc>
      </w:tr>
      <w:tr>
        <w:tc>
          <w:tcPr>
            <w:tcW w:type="dxa" w:w="5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4994</w:t>
            </w:r>
          </w:p>
        </w:tc>
        <w:tc>
          <w:tcPr>
            <w:tcW w:type="dxa" w:w="23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大成ラミックグループ</w:t>
            </w:r>
          </w:p>
        </w:tc>
        <w:tc>
          <w:tcPr>
            <w:tcW w:type="dxa" w:w="15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化学</w:t>
            </w:r>
          </w:p>
        </w:tc>
        <w:tc>
          <w:tcPr>
            <w:tcW w:type="dxa" w:w="10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スタンダード</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58</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78</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79</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87</w:t>
            </w:r>
          </w:p>
        </w:tc>
        <w:tc>
          <w:tcPr>
            <w:tcW w:type="dxa" w:w="98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75.4</w:t>
            </w:r>
          </w:p>
        </w:tc>
      </w:tr>
      <w:tr>
        <w:tc>
          <w:tcPr>
            <w:tcW w:type="dxa" w:w="5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3834</w:t>
            </w:r>
          </w:p>
        </w:tc>
        <w:tc>
          <w:tcPr>
            <w:tcW w:type="dxa" w:w="23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朝日ネット</w:t>
            </w:r>
          </w:p>
        </w:tc>
        <w:tc>
          <w:tcPr>
            <w:tcW w:type="dxa" w:w="15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情報・通信業</w:t>
            </w:r>
          </w:p>
        </w:tc>
        <w:tc>
          <w:tcPr>
            <w:tcW w:type="dxa" w:w="10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プライム</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84</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76</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66</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74</w:t>
            </w:r>
          </w:p>
        </w:tc>
        <w:tc>
          <w:tcPr>
            <w:tcW w:type="dxa" w:w="98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75.1</w:t>
            </w:r>
          </w:p>
        </w:tc>
      </w:tr>
      <w:tr>
        <w:tc>
          <w:tcPr>
            <w:tcW w:type="dxa" w:w="5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3930</w:t>
            </w:r>
          </w:p>
        </w:tc>
        <w:tc>
          <w:tcPr>
            <w:tcW w:type="dxa" w:w="23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はてな</w:t>
            </w:r>
          </w:p>
        </w:tc>
        <w:tc>
          <w:tcPr>
            <w:tcW w:type="dxa" w:w="15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情報・通信業</w:t>
            </w:r>
          </w:p>
        </w:tc>
        <w:tc>
          <w:tcPr>
            <w:tcW w:type="dxa" w:w="10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グロース</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80</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69</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66</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84</w:t>
            </w:r>
          </w:p>
        </w:tc>
        <w:tc>
          <w:tcPr>
            <w:tcW w:type="dxa" w:w="98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74.8</w:t>
            </w:r>
          </w:p>
        </w:tc>
      </w:tr>
      <w:tr>
        <w:tc>
          <w:tcPr>
            <w:tcW w:type="dxa" w:w="5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5819</w:t>
            </w:r>
          </w:p>
        </w:tc>
        <w:tc>
          <w:tcPr>
            <w:tcW w:type="dxa" w:w="23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カナレ電気</w:t>
            </w:r>
          </w:p>
        </w:tc>
        <w:tc>
          <w:tcPr>
            <w:tcW w:type="dxa" w:w="15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非鉄金属</w:t>
            </w:r>
          </w:p>
        </w:tc>
        <w:tc>
          <w:tcPr>
            <w:tcW w:type="dxa" w:w="10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スタンダード</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72</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46</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85</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87</w:t>
            </w:r>
          </w:p>
        </w:tc>
        <w:tc>
          <w:tcPr>
            <w:tcW w:type="dxa" w:w="98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72.5</w:t>
            </w:r>
          </w:p>
        </w:tc>
      </w:tr>
      <w:tr>
        <w:tc>
          <w:tcPr>
            <w:tcW w:type="dxa" w:w="5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11</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7745</w:t>
            </w:r>
          </w:p>
        </w:tc>
        <w:tc>
          <w:tcPr>
            <w:tcW w:type="dxa" w:w="23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Ａ＆Ｄホロンホールディングス</w:t>
            </w:r>
          </w:p>
        </w:tc>
        <w:tc>
          <w:tcPr>
            <w:tcW w:type="dxa" w:w="15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精密機器</w:t>
            </w:r>
          </w:p>
        </w:tc>
        <w:tc>
          <w:tcPr>
            <w:tcW w:type="dxa" w:w="10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プライム</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70</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72</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96</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52</w:t>
            </w:r>
          </w:p>
        </w:tc>
        <w:tc>
          <w:tcPr>
            <w:tcW w:type="dxa" w:w="98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72.5</w:t>
            </w:r>
          </w:p>
        </w:tc>
      </w:tr>
      <w:tr>
        <w:tc>
          <w:tcPr>
            <w:tcW w:type="dxa" w:w="5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12</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9507</w:t>
            </w:r>
          </w:p>
        </w:tc>
        <w:tc>
          <w:tcPr>
            <w:tcW w:type="dxa" w:w="23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四国電力</w:t>
            </w:r>
          </w:p>
        </w:tc>
        <w:tc>
          <w:tcPr>
            <w:tcW w:type="dxa" w:w="15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電気・ガス業</w:t>
            </w:r>
          </w:p>
        </w:tc>
        <w:tc>
          <w:tcPr>
            <w:tcW w:type="dxa" w:w="10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プライム</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55</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66</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79</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88</w:t>
            </w:r>
          </w:p>
        </w:tc>
        <w:tc>
          <w:tcPr>
            <w:tcW w:type="dxa" w:w="98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72.0</w:t>
            </w:r>
          </w:p>
        </w:tc>
      </w:tr>
      <w:tr>
        <w:tc>
          <w:tcPr>
            <w:tcW w:type="dxa" w:w="5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13</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5729</w:t>
            </w:r>
          </w:p>
        </w:tc>
        <w:tc>
          <w:tcPr>
            <w:tcW w:type="dxa" w:w="23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日本精鉱</w:t>
            </w:r>
          </w:p>
        </w:tc>
        <w:tc>
          <w:tcPr>
            <w:tcW w:type="dxa" w:w="15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非鉄金属</w:t>
            </w:r>
          </w:p>
        </w:tc>
        <w:tc>
          <w:tcPr>
            <w:tcW w:type="dxa" w:w="10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スタンダード</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53</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84</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79</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70</w:t>
            </w:r>
          </w:p>
        </w:tc>
        <w:tc>
          <w:tcPr>
            <w:tcW w:type="dxa" w:w="98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71.4</w:t>
            </w:r>
          </w:p>
        </w:tc>
      </w:tr>
      <w:tr>
        <w:tc>
          <w:tcPr>
            <w:tcW w:type="dxa" w:w="5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14</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9247</w:t>
            </w:r>
          </w:p>
        </w:tc>
        <w:tc>
          <w:tcPr>
            <w:tcW w:type="dxa" w:w="23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ＴＲＥホールディングス</w:t>
            </w:r>
          </w:p>
        </w:tc>
        <w:tc>
          <w:tcPr>
            <w:tcW w:type="dxa" w:w="15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サービス業</w:t>
            </w:r>
          </w:p>
        </w:tc>
        <w:tc>
          <w:tcPr>
            <w:tcW w:type="dxa" w:w="10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プライム</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63</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92</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54</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74</w:t>
            </w:r>
          </w:p>
        </w:tc>
        <w:tc>
          <w:tcPr>
            <w:tcW w:type="dxa" w:w="98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71.0</w:t>
            </w:r>
          </w:p>
        </w:tc>
      </w:tr>
      <w:tr>
        <w:tc>
          <w:tcPr>
            <w:tcW w:type="dxa" w:w="5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15</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8920</w:t>
            </w:r>
          </w:p>
        </w:tc>
        <w:tc>
          <w:tcPr>
            <w:tcW w:type="dxa" w:w="23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東　祥</w:t>
            </w:r>
          </w:p>
        </w:tc>
        <w:tc>
          <w:tcPr>
            <w:tcW w:type="dxa" w:w="15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サービス業</w:t>
            </w:r>
          </w:p>
        </w:tc>
        <w:tc>
          <w:tcPr>
            <w:tcW w:type="dxa" w:w="10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スタンダード</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54</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87</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54</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88</w:t>
            </w:r>
          </w:p>
        </w:tc>
        <w:tc>
          <w:tcPr>
            <w:tcW w:type="dxa" w:w="98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70.8</w:t>
            </w:r>
          </w:p>
        </w:tc>
      </w:tr>
      <w:tr>
        <w:tc>
          <w:tcPr>
            <w:tcW w:type="dxa" w:w="5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16</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3089</w:t>
            </w:r>
          </w:p>
        </w:tc>
        <w:tc>
          <w:tcPr>
            <w:tcW w:type="dxa" w:w="23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テクノアルファ</w:t>
            </w:r>
          </w:p>
        </w:tc>
        <w:tc>
          <w:tcPr>
            <w:tcW w:type="dxa" w:w="15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卸売業</w:t>
            </w:r>
          </w:p>
        </w:tc>
        <w:tc>
          <w:tcPr>
            <w:tcW w:type="dxa" w:w="10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スタンダード</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79</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88</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23</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90</w:t>
            </w:r>
          </w:p>
        </w:tc>
        <w:tc>
          <w:tcPr>
            <w:tcW w:type="dxa" w:w="98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69.9</w:t>
            </w:r>
          </w:p>
        </w:tc>
      </w:tr>
      <w:tr>
        <w:tc>
          <w:tcPr>
            <w:tcW w:type="dxa" w:w="5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17</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7347</w:t>
            </w:r>
          </w:p>
        </w:tc>
        <w:tc>
          <w:tcPr>
            <w:tcW w:type="dxa" w:w="23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マーキュリアホールディングス</w:t>
            </w:r>
          </w:p>
        </w:tc>
        <w:tc>
          <w:tcPr>
            <w:tcW w:type="dxa" w:w="15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証券・商品先物取引業</w:t>
            </w:r>
          </w:p>
        </w:tc>
        <w:tc>
          <w:tcPr>
            <w:tcW w:type="dxa" w:w="10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プライム</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89</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80</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23</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86</w:t>
            </w:r>
          </w:p>
        </w:tc>
        <w:tc>
          <w:tcPr>
            <w:tcW w:type="dxa" w:w="98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69.7</w:t>
            </w:r>
          </w:p>
        </w:tc>
      </w:tr>
      <w:tr>
        <w:tc>
          <w:tcPr>
            <w:tcW w:type="dxa" w:w="5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18</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9513</w:t>
            </w:r>
          </w:p>
        </w:tc>
        <w:tc>
          <w:tcPr>
            <w:tcW w:type="dxa" w:w="23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電源開発</w:t>
            </w:r>
          </w:p>
        </w:tc>
        <w:tc>
          <w:tcPr>
            <w:tcW w:type="dxa" w:w="15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電気・ガス業</w:t>
            </w:r>
          </w:p>
        </w:tc>
        <w:tc>
          <w:tcPr>
            <w:tcW w:type="dxa" w:w="10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プライム</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51</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52</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79</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96</w:t>
            </w:r>
          </w:p>
        </w:tc>
        <w:tc>
          <w:tcPr>
            <w:tcW w:type="dxa" w:w="98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69.4</w:t>
            </w:r>
          </w:p>
        </w:tc>
      </w:tr>
      <w:tr>
        <w:tc>
          <w:tcPr>
            <w:tcW w:type="dxa" w:w="5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19</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5947</w:t>
            </w:r>
          </w:p>
        </w:tc>
        <w:tc>
          <w:tcPr>
            <w:tcW w:type="dxa" w:w="23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リンナイ</w:t>
            </w:r>
          </w:p>
        </w:tc>
        <w:tc>
          <w:tcPr>
            <w:tcW w:type="dxa" w:w="15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金属製品</w:t>
            </w:r>
          </w:p>
        </w:tc>
        <w:tc>
          <w:tcPr>
            <w:tcW w:type="dxa" w:w="102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プライム</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67</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66</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79</w:t>
            </w:r>
          </w:p>
        </w:tc>
        <w:tc>
          <w:tcPr>
            <w:tcW w:type="dxa" w:w="7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65</w:t>
            </w:r>
          </w:p>
        </w:tc>
        <w:tc>
          <w:tcPr>
            <w:tcW w:type="dxa" w:w="98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68.9</w:t>
            </w:r>
          </w:p>
        </w:tc>
      </w:tr>
      <w:tr>
        <w:tc>
          <w:tcPr>
            <w:tcW w:type="dxa" w:w="5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20</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5975</w:t>
            </w:r>
          </w:p>
        </w:tc>
        <w:tc>
          <w:tcPr>
            <w:tcW w:type="dxa" w:w="23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東プレ</w:t>
            </w:r>
          </w:p>
        </w:tc>
        <w:tc>
          <w:tcPr>
            <w:tcW w:type="dxa" w:w="15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金属製品</w:t>
            </w:r>
          </w:p>
        </w:tc>
        <w:tc>
          <w:tcPr>
            <w:tcW w:type="dxa" w:w="102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プライム</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46</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62</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79</w:t>
            </w:r>
          </w:p>
        </w:tc>
        <w:tc>
          <w:tcPr>
            <w:tcW w:type="dxa" w:w="7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84</w:t>
            </w:r>
          </w:p>
        </w:tc>
        <w:tc>
          <w:tcPr>
            <w:tcW w:type="dxa" w:w="98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67.7</w:t>
            </w:r>
          </w:p>
        </w:tc>
      </w:tr>
    </w:tbl>
    <w:p>
      <w:pPr>
        <w:pStyle w:val="Heading2"/>
        <w:spacing w:after="115" w:before="280"/>
      </w:pPr>
      <w:r>
        <w:rPr>
          <w:rFonts w:ascii="Yu Gothic" w:cs="Yu Gothic" w:eastAsia="Yu Gothic" w:hAnsi="Yu Gothic"/>
          <w:b/>
          <w:bCs/>
          <w:i w:val="false"/>
          <w:iCs w:val="false"/>
          <w:color w:val="1B1F27"/>
          <w:sz w:val="21"/>
          <w:szCs w:val="21"/>
        </w:rPr>
        <w:t xml:space="preserve">8-1. 各社が選ばれた理由</w:t>
      </w:r>
    </w:p>
    <w:p>
      <w:pPr>
        <w:spacing w:after="150" w:before="110" w:line="285"/>
      </w:pPr>
      <w:r>
        <w:rPr>
          <w:rFonts w:ascii="Yu Gothic" w:cs="Yu Gothic" w:eastAsia="Yu Gothic" w:hAnsi="Yu Gothic"/>
          <w:b w:val="false"/>
          <w:bCs w:val="false"/>
          <w:i w:val="false"/>
          <w:iCs w:val="false"/>
          <w:color w:val="5B6373"/>
          <w:sz w:val="16"/>
          <w:szCs w:val="16"/>
        </w:rPr>
        <w:t xml:space="preserve">総合点は4軸の平均なので、同じ点でも中身は違う。何が効いて入ったかを一社ずつ示す。</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40"/>
        <w:gridCol w:w="2100"/>
        <w:gridCol w:w="7366"/>
      </w:tblGrid>
      <w:tr>
        <w:trPr>
          <w:tblHeader/>
        </w:trPr>
        <w:tc>
          <w:tcPr>
            <w:tcW w:type="dxa" w:w="74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コード</w:t>
            </w:r>
          </w:p>
        </w:tc>
        <w:tc>
          <w:tcPr>
            <w:tcW w:type="dxa" w:w="21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5"/>
                <w:szCs w:val="15"/>
              </w:rPr>
              <w:t xml:space="preserve">会社名</w:t>
            </w:r>
          </w:p>
        </w:tc>
        <w:tc>
          <w:tcPr>
            <w:tcW w:type="dxa" w:w="7366"/>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5"/>
                <w:szCs w:val="15"/>
              </w:rPr>
              <w:t xml:space="preserve">選定の要因</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7991</w:t>
            </w:r>
          </w:p>
        </w:tc>
        <w:tc>
          <w:tcPr>
            <w:tcW w:type="dxa" w:w="21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マミヤ・オーピー</w:t>
            </w:r>
          </w:p>
        </w:tc>
        <w:tc>
          <w:tcPr>
            <w:tcW w:type="dxa" w:w="736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突出 Price 98・Future 88／良好 Change 77・Moat 74。</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6149</w:t>
            </w:r>
          </w:p>
        </w:tc>
        <w:tc>
          <w:tcPr>
            <w:tcW w:type="dxa" w:w="21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小田原エンジニアリング</w:t>
            </w:r>
          </w:p>
        </w:tc>
        <w:tc>
          <w:tcPr>
            <w:tcW w:type="dxa" w:w="736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突出 Price 93・Change 91・Future 88。</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6626</w:t>
            </w:r>
          </w:p>
        </w:tc>
        <w:tc>
          <w:tcPr>
            <w:tcW w:type="dxa" w:w="21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ＳＥＭＩＴＥＣ</w:t>
            </w:r>
          </w:p>
        </w:tc>
        <w:tc>
          <w:tcPr>
            <w:tcW w:type="dxa" w:w="736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突出 Future 96／良好 Price 84・Moat 80。</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7722</w:t>
            </w:r>
          </w:p>
        </w:tc>
        <w:tc>
          <w:tcPr>
            <w:tcW w:type="dxa" w:w="21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国際計測器</w:t>
            </w:r>
          </w:p>
        </w:tc>
        <w:tc>
          <w:tcPr>
            <w:tcW w:type="dxa" w:w="736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突出 Change 96・Future 96／良好 Price 77。</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6658</w:t>
            </w:r>
          </w:p>
        </w:tc>
        <w:tc>
          <w:tcPr>
            <w:tcW w:type="dxa" w:w="21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シライ電子工業</w:t>
            </w:r>
          </w:p>
        </w:tc>
        <w:tc>
          <w:tcPr>
            <w:tcW w:type="dxa" w:w="736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突出 Future 96・Price 94。</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4112</w:t>
            </w:r>
          </w:p>
        </w:tc>
        <w:tc>
          <w:tcPr>
            <w:tcW w:type="dxa" w:w="21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保土谷化学工業</w:t>
            </w:r>
          </w:p>
        </w:tc>
        <w:tc>
          <w:tcPr>
            <w:tcW w:type="dxa" w:w="736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突出 Price 92／良好 Future 79・Change 74。</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4994</w:t>
            </w:r>
          </w:p>
        </w:tc>
        <w:tc>
          <w:tcPr>
            <w:tcW w:type="dxa" w:w="21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大成ラミックグループ</w:t>
            </w:r>
          </w:p>
        </w:tc>
        <w:tc>
          <w:tcPr>
            <w:tcW w:type="dxa" w:w="736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突出 Price 87／良好 Future 79・Change 78。</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3834</w:t>
            </w:r>
          </w:p>
        </w:tc>
        <w:tc>
          <w:tcPr>
            <w:tcW w:type="dxa" w:w="21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朝日ネット</w:t>
            </w:r>
          </w:p>
        </w:tc>
        <w:tc>
          <w:tcPr>
            <w:tcW w:type="dxa" w:w="736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良好 Moat 84・Change 76・Price 74。</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3930</w:t>
            </w:r>
          </w:p>
        </w:tc>
        <w:tc>
          <w:tcPr>
            <w:tcW w:type="dxa" w:w="21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はてな</w:t>
            </w:r>
          </w:p>
        </w:tc>
        <w:tc>
          <w:tcPr>
            <w:tcW w:type="dxa" w:w="736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良好 Price 84・Moat 80。</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5819</w:t>
            </w:r>
          </w:p>
        </w:tc>
        <w:tc>
          <w:tcPr>
            <w:tcW w:type="dxa" w:w="21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カナレ電気</w:t>
            </w:r>
          </w:p>
        </w:tc>
        <w:tc>
          <w:tcPr>
            <w:tcW w:type="dxa" w:w="736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突出 Price 87／良好 Future 85・Moat 72。</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7745</w:t>
            </w:r>
          </w:p>
        </w:tc>
        <w:tc>
          <w:tcPr>
            <w:tcW w:type="dxa" w:w="21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Ａ＆Ｄホロンホールディングス</w:t>
            </w:r>
          </w:p>
        </w:tc>
        <w:tc>
          <w:tcPr>
            <w:tcW w:type="dxa" w:w="736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突出 Future 96／良好 Change 72・Moat 70。</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9507</w:t>
            </w:r>
          </w:p>
        </w:tc>
        <w:tc>
          <w:tcPr>
            <w:tcW w:type="dxa" w:w="21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四国電力</w:t>
            </w:r>
          </w:p>
        </w:tc>
        <w:tc>
          <w:tcPr>
            <w:tcW w:type="dxa" w:w="736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突出 Price 88／良好 Future 79。</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5729</w:t>
            </w:r>
          </w:p>
        </w:tc>
        <w:tc>
          <w:tcPr>
            <w:tcW w:type="dxa" w:w="21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日本精鉱</w:t>
            </w:r>
          </w:p>
        </w:tc>
        <w:tc>
          <w:tcPr>
            <w:tcW w:type="dxa" w:w="736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良好 Change 84・Future 79。</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9247</w:t>
            </w:r>
          </w:p>
        </w:tc>
        <w:tc>
          <w:tcPr>
            <w:tcW w:type="dxa" w:w="21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ＴＲＥホールディングス</w:t>
            </w:r>
          </w:p>
        </w:tc>
        <w:tc>
          <w:tcPr>
            <w:tcW w:type="dxa" w:w="736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突出 Change 92／良好 Price 74。</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8920</w:t>
            </w:r>
          </w:p>
        </w:tc>
        <w:tc>
          <w:tcPr>
            <w:tcW w:type="dxa" w:w="21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東　祥</w:t>
            </w:r>
          </w:p>
        </w:tc>
        <w:tc>
          <w:tcPr>
            <w:tcW w:type="dxa" w:w="736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突出 Price 88・Change 87。</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3089</w:t>
            </w:r>
          </w:p>
        </w:tc>
        <w:tc>
          <w:tcPr>
            <w:tcW w:type="dxa" w:w="21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テクノアルファ</w:t>
            </w:r>
          </w:p>
        </w:tc>
        <w:tc>
          <w:tcPr>
            <w:tcW w:type="dxa" w:w="736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突出 Price 90・Change 88／良好 Moat 79／弱点 Future 23。</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7347</w:t>
            </w:r>
          </w:p>
        </w:tc>
        <w:tc>
          <w:tcPr>
            <w:tcW w:type="dxa" w:w="21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マーキュリアホールディングス</w:t>
            </w:r>
          </w:p>
        </w:tc>
        <w:tc>
          <w:tcPr>
            <w:tcW w:type="dxa" w:w="736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突出 Moat 89・Price 86／良好 Change 80／弱点 Future 23。</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9513</w:t>
            </w:r>
          </w:p>
        </w:tc>
        <w:tc>
          <w:tcPr>
            <w:tcW w:type="dxa" w:w="21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電源開発</w:t>
            </w:r>
          </w:p>
        </w:tc>
        <w:tc>
          <w:tcPr>
            <w:tcW w:type="dxa" w:w="736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突出 Price 96／良好 Future 79。</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5947</w:t>
            </w:r>
          </w:p>
        </w:tc>
        <w:tc>
          <w:tcPr>
            <w:tcW w:type="dxa" w:w="21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リンナイ</w:t>
            </w:r>
          </w:p>
        </w:tc>
        <w:tc>
          <w:tcPr>
            <w:tcW w:type="dxa" w:w="736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良好 Future 79。</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5975</w:t>
            </w:r>
          </w:p>
        </w:tc>
        <w:tc>
          <w:tcPr>
            <w:tcW w:type="dxa" w:w="21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東プレ</w:t>
            </w:r>
          </w:p>
        </w:tc>
        <w:tc>
          <w:tcPr>
            <w:tcW w:type="dxa" w:w="736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良好 Price 84・Future 79。</w:t>
            </w:r>
          </w:p>
        </w:tc>
      </w:tr>
    </w:tbl>
    <w:p>
      <w:pPr>
        <w:pageBreakBefore/>
      </w:pPr>
    </w:p>
    <w:p>
      <w:pPr>
        <w:pStyle w:val="Heading2"/>
        <w:spacing w:after="115" w:before="280"/>
      </w:pPr>
      <w:r>
        <w:rPr>
          <w:rFonts w:ascii="Yu Gothic" w:cs="Yu Gothic" w:eastAsia="Yu Gothic" w:hAnsi="Yu Gothic"/>
          <w:b/>
          <w:bCs/>
          <w:i w:val="false"/>
          <w:iCs w:val="false"/>
          <w:color w:val="1B1F27"/>
          <w:sz w:val="21"/>
          <w:szCs w:val="21"/>
        </w:rPr>
        <w:t xml:space="preserve">8-2. 財務指標</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40"/>
        <w:gridCol w:w="2140"/>
        <w:gridCol w:w="1160"/>
        <w:gridCol w:w="1180"/>
        <w:gridCol w:w="1000"/>
        <w:gridCol w:w="1200"/>
        <w:gridCol w:w="1260"/>
        <w:gridCol w:w="1526"/>
      </w:tblGrid>
      <w:tr>
        <w:trPr>
          <w:tblHeader/>
        </w:trPr>
        <w:tc>
          <w:tcPr>
            <w:tcW w:type="dxa" w:w="74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コード</w:t>
            </w:r>
          </w:p>
        </w:tc>
        <w:tc>
          <w:tcPr>
            <w:tcW w:type="dxa" w:w="214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5"/>
                <w:szCs w:val="15"/>
              </w:rPr>
              <w:t xml:space="preserve">会社名</w:t>
            </w:r>
          </w:p>
        </w:tc>
        <w:tc>
          <w:tcPr>
            <w:tcW w:type="dxa" w:w="116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売上高</w:t>
            </w:r>
          </w:p>
        </w:tc>
        <w:tc>
          <w:tcPr>
            <w:tcW w:type="dxa" w:w="118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営業利益率</w:t>
            </w:r>
          </w:p>
        </w:tc>
        <w:tc>
          <w:tcPr>
            <w:tcW w:type="dxa" w:w="10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ROE</w:t>
            </w:r>
          </w:p>
        </w:tc>
        <w:tc>
          <w:tcPr>
            <w:tcW w:type="dxa" w:w="12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自己資本比率</w:t>
            </w:r>
          </w:p>
        </w:tc>
        <w:tc>
          <w:tcPr>
            <w:tcW w:type="dxa" w:w="126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営業CF率</w:t>
            </w:r>
          </w:p>
        </w:tc>
        <w:tc>
          <w:tcPr>
            <w:tcW w:type="dxa" w:w="1526"/>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時価総額</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7991</w:t>
            </w:r>
          </w:p>
        </w:tc>
        <w:tc>
          <w:tcPr>
            <w:tcW w:type="dxa" w:w="21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マミヤ・オーピー</w:t>
            </w:r>
          </w:p>
        </w:tc>
        <w:tc>
          <w:tcPr>
            <w:tcW w:type="dxa" w:w="11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337</w:t>
            </w:r>
          </w:p>
        </w:tc>
        <w:tc>
          <w:tcPr>
            <w:tcW w:type="dxa" w:w="11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19.0%</w:t>
            </w:r>
          </w:p>
        </w:tc>
        <w:tc>
          <w:tcPr>
            <w:tcW w:type="dxa" w:w="1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18.8%</w:t>
            </w:r>
          </w:p>
        </w:tc>
        <w:tc>
          <w:tcPr>
            <w:tcW w:type="dxa" w:w="1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61.8%</w:t>
            </w:r>
          </w:p>
        </w:tc>
        <w:tc>
          <w:tcPr>
            <w:tcW w:type="dxa" w:w="12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19.8%</w:t>
            </w:r>
          </w:p>
        </w:tc>
        <w:tc>
          <w:tcPr>
            <w:tcW w:type="dxa" w:w="152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112</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6149</w:t>
            </w:r>
          </w:p>
        </w:tc>
        <w:tc>
          <w:tcPr>
            <w:tcW w:type="dxa" w:w="21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小田原エンジニアリング</w:t>
            </w:r>
          </w:p>
        </w:tc>
        <w:tc>
          <w:tcPr>
            <w:tcW w:type="dxa" w:w="11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182</w:t>
            </w:r>
          </w:p>
        </w:tc>
        <w:tc>
          <w:tcPr>
            <w:tcW w:type="dxa" w:w="11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16.7%</w:t>
            </w:r>
          </w:p>
        </w:tc>
        <w:tc>
          <w:tcPr>
            <w:tcW w:type="dxa" w:w="1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12.5%</w:t>
            </w:r>
          </w:p>
        </w:tc>
        <w:tc>
          <w:tcPr>
            <w:tcW w:type="dxa" w:w="12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74.5%</w:t>
            </w:r>
          </w:p>
        </w:tc>
        <w:tc>
          <w:tcPr>
            <w:tcW w:type="dxa" w:w="12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0.6%</w:t>
            </w:r>
          </w:p>
        </w:tc>
        <w:tc>
          <w:tcPr>
            <w:tcW w:type="dxa" w:w="152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129</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6626</w:t>
            </w:r>
          </w:p>
        </w:tc>
        <w:tc>
          <w:tcPr>
            <w:tcW w:type="dxa" w:w="21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ＳＥＭＩＴＥＣ</w:t>
            </w:r>
          </w:p>
        </w:tc>
        <w:tc>
          <w:tcPr>
            <w:tcW w:type="dxa" w:w="11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253</w:t>
            </w:r>
          </w:p>
        </w:tc>
        <w:tc>
          <w:tcPr>
            <w:tcW w:type="dxa" w:w="11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15.5%</w:t>
            </w:r>
          </w:p>
        </w:tc>
        <w:tc>
          <w:tcPr>
            <w:tcW w:type="dxa" w:w="1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13.4%</w:t>
            </w:r>
          </w:p>
        </w:tc>
        <w:tc>
          <w:tcPr>
            <w:tcW w:type="dxa" w:w="1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74.4%</w:t>
            </w:r>
          </w:p>
        </w:tc>
        <w:tc>
          <w:tcPr>
            <w:tcW w:type="dxa" w:w="12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20.5%</w:t>
            </w:r>
          </w:p>
        </w:tc>
        <w:tc>
          <w:tcPr>
            <w:tcW w:type="dxa" w:w="152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218</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7722</w:t>
            </w:r>
          </w:p>
        </w:tc>
        <w:tc>
          <w:tcPr>
            <w:tcW w:type="dxa" w:w="21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国際計測器</w:t>
            </w:r>
          </w:p>
        </w:tc>
        <w:tc>
          <w:tcPr>
            <w:tcW w:type="dxa" w:w="11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132</w:t>
            </w:r>
          </w:p>
        </w:tc>
        <w:tc>
          <w:tcPr>
            <w:tcW w:type="dxa" w:w="11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9.2%</w:t>
            </w:r>
          </w:p>
        </w:tc>
        <w:tc>
          <w:tcPr>
            <w:tcW w:type="dxa" w:w="1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8.6%</w:t>
            </w:r>
          </w:p>
        </w:tc>
        <w:tc>
          <w:tcPr>
            <w:tcW w:type="dxa" w:w="12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55.7%</w:t>
            </w:r>
          </w:p>
        </w:tc>
        <w:tc>
          <w:tcPr>
            <w:tcW w:type="dxa" w:w="12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7.8%</w:t>
            </w:r>
          </w:p>
        </w:tc>
        <w:tc>
          <w:tcPr>
            <w:tcW w:type="dxa" w:w="152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107</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6658</w:t>
            </w:r>
          </w:p>
        </w:tc>
        <w:tc>
          <w:tcPr>
            <w:tcW w:type="dxa" w:w="21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シライ電子工業</w:t>
            </w:r>
          </w:p>
        </w:tc>
        <w:tc>
          <w:tcPr>
            <w:tcW w:type="dxa" w:w="11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293</w:t>
            </w:r>
          </w:p>
        </w:tc>
        <w:tc>
          <w:tcPr>
            <w:tcW w:type="dxa" w:w="11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8.8%</w:t>
            </w:r>
          </w:p>
        </w:tc>
        <w:tc>
          <w:tcPr>
            <w:tcW w:type="dxa" w:w="1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20.9%</w:t>
            </w:r>
          </w:p>
        </w:tc>
        <w:tc>
          <w:tcPr>
            <w:tcW w:type="dxa" w:w="1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51.7%</w:t>
            </w:r>
          </w:p>
        </w:tc>
        <w:tc>
          <w:tcPr>
            <w:tcW w:type="dxa" w:w="12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8.9%</w:t>
            </w:r>
          </w:p>
        </w:tc>
        <w:tc>
          <w:tcPr>
            <w:tcW w:type="dxa" w:w="152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69</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4112</w:t>
            </w:r>
          </w:p>
        </w:tc>
        <w:tc>
          <w:tcPr>
            <w:tcW w:type="dxa" w:w="21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保土谷化学工業</w:t>
            </w:r>
          </w:p>
        </w:tc>
        <w:tc>
          <w:tcPr>
            <w:tcW w:type="dxa" w:w="11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486</w:t>
            </w:r>
          </w:p>
        </w:tc>
        <w:tc>
          <w:tcPr>
            <w:tcW w:type="dxa" w:w="11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10.0%</w:t>
            </w:r>
          </w:p>
        </w:tc>
        <w:tc>
          <w:tcPr>
            <w:tcW w:type="dxa" w:w="1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7.8%</w:t>
            </w:r>
          </w:p>
        </w:tc>
        <w:tc>
          <w:tcPr>
            <w:tcW w:type="dxa" w:w="12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73.3%</w:t>
            </w:r>
          </w:p>
        </w:tc>
        <w:tc>
          <w:tcPr>
            <w:tcW w:type="dxa" w:w="12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11.7%</w:t>
            </w:r>
          </w:p>
        </w:tc>
        <w:tc>
          <w:tcPr>
            <w:tcW w:type="dxa" w:w="152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368</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4994</w:t>
            </w:r>
          </w:p>
        </w:tc>
        <w:tc>
          <w:tcPr>
            <w:tcW w:type="dxa" w:w="21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大成ラミックグループ</w:t>
            </w:r>
          </w:p>
        </w:tc>
        <w:tc>
          <w:tcPr>
            <w:tcW w:type="dxa" w:w="11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308</w:t>
            </w:r>
          </w:p>
        </w:tc>
        <w:tc>
          <w:tcPr>
            <w:tcW w:type="dxa" w:w="11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7.7%</w:t>
            </w:r>
          </w:p>
        </w:tc>
        <w:tc>
          <w:tcPr>
            <w:tcW w:type="dxa" w:w="1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6.7%</w:t>
            </w:r>
          </w:p>
        </w:tc>
        <w:tc>
          <w:tcPr>
            <w:tcW w:type="dxa" w:w="1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73.5%</w:t>
            </w:r>
          </w:p>
        </w:tc>
        <w:tc>
          <w:tcPr>
            <w:tcW w:type="dxa" w:w="12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10.8%</w:t>
            </w:r>
          </w:p>
        </w:tc>
        <w:tc>
          <w:tcPr>
            <w:tcW w:type="dxa" w:w="152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167</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3834</w:t>
            </w:r>
          </w:p>
        </w:tc>
        <w:tc>
          <w:tcPr>
            <w:tcW w:type="dxa" w:w="21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朝日ネット</w:t>
            </w:r>
          </w:p>
        </w:tc>
        <w:tc>
          <w:tcPr>
            <w:tcW w:type="dxa" w:w="11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131</w:t>
            </w:r>
          </w:p>
        </w:tc>
        <w:tc>
          <w:tcPr>
            <w:tcW w:type="dxa" w:w="11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17.9%</w:t>
            </w:r>
          </w:p>
        </w:tc>
        <w:tc>
          <w:tcPr>
            <w:tcW w:type="dxa" w:w="1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12.4%</w:t>
            </w:r>
          </w:p>
        </w:tc>
        <w:tc>
          <w:tcPr>
            <w:tcW w:type="dxa" w:w="12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88.5%</w:t>
            </w:r>
          </w:p>
        </w:tc>
        <w:tc>
          <w:tcPr>
            <w:tcW w:type="dxa" w:w="12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18.8%</w:t>
            </w:r>
          </w:p>
        </w:tc>
        <w:tc>
          <w:tcPr>
            <w:tcW w:type="dxa" w:w="152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161</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3930</w:t>
            </w:r>
          </w:p>
        </w:tc>
        <w:tc>
          <w:tcPr>
            <w:tcW w:type="dxa" w:w="21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はてな</w:t>
            </w:r>
          </w:p>
        </w:tc>
        <w:tc>
          <w:tcPr>
            <w:tcW w:type="dxa" w:w="11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38</w:t>
            </w:r>
          </w:p>
        </w:tc>
        <w:tc>
          <w:tcPr>
            <w:tcW w:type="dxa" w:w="11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8.9%</w:t>
            </w:r>
          </w:p>
        </w:tc>
        <w:tc>
          <w:tcPr>
            <w:tcW w:type="dxa" w:w="1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8.2%</w:t>
            </w:r>
          </w:p>
        </w:tc>
        <w:tc>
          <w:tcPr>
            <w:tcW w:type="dxa" w:w="1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81.6%</w:t>
            </w:r>
          </w:p>
        </w:tc>
        <w:tc>
          <w:tcPr>
            <w:tcW w:type="dxa" w:w="12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18.8%</w:t>
            </w:r>
          </w:p>
        </w:tc>
        <w:tc>
          <w:tcPr>
            <w:tcW w:type="dxa" w:w="152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22</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5819</w:t>
            </w:r>
          </w:p>
        </w:tc>
        <w:tc>
          <w:tcPr>
            <w:tcW w:type="dxa" w:w="21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カナレ電気</w:t>
            </w:r>
          </w:p>
        </w:tc>
        <w:tc>
          <w:tcPr>
            <w:tcW w:type="dxa" w:w="11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131</w:t>
            </w:r>
          </w:p>
        </w:tc>
        <w:tc>
          <w:tcPr>
            <w:tcW w:type="dxa" w:w="11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12.1%</w:t>
            </w:r>
          </w:p>
        </w:tc>
        <w:tc>
          <w:tcPr>
            <w:tcW w:type="dxa" w:w="1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6.3%</w:t>
            </w:r>
          </w:p>
        </w:tc>
        <w:tc>
          <w:tcPr>
            <w:tcW w:type="dxa" w:w="12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90.4%</w:t>
            </w:r>
          </w:p>
        </w:tc>
        <w:tc>
          <w:tcPr>
            <w:tcW w:type="dxa" w:w="12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13.4%</w:t>
            </w:r>
          </w:p>
        </w:tc>
        <w:tc>
          <w:tcPr>
            <w:tcW w:type="dxa" w:w="152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121</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7745</w:t>
            </w:r>
          </w:p>
        </w:tc>
        <w:tc>
          <w:tcPr>
            <w:tcW w:type="dxa" w:w="21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Ａ＆Ｄホロンホールディングス</w:t>
            </w:r>
          </w:p>
        </w:tc>
        <w:tc>
          <w:tcPr>
            <w:tcW w:type="dxa" w:w="11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671</w:t>
            </w:r>
          </w:p>
        </w:tc>
        <w:tc>
          <w:tcPr>
            <w:tcW w:type="dxa" w:w="11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13.1%</w:t>
            </w:r>
          </w:p>
        </w:tc>
        <w:tc>
          <w:tcPr>
            <w:tcW w:type="dxa" w:w="1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15.2%</w:t>
            </w:r>
          </w:p>
        </w:tc>
        <w:tc>
          <w:tcPr>
            <w:tcW w:type="dxa" w:w="1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62.0%</w:t>
            </w:r>
          </w:p>
        </w:tc>
        <w:tc>
          <w:tcPr>
            <w:tcW w:type="dxa" w:w="12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9.8%</w:t>
            </w:r>
          </w:p>
        </w:tc>
        <w:tc>
          <w:tcPr>
            <w:tcW w:type="dxa" w:w="152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808</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9507</w:t>
            </w:r>
          </w:p>
        </w:tc>
        <w:tc>
          <w:tcPr>
            <w:tcW w:type="dxa" w:w="21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四国電力</w:t>
            </w:r>
          </w:p>
        </w:tc>
        <w:tc>
          <w:tcPr>
            <w:tcW w:type="dxa" w:w="11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8,514</w:t>
            </w:r>
          </w:p>
        </w:tc>
        <w:tc>
          <w:tcPr>
            <w:tcW w:type="dxa" w:w="11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10.5%</w:t>
            </w:r>
          </w:p>
        </w:tc>
        <w:tc>
          <w:tcPr>
            <w:tcW w:type="dxa" w:w="1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15.5%</w:t>
            </w:r>
          </w:p>
        </w:tc>
        <w:tc>
          <w:tcPr>
            <w:tcW w:type="dxa" w:w="12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26.1%</w:t>
            </w:r>
          </w:p>
        </w:tc>
        <w:tc>
          <w:tcPr>
            <w:tcW w:type="dxa" w:w="12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15.2%</w:t>
            </w:r>
          </w:p>
        </w:tc>
        <w:tc>
          <w:tcPr>
            <w:tcW w:type="dxa" w:w="152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3,694</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5729</w:t>
            </w:r>
          </w:p>
        </w:tc>
        <w:tc>
          <w:tcPr>
            <w:tcW w:type="dxa" w:w="21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日本精鉱</w:t>
            </w:r>
          </w:p>
        </w:tc>
        <w:tc>
          <w:tcPr>
            <w:tcW w:type="dxa" w:w="11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252</w:t>
            </w:r>
          </w:p>
        </w:tc>
        <w:tc>
          <w:tcPr>
            <w:tcW w:type="dxa" w:w="11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14.3%</w:t>
            </w:r>
          </w:p>
        </w:tc>
        <w:tc>
          <w:tcPr>
            <w:tcW w:type="dxa" w:w="1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20.6%</w:t>
            </w:r>
          </w:p>
        </w:tc>
        <w:tc>
          <w:tcPr>
            <w:tcW w:type="dxa" w:w="1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57.0%</w:t>
            </w:r>
          </w:p>
        </w:tc>
        <w:tc>
          <w:tcPr>
            <w:tcW w:type="dxa" w:w="12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-3.7%</w:t>
            </w:r>
          </w:p>
        </w:tc>
        <w:tc>
          <w:tcPr>
            <w:tcW w:type="dxa" w:w="152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174</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9247</w:t>
            </w:r>
          </w:p>
        </w:tc>
        <w:tc>
          <w:tcPr>
            <w:tcW w:type="dxa" w:w="21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ＴＲＥホールディングス</w:t>
            </w:r>
          </w:p>
        </w:tc>
        <w:tc>
          <w:tcPr>
            <w:tcW w:type="dxa" w:w="11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1,187</w:t>
            </w:r>
          </w:p>
        </w:tc>
        <w:tc>
          <w:tcPr>
            <w:tcW w:type="dxa" w:w="11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19.4%</w:t>
            </w:r>
          </w:p>
        </w:tc>
        <w:tc>
          <w:tcPr>
            <w:tcW w:type="dxa" w:w="1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16.5%</w:t>
            </w:r>
          </w:p>
        </w:tc>
        <w:tc>
          <w:tcPr>
            <w:tcW w:type="dxa" w:w="12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46.5%</w:t>
            </w:r>
          </w:p>
        </w:tc>
        <w:tc>
          <w:tcPr>
            <w:tcW w:type="dxa" w:w="12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16.7%</w:t>
            </w:r>
          </w:p>
        </w:tc>
        <w:tc>
          <w:tcPr>
            <w:tcW w:type="dxa" w:w="152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947</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8920</w:t>
            </w:r>
          </w:p>
        </w:tc>
        <w:tc>
          <w:tcPr>
            <w:tcW w:type="dxa" w:w="21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東　祥</w:t>
            </w:r>
          </w:p>
        </w:tc>
        <w:tc>
          <w:tcPr>
            <w:tcW w:type="dxa" w:w="11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356</w:t>
            </w:r>
          </w:p>
        </w:tc>
        <w:tc>
          <w:tcPr>
            <w:tcW w:type="dxa" w:w="11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16.5%</w:t>
            </w:r>
          </w:p>
        </w:tc>
        <w:tc>
          <w:tcPr>
            <w:tcW w:type="dxa" w:w="1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5.8%</w:t>
            </w:r>
          </w:p>
        </w:tc>
        <w:tc>
          <w:tcPr>
            <w:tcW w:type="dxa" w:w="1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58.6%</w:t>
            </w:r>
          </w:p>
        </w:tc>
        <w:tc>
          <w:tcPr>
            <w:tcW w:type="dxa" w:w="12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43.3%</w:t>
            </w:r>
          </w:p>
        </w:tc>
        <w:tc>
          <w:tcPr>
            <w:tcW w:type="dxa" w:w="152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252</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3089</w:t>
            </w:r>
          </w:p>
        </w:tc>
        <w:tc>
          <w:tcPr>
            <w:tcW w:type="dxa" w:w="21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テクノアルファ</w:t>
            </w:r>
          </w:p>
        </w:tc>
        <w:tc>
          <w:tcPr>
            <w:tcW w:type="dxa" w:w="11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45</w:t>
            </w:r>
          </w:p>
        </w:tc>
        <w:tc>
          <w:tcPr>
            <w:tcW w:type="dxa" w:w="11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13.0%</w:t>
            </w:r>
          </w:p>
        </w:tc>
        <w:tc>
          <w:tcPr>
            <w:tcW w:type="dxa" w:w="1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17.8%</w:t>
            </w:r>
          </w:p>
        </w:tc>
        <w:tc>
          <w:tcPr>
            <w:tcW w:type="dxa" w:w="12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69.5%</w:t>
            </w:r>
          </w:p>
        </w:tc>
        <w:tc>
          <w:tcPr>
            <w:tcW w:type="dxa" w:w="12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13.4%</w:t>
            </w:r>
          </w:p>
        </w:tc>
        <w:tc>
          <w:tcPr>
            <w:tcW w:type="dxa" w:w="152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18</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7347</w:t>
            </w:r>
          </w:p>
        </w:tc>
        <w:tc>
          <w:tcPr>
            <w:tcW w:type="dxa" w:w="21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マーキュリアホールディングス</w:t>
            </w:r>
          </w:p>
        </w:tc>
        <w:tc>
          <w:tcPr>
            <w:tcW w:type="dxa" w:w="11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72</w:t>
            </w:r>
          </w:p>
        </w:tc>
        <w:tc>
          <w:tcPr>
            <w:tcW w:type="dxa" w:w="11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34.9%</w:t>
            </w:r>
          </w:p>
        </w:tc>
        <w:tc>
          <w:tcPr>
            <w:tcW w:type="dxa" w:w="1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9.3%</w:t>
            </w:r>
          </w:p>
        </w:tc>
        <w:tc>
          <w:tcPr>
            <w:tcW w:type="dxa" w:w="1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81.8%</w:t>
            </w:r>
          </w:p>
        </w:tc>
        <w:tc>
          <w:tcPr>
            <w:tcW w:type="dxa" w:w="12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33.0%</w:t>
            </w:r>
          </w:p>
        </w:tc>
        <w:tc>
          <w:tcPr>
            <w:tcW w:type="dxa" w:w="152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153</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9513</w:t>
            </w:r>
          </w:p>
        </w:tc>
        <w:tc>
          <w:tcPr>
            <w:tcW w:type="dxa" w:w="21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電源開発</w:t>
            </w:r>
          </w:p>
        </w:tc>
        <w:tc>
          <w:tcPr>
            <w:tcW w:type="dxa" w:w="11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13,167</w:t>
            </w:r>
          </w:p>
        </w:tc>
        <w:tc>
          <w:tcPr>
            <w:tcW w:type="dxa" w:w="11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10.5%</w:t>
            </w:r>
          </w:p>
        </w:tc>
        <w:tc>
          <w:tcPr>
            <w:tcW w:type="dxa" w:w="1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7.0%</w:t>
            </w:r>
          </w:p>
        </w:tc>
        <w:tc>
          <w:tcPr>
            <w:tcW w:type="dxa" w:w="12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39.9%</w:t>
            </w:r>
          </w:p>
        </w:tc>
        <w:tc>
          <w:tcPr>
            <w:tcW w:type="dxa" w:w="12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19.0%</w:t>
            </w:r>
          </w:p>
        </w:tc>
        <w:tc>
          <w:tcPr>
            <w:tcW w:type="dxa" w:w="152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6,922</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5947</w:t>
            </w:r>
          </w:p>
        </w:tc>
        <w:tc>
          <w:tcPr>
            <w:tcW w:type="dxa" w:w="21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リンナイ</w:t>
            </w:r>
          </w:p>
        </w:tc>
        <w:tc>
          <w:tcPr>
            <w:tcW w:type="dxa" w:w="11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4,603</w:t>
            </w:r>
          </w:p>
        </w:tc>
        <w:tc>
          <w:tcPr>
            <w:tcW w:type="dxa" w:w="11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10.0%</w:t>
            </w:r>
          </w:p>
        </w:tc>
        <w:tc>
          <w:tcPr>
            <w:tcW w:type="dxa" w:w="1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8.1%</w:t>
            </w:r>
          </w:p>
        </w:tc>
        <w:tc>
          <w:tcPr>
            <w:tcW w:type="dxa" w:w="1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76.1%</w:t>
            </w:r>
          </w:p>
        </w:tc>
        <w:tc>
          <w:tcPr>
            <w:tcW w:type="dxa" w:w="12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12.5%</w:t>
            </w:r>
          </w:p>
        </w:tc>
        <w:tc>
          <w:tcPr>
            <w:tcW w:type="dxa" w:w="152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4,983</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5975</w:t>
            </w:r>
          </w:p>
        </w:tc>
        <w:tc>
          <w:tcPr>
            <w:tcW w:type="dxa" w:w="21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東プレ</w:t>
            </w:r>
          </w:p>
        </w:tc>
        <w:tc>
          <w:tcPr>
            <w:tcW w:type="dxa" w:w="11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3,736</w:t>
            </w:r>
          </w:p>
        </w:tc>
        <w:tc>
          <w:tcPr>
            <w:tcW w:type="dxa" w:w="11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7.7%</w:t>
            </w:r>
          </w:p>
        </w:tc>
        <w:tc>
          <w:tcPr>
            <w:tcW w:type="dxa" w:w="1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6.4%</w:t>
            </w:r>
          </w:p>
        </w:tc>
        <w:tc>
          <w:tcPr>
            <w:tcW w:type="dxa" w:w="12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60.2%</w:t>
            </w:r>
          </w:p>
        </w:tc>
        <w:tc>
          <w:tcPr>
            <w:tcW w:type="dxa" w:w="12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14.0%</w:t>
            </w:r>
          </w:p>
        </w:tc>
        <w:tc>
          <w:tcPr>
            <w:tcW w:type="dxa" w:w="152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1,543</w:t>
            </w:r>
          </w:p>
        </w:tc>
      </w:tr>
    </w:tbl>
    <w:p>
      <w:pPr>
        <w:spacing w:after="150" w:before="110" w:line="285"/>
      </w:pPr>
      <w:r>
        <w:rPr>
          <w:rFonts w:ascii="Yu Gothic" w:cs="Yu Gothic" w:eastAsia="Yu Gothic" w:hAnsi="Yu Gothic"/>
          <w:b w:val="false"/>
          <w:bCs w:val="false"/>
          <w:i w:val="false"/>
          <w:iCs w:val="false"/>
          <w:color w:val="5B6373"/>
          <w:sz w:val="16"/>
          <w:szCs w:val="16"/>
        </w:rPr>
        <w:t xml:space="preserve">売上高・時価総額は億円。営業CF率＝営業キャッシュフロー÷売上高。財務は各社最新の有価証券報告書。</w:t>
      </w:r>
    </w:p>
    <w:p>
      <w:pPr>
        <w:pStyle w:val="Heading1"/>
        <w:pBdr>
          <w:bottom w:val="single" w:color="2F4B8F" w:sz="8" w:space="6"/>
        </w:pBdr>
        <w:spacing w:after="170" w:before="380"/>
      </w:pPr>
      <w:r>
        <w:rPr>
          <w:rFonts w:ascii="Yu Gothic" w:cs="Yu Gothic" w:eastAsia="Yu Gothic" w:hAnsi="Yu Gothic"/>
          <w:b/>
          <w:bCs/>
          <w:i w:val="false"/>
          <w:iCs w:val="false"/>
          <w:color w:val="2F4B8F"/>
          <w:sz w:val="26"/>
          <w:szCs w:val="26"/>
        </w:rPr>
        <w:t xml:space="preserve">9. ポートフォリオ構成</w:t>
      </w:r>
    </w:p>
    <w:p>
      <w:pPr>
        <w:spacing w:after="130" w:before="0" w:line="300"/>
        <w:jc w:val="left"/>
      </w:pPr>
      <w:r>
        <w:rPr>
          <w:rFonts w:ascii="Yu Gothic" w:cs="Yu Gothic" w:eastAsia="Yu Gothic" w:hAnsi="Yu Gothic"/>
          <w:b w:val="false"/>
          <w:bCs w:val="false"/>
          <w:i w:val="false"/>
          <w:iCs w:val="false"/>
          <w:color w:val="1B1F27"/>
          <w:sz w:val="18"/>
          <w:szCs w:val="18"/>
        </w:rPr>
        <w:t xml:space="preserve">投資枠500万円、売買単位100株、1銘柄あたりの上限8%。合計4,988,650円（99.77%）を配分し、残る現金は11,350円。</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40"/>
        <w:gridCol w:w="2160"/>
        <w:gridCol w:w="940"/>
        <w:gridCol w:w="780"/>
        <w:gridCol w:w="780"/>
        <w:gridCol w:w="1060"/>
        <w:gridCol w:w="940"/>
        <w:gridCol w:w="1280"/>
        <w:gridCol w:w="1526"/>
      </w:tblGrid>
      <w:tr>
        <w:trPr>
          <w:tblHeader/>
        </w:trPr>
        <w:tc>
          <w:tcPr>
            <w:tcW w:type="dxa" w:w="74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コード</w:t>
            </w:r>
          </w:p>
        </w:tc>
        <w:tc>
          <w:tcPr>
            <w:tcW w:type="dxa" w:w="216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5"/>
                <w:szCs w:val="15"/>
              </w:rPr>
              <w:t xml:space="preserve">会社名</w:t>
            </w:r>
          </w:p>
        </w:tc>
        <w:tc>
          <w:tcPr>
            <w:tcW w:type="dxa" w:w="94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株価</w:t>
            </w:r>
          </w:p>
        </w:tc>
        <w:tc>
          <w:tcPr>
            <w:tcW w:type="dxa" w:w="78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PER</w:t>
            </w:r>
          </w:p>
        </w:tc>
        <w:tc>
          <w:tcPr>
            <w:tcW w:type="dxa" w:w="78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PBR</w:t>
            </w:r>
          </w:p>
        </w:tc>
        <w:tc>
          <w:tcPr>
            <w:tcW w:type="dxa" w:w="106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時価総額</w:t>
            </w:r>
          </w:p>
        </w:tc>
        <w:tc>
          <w:tcPr>
            <w:tcW w:type="dxa" w:w="94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株数</w:t>
            </w:r>
          </w:p>
        </w:tc>
        <w:tc>
          <w:tcPr>
            <w:tcW w:type="dxa" w:w="128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投資額</w:t>
            </w:r>
          </w:p>
        </w:tc>
        <w:tc>
          <w:tcPr>
            <w:tcW w:type="dxa" w:w="1526"/>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比率</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7991</w:t>
            </w:r>
          </w:p>
        </w:tc>
        <w:tc>
          <w:tcPr>
            <w:tcW w:type="dxa" w:w="21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マミヤ・オーピー</w:t>
            </w:r>
          </w:p>
        </w:tc>
        <w:tc>
          <w:tcPr>
            <w:tcW w:type="dxa" w:w="9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1,080</w:t>
            </w:r>
          </w:p>
        </w:tc>
        <w:tc>
          <w:tcPr>
            <w:tcW w:type="dxa" w:w="7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2.4</w:t>
            </w:r>
          </w:p>
        </w:tc>
        <w:tc>
          <w:tcPr>
            <w:tcW w:type="dxa" w:w="7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0.44</w:t>
            </w:r>
          </w:p>
        </w:tc>
        <w:tc>
          <w:tcPr>
            <w:tcW w:type="dxa" w:w="10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112億</w:t>
            </w:r>
          </w:p>
        </w:tc>
        <w:tc>
          <w:tcPr>
            <w:tcW w:type="dxa" w:w="9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200</w:t>
            </w:r>
          </w:p>
        </w:tc>
        <w:tc>
          <w:tcPr>
            <w:tcW w:type="dxa" w:w="12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216,000</w:t>
            </w:r>
          </w:p>
        </w:tc>
        <w:tc>
          <w:tcPr>
            <w:tcW w:type="dxa" w:w="152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4.32%</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6149</w:t>
            </w:r>
          </w:p>
        </w:tc>
        <w:tc>
          <w:tcPr>
            <w:tcW w:type="dxa" w:w="21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小田原エンジニアリング</w:t>
            </w:r>
          </w:p>
        </w:tc>
        <w:tc>
          <w:tcPr>
            <w:tcW w:type="dxa" w:w="9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2,263</w:t>
            </w:r>
          </w:p>
        </w:tc>
        <w:tc>
          <w:tcPr>
            <w:tcW w:type="dxa" w:w="7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5.6</w:t>
            </w:r>
          </w:p>
        </w:tc>
        <w:tc>
          <w:tcPr>
            <w:tcW w:type="dxa" w:w="7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0.70</w:t>
            </w:r>
          </w:p>
        </w:tc>
        <w:tc>
          <w:tcPr>
            <w:tcW w:type="dxa" w:w="10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129億</w:t>
            </w:r>
          </w:p>
        </w:tc>
        <w:tc>
          <w:tcPr>
            <w:tcW w:type="dxa" w:w="9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100</w:t>
            </w:r>
          </w:p>
        </w:tc>
        <w:tc>
          <w:tcPr>
            <w:tcW w:type="dxa" w:w="12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226,300</w:t>
            </w:r>
          </w:p>
        </w:tc>
        <w:tc>
          <w:tcPr>
            <w:tcW w:type="dxa" w:w="152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4.53%</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6626</w:t>
            </w:r>
          </w:p>
        </w:tc>
        <w:tc>
          <w:tcPr>
            <w:tcW w:type="dxa" w:w="21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ＳＥＭＩＴＥＣ</w:t>
            </w:r>
          </w:p>
        </w:tc>
        <w:tc>
          <w:tcPr>
            <w:tcW w:type="dxa" w:w="9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2,270</w:t>
            </w:r>
          </w:p>
        </w:tc>
        <w:tc>
          <w:tcPr>
            <w:tcW w:type="dxa" w:w="7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7.0</w:t>
            </w:r>
          </w:p>
        </w:tc>
        <w:tc>
          <w:tcPr>
            <w:tcW w:type="dxa" w:w="7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0.94</w:t>
            </w:r>
          </w:p>
        </w:tc>
        <w:tc>
          <w:tcPr>
            <w:tcW w:type="dxa" w:w="10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218億</w:t>
            </w:r>
          </w:p>
        </w:tc>
        <w:tc>
          <w:tcPr>
            <w:tcW w:type="dxa" w:w="9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100</w:t>
            </w:r>
          </w:p>
        </w:tc>
        <w:tc>
          <w:tcPr>
            <w:tcW w:type="dxa" w:w="12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227,000</w:t>
            </w:r>
          </w:p>
        </w:tc>
        <w:tc>
          <w:tcPr>
            <w:tcW w:type="dxa" w:w="152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4.54%</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7722</w:t>
            </w:r>
          </w:p>
        </w:tc>
        <w:tc>
          <w:tcPr>
            <w:tcW w:type="dxa" w:w="21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国際計測器</w:t>
            </w:r>
          </w:p>
        </w:tc>
        <w:tc>
          <w:tcPr>
            <w:tcW w:type="dxa" w:w="9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796</w:t>
            </w:r>
          </w:p>
        </w:tc>
        <w:tc>
          <w:tcPr>
            <w:tcW w:type="dxa" w:w="7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10.7</w:t>
            </w:r>
          </w:p>
        </w:tc>
        <w:tc>
          <w:tcPr>
            <w:tcW w:type="dxa" w:w="7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0.92</w:t>
            </w:r>
          </w:p>
        </w:tc>
        <w:tc>
          <w:tcPr>
            <w:tcW w:type="dxa" w:w="10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107億</w:t>
            </w:r>
          </w:p>
        </w:tc>
        <w:tc>
          <w:tcPr>
            <w:tcW w:type="dxa" w:w="9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300</w:t>
            </w:r>
          </w:p>
        </w:tc>
        <w:tc>
          <w:tcPr>
            <w:tcW w:type="dxa" w:w="12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238,800</w:t>
            </w:r>
          </w:p>
        </w:tc>
        <w:tc>
          <w:tcPr>
            <w:tcW w:type="dxa" w:w="152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4.78%</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6658</w:t>
            </w:r>
          </w:p>
        </w:tc>
        <w:tc>
          <w:tcPr>
            <w:tcW w:type="dxa" w:w="21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シライ電子工業</w:t>
            </w:r>
          </w:p>
        </w:tc>
        <w:tc>
          <w:tcPr>
            <w:tcW w:type="dxa" w:w="9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461</w:t>
            </w:r>
          </w:p>
        </w:tc>
        <w:tc>
          <w:tcPr>
            <w:tcW w:type="dxa" w:w="7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3.3</w:t>
            </w:r>
          </w:p>
        </w:tc>
        <w:tc>
          <w:tcPr>
            <w:tcW w:type="dxa" w:w="7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0.69</w:t>
            </w:r>
          </w:p>
        </w:tc>
        <w:tc>
          <w:tcPr>
            <w:tcW w:type="dxa" w:w="10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69億</w:t>
            </w:r>
          </w:p>
        </w:tc>
        <w:tc>
          <w:tcPr>
            <w:tcW w:type="dxa" w:w="9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500</w:t>
            </w:r>
          </w:p>
        </w:tc>
        <w:tc>
          <w:tcPr>
            <w:tcW w:type="dxa" w:w="12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230,500</w:t>
            </w:r>
          </w:p>
        </w:tc>
        <w:tc>
          <w:tcPr>
            <w:tcW w:type="dxa" w:w="152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4.61%</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4112</w:t>
            </w:r>
          </w:p>
        </w:tc>
        <w:tc>
          <w:tcPr>
            <w:tcW w:type="dxa" w:w="21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保土谷化学工業</w:t>
            </w:r>
          </w:p>
        </w:tc>
        <w:tc>
          <w:tcPr>
            <w:tcW w:type="dxa" w:w="9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2,310</w:t>
            </w:r>
          </w:p>
        </w:tc>
        <w:tc>
          <w:tcPr>
            <w:tcW w:type="dxa" w:w="7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8.0</w:t>
            </w:r>
          </w:p>
        </w:tc>
        <w:tc>
          <w:tcPr>
            <w:tcW w:type="dxa" w:w="7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0.63</w:t>
            </w:r>
          </w:p>
        </w:tc>
        <w:tc>
          <w:tcPr>
            <w:tcW w:type="dxa" w:w="10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368億</w:t>
            </w:r>
          </w:p>
        </w:tc>
        <w:tc>
          <w:tcPr>
            <w:tcW w:type="dxa" w:w="9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100</w:t>
            </w:r>
          </w:p>
        </w:tc>
        <w:tc>
          <w:tcPr>
            <w:tcW w:type="dxa" w:w="12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231,000</w:t>
            </w:r>
          </w:p>
        </w:tc>
        <w:tc>
          <w:tcPr>
            <w:tcW w:type="dxa" w:w="152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4.62%</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4994</w:t>
            </w:r>
          </w:p>
        </w:tc>
        <w:tc>
          <w:tcPr>
            <w:tcW w:type="dxa" w:w="21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大成ラミックグループ</w:t>
            </w:r>
          </w:p>
        </w:tc>
        <w:tc>
          <w:tcPr>
            <w:tcW w:type="dxa" w:w="9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2,755</w:t>
            </w:r>
          </w:p>
        </w:tc>
        <w:tc>
          <w:tcPr>
            <w:tcW w:type="dxa" w:w="7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9.9</w:t>
            </w:r>
          </w:p>
        </w:tc>
        <w:tc>
          <w:tcPr>
            <w:tcW w:type="dxa" w:w="7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0.66</w:t>
            </w:r>
          </w:p>
        </w:tc>
        <w:tc>
          <w:tcPr>
            <w:tcW w:type="dxa" w:w="10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167億</w:t>
            </w:r>
          </w:p>
        </w:tc>
        <w:tc>
          <w:tcPr>
            <w:tcW w:type="dxa" w:w="9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100</w:t>
            </w:r>
          </w:p>
        </w:tc>
        <w:tc>
          <w:tcPr>
            <w:tcW w:type="dxa" w:w="12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275,500</w:t>
            </w:r>
          </w:p>
        </w:tc>
        <w:tc>
          <w:tcPr>
            <w:tcW w:type="dxa" w:w="152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5.51%</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3834</w:t>
            </w:r>
          </w:p>
        </w:tc>
        <w:tc>
          <w:tcPr>
            <w:tcW w:type="dxa" w:w="21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朝日ネット</w:t>
            </w:r>
          </w:p>
        </w:tc>
        <w:tc>
          <w:tcPr>
            <w:tcW w:type="dxa" w:w="9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620</w:t>
            </w:r>
          </w:p>
        </w:tc>
        <w:tc>
          <w:tcPr>
            <w:tcW w:type="dxa" w:w="7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9.2</w:t>
            </w:r>
          </w:p>
        </w:tc>
        <w:tc>
          <w:tcPr>
            <w:tcW w:type="dxa" w:w="7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1.14</w:t>
            </w:r>
          </w:p>
        </w:tc>
        <w:tc>
          <w:tcPr>
            <w:tcW w:type="dxa" w:w="10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161億</w:t>
            </w:r>
          </w:p>
        </w:tc>
        <w:tc>
          <w:tcPr>
            <w:tcW w:type="dxa" w:w="9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400</w:t>
            </w:r>
          </w:p>
        </w:tc>
        <w:tc>
          <w:tcPr>
            <w:tcW w:type="dxa" w:w="12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248,000</w:t>
            </w:r>
          </w:p>
        </w:tc>
        <w:tc>
          <w:tcPr>
            <w:tcW w:type="dxa" w:w="152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4.96%</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3930</w:t>
            </w:r>
          </w:p>
        </w:tc>
        <w:tc>
          <w:tcPr>
            <w:tcW w:type="dxa" w:w="21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はてな</w:t>
            </w:r>
          </w:p>
        </w:tc>
        <w:tc>
          <w:tcPr>
            <w:tcW w:type="dxa" w:w="9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743</w:t>
            </w:r>
          </w:p>
        </w:tc>
        <w:tc>
          <w:tcPr>
            <w:tcW w:type="dxa" w:w="7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9.6</w:t>
            </w:r>
          </w:p>
        </w:tc>
        <w:tc>
          <w:tcPr>
            <w:tcW w:type="dxa" w:w="7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0.79</w:t>
            </w:r>
          </w:p>
        </w:tc>
        <w:tc>
          <w:tcPr>
            <w:tcW w:type="dxa" w:w="10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22億</w:t>
            </w:r>
          </w:p>
        </w:tc>
        <w:tc>
          <w:tcPr>
            <w:tcW w:type="dxa" w:w="9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300</w:t>
            </w:r>
          </w:p>
        </w:tc>
        <w:tc>
          <w:tcPr>
            <w:tcW w:type="dxa" w:w="12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222,900</w:t>
            </w:r>
          </w:p>
        </w:tc>
        <w:tc>
          <w:tcPr>
            <w:tcW w:type="dxa" w:w="152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4.46%</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5819</w:t>
            </w:r>
          </w:p>
        </w:tc>
        <w:tc>
          <w:tcPr>
            <w:tcW w:type="dxa" w:w="21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カナレ電気</w:t>
            </w:r>
          </w:p>
        </w:tc>
        <w:tc>
          <w:tcPr>
            <w:tcW w:type="dxa" w:w="9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1,774</w:t>
            </w:r>
          </w:p>
        </w:tc>
        <w:tc>
          <w:tcPr>
            <w:tcW w:type="dxa" w:w="7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10.1</w:t>
            </w:r>
          </w:p>
        </w:tc>
        <w:tc>
          <w:tcPr>
            <w:tcW w:type="dxa" w:w="7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0.64</w:t>
            </w:r>
          </w:p>
        </w:tc>
        <w:tc>
          <w:tcPr>
            <w:tcW w:type="dxa" w:w="10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121億</w:t>
            </w:r>
          </w:p>
        </w:tc>
        <w:tc>
          <w:tcPr>
            <w:tcW w:type="dxa" w:w="9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100</w:t>
            </w:r>
          </w:p>
        </w:tc>
        <w:tc>
          <w:tcPr>
            <w:tcW w:type="dxa" w:w="12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177,400</w:t>
            </w:r>
          </w:p>
        </w:tc>
        <w:tc>
          <w:tcPr>
            <w:tcW w:type="dxa" w:w="152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3.55%</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7745</w:t>
            </w:r>
          </w:p>
        </w:tc>
        <w:tc>
          <w:tcPr>
            <w:tcW w:type="dxa" w:w="21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Ａ＆Ｄホロンホールディングス</w:t>
            </w:r>
          </w:p>
        </w:tc>
        <w:tc>
          <w:tcPr>
            <w:tcW w:type="dxa" w:w="9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2,950</w:t>
            </w:r>
          </w:p>
        </w:tc>
        <w:tc>
          <w:tcPr>
            <w:tcW w:type="dxa" w:w="7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12.4</w:t>
            </w:r>
          </w:p>
        </w:tc>
        <w:tc>
          <w:tcPr>
            <w:tcW w:type="dxa" w:w="7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1.89</w:t>
            </w:r>
          </w:p>
        </w:tc>
        <w:tc>
          <w:tcPr>
            <w:tcW w:type="dxa" w:w="10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808億</w:t>
            </w:r>
          </w:p>
        </w:tc>
        <w:tc>
          <w:tcPr>
            <w:tcW w:type="dxa" w:w="9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100</w:t>
            </w:r>
          </w:p>
        </w:tc>
        <w:tc>
          <w:tcPr>
            <w:tcW w:type="dxa" w:w="12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295,000</w:t>
            </w:r>
          </w:p>
        </w:tc>
        <w:tc>
          <w:tcPr>
            <w:tcW w:type="dxa" w:w="152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5.90%</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9507</w:t>
            </w:r>
          </w:p>
        </w:tc>
        <w:tc>
          <w:tcPr>
            <w:tcW w:type="dxa" w:w="21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四国電力</w:t>
            </w:r>
          </w:p>
        </w:tc>
        <w:tc>
          <w:tcPr>
            <w:tcW w:type="dxa" w:w="9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1,808</w:t>
            </w:r>
          </w:p>
        </w:tc>
        <w:tc>
          <w:tcPr>
            <w:tcW w:type="dxa" w:w="7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5.4</w:t>
            </w:r>
          </w:p>
        </w:tc>
        <w:tc>
          <w:tcPr>
            <w:tcW w:type="dxa" w:w="7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0.84</w:t>
            </w:r>
          </w:p>
        </w:tc>
        <w:tc>
          <w:tcPr>
            <w:tcW w:type="dxa" w:w="10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3,694億</w:t>
            </w:r>
          </w:p>
        </w:tc>
        <w:tc>
          <w:tcPr>
            <w:tcW w:type="dxa" w:w="9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100</w:t>
            </w:r>
          </w:p>
        </w:tc>
        <w:tc>
          <w:tcPr>
            <w:tcW w:type="dxa" w:w="12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180,750</w:t>
            </w:r>
          </w:p>
        </w:tc>
        <w:tc>
          <w:tcPr>
            <w:tcW w:type="dxa" w:w="152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3.62%</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5729</w:t>
            </w:r>
          </w:p>
        </w:tc>
        <w:tc>
          <w:tcPr>
            <w:tcW w:type="dxa" w:w="21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日本精鉱</w:t>
            </w:r>
          </w:p>
        </w:tc>
        <w:tc>
          <w:tcPr>
            <w:tcW w:type="dxa" w:w="9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1,776</w:t>
            </w:r>
          </w:p>
        </w:tc>
        <w:tc>
          <w:tcPr>
            <w:tcW w:type="dxa" w:w="7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7.1</w:t>
            </w:r>
          </w:p>
        </w:tc>
        <w:tc>
          <w:tcPr>
            <w:tcW w:type="dxa" w:w="7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1.46</w:t>
            </w:r>
          </w:p>
        </w:tc>
        <w:tc>
          <w:tcPr>
            <w:tcW w:type="dxa" w:w="10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174億</w:t>
            </w:r>
          </w:p>
        </w:tc>
        <w:tc>
          <w:tcPr>
            <w:tcW w:type="dxa" w:w="9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100</w:t>
            </w:r>
          </w:p>
        </w:tc>
        <w:tc>
          <w:tcPr>
            <w:tcW w:type="dxa" w:w="12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177,600</w:t>
            </w:r>
          </w:p>
        </w:tc>
        <w:tc>
          <w:tcPr>
            <w:tcW w:type="dxa" w:w="152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3.55%</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9247</w:t>
            </w:r>
          </w:p>
        </w:tc>
        <w:tc>
          <w:tcPr>
            <w:tcW w:type="dxa" w:w="21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ＴＲＥホールディングス</w:t>
            </w:r>
          </w:p>
        </w:tc>
        <w:tc>
          <w:tcPr>
            <w:tcW w:type="dxa" w:w="9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2,013</w:t>
            </w:r>
          </w:p>
        </w:tc>
        <w:tc>
          <w:tcPr>
            <w:tcW w:type="dxa" w:w="7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7.6</w:t>
            </w:r>
          </w:p>
        </w:tc>
        <w:tc>
          <w:tcPr>
            <w:tcW w:type="dxa" w:w="7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1.26</w:t>
            </w:r>
          </w:p>
        </w:tc>
        <w:tc>
          <w:tcPr>
            <w:tcW w:type="dxa" w:w="10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947億</w:t>
            </w:r>
          </w:p>
        </w:tc>
        <w:tc>
          <w:tcPr>
            <w:tcW w:type="dxa" w:w="9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100</w:t>
            </w:r>
          </w:p>
        </w:tc>
        <w:tc>
          <w:tcPr>
            <w:tcW w:type="dxa" w:w="12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201,300</w:t>
            </w:r>
          </w:p>
        </w:tc>
        <w:tc>
          <w:tcPr>
            <w:tcW w:type="dxa" w:w="152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4.03%</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8920</w:t>
            </w:r>
          </w:p>
        </w:tc>
        <w:tc>
          <w:tcPr>
            <w:tcW w:type="dxa" w:w="21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東　祥</w:t>
            </w:r>
          </w:p>
        </w:tc>
        <w:tc>
          <w:tcPr>
            <w:tcW w:type="dxa" w:w="9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720</w:t>
            </w:r>
          </w:p>
        </w:tc>
        <w:tc>
          <w:tcPr>
            <w:tcW w:type="dxa" w:w="7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10.4</w:t>
            </w:r>
          </w:p>
        </w:tc>
        <w:tc>
          <w:tcPr>
            <w:tcW w:type="dxa" w:w="7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0.60</w:t>
            </w:r>
          </w:p>
        </w:tc>
        <w:tc>
          <w:tcPr>
            <w:tcW w:type="dxa" w:w="10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252億</w:t>
            </w:r>
          </w:p>
        </w:tc>
        <w:tc>
          <w:tcPr>
            <w:tcW w:type="dxa" w:w="9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300</w:t>
            </w:r>
          </w:p>
        </w:tc>
        <w:tc>
          <w:tcPr>
            <w:tcW w:type="dxa" w:w="12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216,000</w:t>
            </w:r>
          </w:p>
        </w:tc>
        <w:tc>
          <w:tcPr>
            <w:tcW w:type="dxa" w:w="152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4.32%</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3089</w:t>
            </w:r>
          </w:p>
        </w:tc>
        <w:tc>
          <w:tcPr>
            <w:tcW w:type="dxa" w:w="21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テクノアルファ</w:t>
            </w:r>
          </w:p>
        </w:tc>
        <w:tc>
          <w:tcPr>
            <w:tcW w:type="dxa" w:w="9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1,047</w:t>
            </w:r>
          </w:p>
        </w:tc>
        <w:tc>
          <w:tcPr>
            <w:tcW w:type="dxa" w:w="7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4.5</w:t>
            </w:r>
          </w:p>
        </w:tc>
        <w:tc>
          <w:tcPr>
            <w:tcW w:type="dxa" w:w="7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0.80</w:t>
            </w:r>
          </w:p>
        </w:tc>
        <w:tc>
          <w:tcPr>
            <w:tcW w:type="dxa" w:w="10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18億</w:t>
            </w:r>
          </w:p>
        </w:tc>
        <w:tc>
          <w:tcPr>
            <w:tcW w:type="dxa" w:w="9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300</w:t>
            </w:r>
          </w:p>
        </w:tc>
        <w:tc>
          <w:tcPr>
            <w:tcW w:type="dxa" w:w="12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314,100</w:t>
            </w:r>
          </w:p>
        </w:tc>
        <w:tc>
          <w:tcPr>
            <w:tcW w:type="dxa" w:w="152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6.28%</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7347</w:t>
            </w:r>
          </w:p>
        </w:tc>
        <w:tc>
          <w:tcPr>
            <w:tcW w:type="dxa" w:w="21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マーキュリアホールディングス</w:t>
            </w:r>
          </w:p>
        </w:tc>
        <w:tc>
          <w:tcPr>
            <w:tcW w:type="dxa" w:w="9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791</w:t>
            </w:r>
          </w:p>
        </w:tc>
        <w:tc>
          <w:tcPr>
            <w:tcW w:type="dxa" w:w="7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8.6</w:t>
            </w:r>
          </w:p>
        </w:tc>
        <w:tc>
          <w:tcPr>
            <w:tcW w:type="dxa" w:w="7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0.80</w:t>
            </w:r>
          </w:p>
        </w:tc>
        <w:tc>
          <w:tcPr>
            <w:tcW w:type="dxa" w:w="10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153億</w:t>
            </w:r>
          </w:p>
        </w:tc>
        <w:tc>
          <w:tcPr>
            <w:tcW w:type="dxa" w:w="9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300</w:t>
            </w:r>
          </w:p>
        </w:tc>
        <w:tc>
          <w:tcPr>
            <w:tcW w:type="dxa" w:w="12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237,300</w:t>
            </w:r>
          </w:p>
        </w:tc>
        <w:tc>
          <w:tcPr>
            <w:tcW w:type="dxa" w:w="152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4.75%</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9513</w:t>
            </w:r>
          </w:p>
        </w:tc>
        <w:tc>
          <w:tcPr>
            <w:tcW w:type="dxa" w:w="21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電源開発</w:t>
            </w:r>
          </w:p>
        </w:tc>
        <w:tc>
          <w:tcPr>
            <w:tcW w:type="dxa" w:w="9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3,933</w:t>
            </w:r>
          </w:p>
        </w:tc>
        <w:tc>
          <w:tcPr>
            <w:tcW w:type="dxa" w:w="7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6.8</w:t>
            </w:r>
          </w:p>
        </w:tc>
        <w:tc>
          <w:tcPr>
            <w:tcW w:type="dxa" w:w="7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0.47</w:t>
            </w:r>
          </w:p>
        </w:tc>
        <w:tc>
          <w:tcPr>
            <w:tcW w:type="dxa" w:w="10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6,922億</w:t>
            </w:r>
          </w:p>
        </w:tc>
        <w:tc>
          <w:tcPr>
            <w:tcW w:type="dxa" w:w="9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100</w:t>
            </w:r>
          </w:p>
        </w:tc>
        <w:tc>
          <w:tcPr>
            <w:tcW w:type="dxa" w:w="12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393,300</w:t>
            </w:r>
          </w:p>
        </w:tc>
        <w:tc>
          <w:tcPr>
            <w:tcW w:type="dxa" w:w="152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7.87%</w:t>
            </w:r>
          </w:p>
        </w:tc>
      </w:tr>
      <w:tr>
        <w:tc>
          <w:tcPr>
            <w:tcW w:type="dxa" w:w="7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5947</w:t>
            </w:r>
          </w:p>
        </w:tc>
        <w:tc>
          <w:tcPr>
            <w:tcW w:type="dxa" w:w="21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リンナイ</w:t>
            </w:r>
          </w:p>
        </w:tc>
        <w:tc>
          <w:tcPr>
            <w:tcW w:type="dxa" w:w="9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3,609</w:t>
            </w:r>
          </w:p>
        </w:tc>
        <w:tc>
          <w:tcPr>
            <w:tcW w:type="dxa" w:w="7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13.4</w:t>
            </w:r>
          </w:p>
        </w:tc>
        <w:tc>
          <w:tcPr>
            <w:tcW w:type="dxa" w:w="7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1.08</w:t>
            </w:r>
          </w:p>
        </w:tc>
        <w:tc>
          <w:tcPr>
            <w:tcW w:type="dxa" w:w="106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4,983億</w:t>
            </w:r>
          </w:p>
        </w:tc>
        <w:tc>
          <w:tcPr>
            <w:tcW w:type="dxa" w:w="94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100</w:t>
            </w:r>
          </w:p>
        </w:tc>
        <w:tc>
          <w:tcPr>
            <w:tcW w:type="dxa" w:w="128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360,900</w:t>
            </w:r>
          </w:p>
        </w:tc>
        <w:tc>
          <w:tcPr>
            <w:tcW w:type="dxa" w:w="152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7.22%</w:t>
            </w:r>
          </w:p>
        </w:tc>
      </w:tr>
      <w:tr>
        <w:tc>
          <w:tcPr>
            <w:tcW w:type="dxa" w:w="7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5975</w:t>
            </w:r>
          </w:p>
        </w:tc>
        <w:tc>
          <w:tcPr>
            <w:tcW w:type="dxa" w:w="21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5"/>
                <w:szCs w:val="15"/>
              </w:rPr>
              <w:t xml:space="preserve">東プレ</w:t>
            </w:r>
          </w:p>
        </w:tc>
        <w:tc>
          <w:tcPr>
            <w:tcW w:type="dxa" w:w="9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3,190</w:t>
            </w:r>
          </w:p>
        </w:tc>
        <w:tc>
          <w:tcPr>
            <w:tcW w:type="dxa" w:w="7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10.8</w:t>
            </w:r>
          </w:p>
        </w:tc>
        <w:tc>
          <w:tcPr>
            <w:tcW w:type="dxa" w:w="7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0.69</w:t>
            </w:r>
          </w:p>
        </w:tc>
        <w:tc>
          <w:tcPr>
            <w:tcW w:type="dxa" w:w="106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1,543億</w:t>
            </w:r>
          </w:p>
        </w:tc>
        <w:tc>
          <w:tcPr>
            <w:tcW w:type="dxa" w:w="94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100</w:t>
            </w:r>
          </w:p>
        </w:tc>
        <w:tc>
          <w:tcPr>
            <w:tcW w:type="dxa" w:w="128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5"/>
                <w:szCs w:val="15"/>
              </w:rPr>
              <w:t xml:space="preserve">319,000</w:t>
            </w:r>
          </w:p>
        </w:tc>
        <w:tc>
          <w:tcPr>
            <w:tcW w:type="dxa" w:w="152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5"/>
                <w:szCs w:val="15"/>
              </w:rPr>
              <w:t xml:space="preserve">6.38%</w:t>
            </w:r>
          </w:p>
        </w:tc>
      </w:tr>
    </w:tbl>
    <w:p>
      <w:pPr>
        <w:spacing w:after="150" w:before="110" w:line="285"/>
      </w:pPr>
      <w:r>
        <w:rPr>
          <w:rFonts w:ascii="Yu Gothic" w:cs="Yu Gothic" w:eastAsia="Yu Gothic" w:hAnsi="Yu Gothic"/>
          <w:b w:val="false"/>
          <w:bCs w:val="false"/>
          <w:i w:val="false"/>
          <w:iCs w:val="false"/>
          <w:color w:val="5B6373"/>
          <w:sz w:val="16"/>
          <w:szCs w:val="16"/>
        </w:rPr>
        <w:t xml:space="preserve">株価・時価総額は2026-08-17時点の実勢値。PER・PBRは各社最新の有価証券報告書の当期純利益・自己資本で算出。</w:t>
      </w:r>
    </w:p>
    <w:p>
      <w:pPr>
        <w:pStyle w:val="Heading1"/>
        <w:pBdr>
          <w:bottom w:val="single" w:color="2F4B8F" w:sz="8" w:space="6"/>
        </w:pBdr>
        <w:spacing w:after="170" w:before="380"/>
      </w:pPr>
      <w:r>
        <w:rPr>
          <w:rFonts w:ascii="Yu Gothic" w:cs="Yu Gothic" w:eastAsia="Yu Gothic" w:hAnsi="Yu Gothic"/>
          <w:b/>
          <w:bCs/>
          <w:i w:val="false"/>
          <w:iCs w:val="false"/>
          <w:color w:val="2F4B8F"/>
          <w:sz w:val="26"/>
          <w:szCs w:val="26"/>
        </w:rPr>
        <w:t xml:space="preserve">10. 構成の特徴</w:t>
      </w:r>
    </w:p>
    <w:p>
      <w:pPr>
        <w:spacing w:after="60" w:before="150"/>
      </w:pPr>
      <w:r>
        <w:rPr>
          <w:rFonts w:ascii="Yu Gothic" w:cs="Yu Gothic" w:eastAsia="Yu Gothic" w:hAnsi="Yu Gothic"/>
          <w:b/>
          <w:bCs/>
          <w:i w:val="false"/>
          <w:iCs w:val="false"/>
          <w:color w:val="5B6373"/>
          <w:sz w:val="16"/>
          <w:szCs w:val="16"/>
        </w:rPr>
        <w:t xml:space="preserve">業種</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6"/>
        <w:gridCol w:w="5100"/>
      </w:tblGrid>
      <w:tr>
        <w:trPr>
          <w:tblHeader/>
        </w:trPr>
        <w:tc>
          <w:tcPr>
            <w:tcW w:type="dxa" w:w="5106"/>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業種</w:t>
            </w:r>
          </w:p>
        </w:tc>
        <w:tc>
          <w:tcPr>
            <w:tcW w:type="dxa" w:w="51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社数</w:t>
            </w:r>
          </w:p>
        </w:tc>
      </w:tr>
      <w:tr>
        <w:tc>
          <w:tcPr>
            <w:tcW w:type="dxa" w:w="51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機械</w:t>
            </w:r>
          </w:p>
        </w:tc>
        <w:tc>
          <w:tcPr>
            <w:tcW w:type="dxa" w:w="51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2社</w:t>
            </w:r>
          </w:p>
        </w:tc>
      </w:tr>
      <w:tr>
        <w:tc>
          <w:tcPr>
            <w:tcW w:type="dxa" w:w="51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電気機器</w:t>
            </w:r>
          </w:p>
        </w:tc>
        <w:tc>
          <w:tcPr>
            <w:tcW w:type="dxa" w:w="51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2社</w:t>
            </w:r>
          </w:p>
        </w:tc>
      </w:tr>
      <w:tr>
        <w:tc>
          <w:tcPr>
            <w:tcW w:type="dxa" w:w="51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精密機器</w:t>
            </w:r>
          </w:p>
        </w:tc>
        <w:tc>
          <w:tcPr>
            <w:tcW w:type="dxa" w:w="51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2社</w:t>
            </w:r>
          </w:p>
        </w:tc>
      </w:tr>
      <w:tr>
        <w:tc>
          <w:tcPr>
            <w:tcW w:type="dxa" w:w="51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化学</w:t>
            </w:r>
          </w:p>
        </w:tc>
        <w:tc>
          <w:tcPr>
            <w:tcW w:type="dxa" w:w="51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2社</w:t>
            </w:r>
          </w:p>
        </w:tc>
      </w:tr>
      <w:tr>
        <w:tc>
          <w:tcPr>
            <w:tcW w:type="dxa" w:w="51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情報・通信業</w:t>
            </w:r>
          </w:p>
        </w:tc>
        <w:tc>
          <w:tcPr>
            <w:tcW w:type="dxa" w:w="51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2社</w:t>
            </w:r>
          </w:p>
        </w:tc>
      </w:tr>
      <w:tr>
        <w:tc>
          <w:tcPr>
            <w:tcW w:type="dxa" w:w="51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非鉄金属</w:t>
            </w:r>
          </w:p>
        </w:tc>
        <w:tc>
          <w:tcPr>
            <w:tcW w:type="dxa" w:w="51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2社</w:t>
            </w:r>
          </w:p>
        </w:tc>
      </w:tr>
      <w:tr>
        <w:tc>
          <w:tcPr>
            <w:tcW w:type="dxa" w:w="51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電気・ガス業</w:t>
            </w:r>
          </w:p>
        </w:tc>
        <w:tc>
          <w:tcPr>
            <w:tcW w:type="dxa" w:w="51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2社</w:t>
            </w:r>
          </w:p>
        </w:tc>
      </w:tr>
      <w:tr>
        <w:tc>
          <w:tcPr>
            <w:tcW w:type="dxa" w:w="51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サービス業</w:t>
            </w:r>
          </w:p>
        </w:tc>
        <w:tc>
          <w:tcPr>
            <w:tcW w:type="dxa" w:w="51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2社</w:t>
            </w:r>
          </w:p>
        </w:tc>
      </w:tr>
      <w:tr>
        <w:tc>
          <w:tcPr>
            <w:tcW w:type="dxa" w:w="51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金属製品</w:t>
            </w:r>
          </w:p>
        </w:tc>
        <w:tc>
          <w:tcPr>
            <w:tcW w:type="dxa" w:w="51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2社</w:t>
            </w:r>
          </w:p>
        </w:tc>
      </w:tr>
      <w:tr>
        <w:tc>
          <w:tcPr>
            <w:tcW w:type="dxa" w:w="51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卸売業</w:t>
            </w:r>
          </w:p>
        </w:tc>
        <w:tc>
          <w:tcPr>
            <w:tcW w:type="dxa" w:w="51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1社</w:t>
            </w:r>
          </w:p>
        </w:tc>
      </w:tr>
      <w:tr>
        <w:tc>
          <w:tcPr>
            <w:tcW w:type="dxa" w:w="51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証券・商品先物取引業</w:t>
            </w:r>
          </w:p>
        </w:tc>
        <w:tc>
          <w:tcPr>
            <w:tcW w:type="dxa" w:w="51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1社</w:t>
            </w:r>
          </w:p>
        </w:tc>
      </w:tr>
    </w:tbl>
    <w:p>
      <w:pPr>
        <w:spacing w:after="60" w:before="150"/>
      </w:pPr>
      <w:r>
        <w:rPr>
          <w:rFonts w:ascii="Yu Gothic" w:cs="Yu Gothic" w:eastAsia="Yu Gothic" w:hAnsi="Yu Gothic"/>
          <w:b/>
          <w:bCs/>
          <w:i w:val="false"/>
          <w:iCs w:val="false"/>
          <w:color w:val="5B6373"/>
          <w:sz w:val="16"/>
          <w:szCs w:val="16"/>
        </w:rPr>
        <w:t xml:space="preserve">市場区分と規模区分</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53"/>
        <w:gridCol w:w="2553"/>
        <w:gridCol w:w="2550"/>
        <w:gridCol w:w="2550"/>
      </w:tblGrid>
      <w:tr>
        <w:trPr>
          <w:tblHeader/>
        </w:trPr>
        <w:tc>
          <w:tcPr>
            <w:tcW w:type="dxa" w:w="2553"/>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市場</w:t>
            </w:r>
          </w:p>
        </w:tc>
        <w:tc>
          <w:tcPr>
            <w:tcW w:type="dxa" w:w="2553"/>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社数</w:t>
            </w:r>
          </w:p>
        </w:tc>
        <w:tc>
          <w:tcPr>
            <w:tcW w:type="dxa" w:w="255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規模区分</w:t>
            </w:r>
          </w:p>
        </w:tc>
        <w:tc>
          <w:tcPr>
            <w:tcW w:type="dxa" w:w="255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社数</w:t>
            </w:r>
          </w:p>
        </w:tc>
      </w:tr>
      <w:tr>
        <w:tc>
          <w:tcPr>
            <w:tcW w:type="dxa" w:w="2553"/>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スタンダード</w:t>
            </w:r>
          </w:p>
        </w:tc>
        <w:tc>
          <w:tcPr>
            <w:tcW w:type="dxa" w:w="2553"/>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10社</w:t>
            </w:r>
          </w:p>
        </w:tc>
        <w:tc>
          <w:tcPr>
            <w:tcW w:type="dxa" w:w="255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区分なし</w:t>
            </w:r>
          </w:p>
        </w:tc>
        <w:tc>
          <w:tcPr>
            <w:tcW w:type="dxa" w:w="255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10社</w:t>
            </w:r>
          </w:p>
        </w:tc>
      </w:tr>
      <w:tr>
        <w:tc>
          <w:tcPr>
            <w:tcW w:type="dxa" w:w="2553"/>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プライム</w:t>
            </w:r>
          </w:p>
        </w:tc>
        <w:tc>
          <w:tcPr>
            <w:tcW w:type="dxa" w:w="2553"/>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9社</w:t>
            </w:r>
          </w:p>
        </w:tc>
        <w:tc>
          <w:tcPr>
            <w:tcW w:type="dxa" w:w="255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TOPIX Small 2</w:t>
            </w:r>
          </w:p>
        </w:tc>
        <w:tc>
          <w:tcPr>
            <w:tcW w:type="dxa" w:w="255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4社</w:t>
            </w:r>
          </w:p>
        </w:tc>
      </w:tr>
      <w:tr>
        <w:tc>
          <w:tcPr>
            <w:tcW w:type="dxa" w:w="2553"/>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グロース</w:t>
            </w:r>
          </w:p>
        </w:tc>
        <w:tc>
          <w:tcPr>
            <w:tcW w:type="dxa" w:w="2553"/>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1社</w:t>
            </w:r>
          </w:p>
        </w:tc>
        <w:tc>
          <w:tcPr>
            <w:tcW w:type="dxa" w:w="255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TOPIX Small 1</w:t>
            </w:r>
          </w:p>
        </w:tc>
        <w:tc>
          <w:tcPr>
            <w:tcW w:type="dxa" w:w="255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3社</w:t>
            </w:r>
          </w:p>
        </w:tc>
      </w:tr>
      <w:tr>
        <w:tc>
          <w:tcPr>
            <w:tcW w:type="dxa" w:w="2553"/>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
            </w:r>
          </w:p>
        </w:tc>
        <w:tc>
          <w:tcPr>
            <w:tcW w:type="dxa" w:w="2553"/>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
            </w:r>
          </w:p>
        </w:tc>
        <w:tc>
          <w:tcPr>
            <w:tcW w:type="dxa" w:w="255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TOPIX Mid400</w:t>
            </w:r>
          </w:p>
        </w:tc>
        <w:tc>
          <w:tcPr>
            <w:tcW w:type="dxa" w:w="255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3社</w:t>
            </w:r>
          </w:p>
        </w:tc>
      </w:tr>
    </w:tbl>
    <w:p>
      <w:pPr>
        <w:spacing w:after="60" w:before="150"/>
      </w:pPr>
      <w:r>
        <w:rPr>
          <w:rFonts w:ascii="Yu Gothic" w:cs="Yu Gothic" w:eastAsia="Yu Gothic" w:hAnsi="Yu Gothic"/>
          <w:b/>
          <w:bCs/>
          <w:i w:val="false"/>
          <w:iCs w:val="false"/>
          <w:color w:val="5B6373"/>
          <w:sz w:val="16"/>
          <w:szCs w:val="16"/>
        </w:rPr>
        <w:t xml:space="preserve">バリュエーションの分布（20社 対 母集団）</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3406"/>
      </w:tblGrid>
      <w:tr>
        <w:trPr>
          <w:tblHeader/>
        </w:trPr>
        <w:tc>
          <w:tcPr>
            <w:tcW w:type="dxa" w:w="34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指標</w:t>
            </w:r>
          </w:p>
        </w:tc>
        <w:tc>
          <w:tcPr>
            <w:tcW w:type="dxa" w:w="34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選定20社</w:t>
            </w:r>
          </w:p>
        </w:tc>
        <w:tc>
          <w:tcPr>
            <w:tcW w:type="dxa" w:w="3406"/>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母集団</w:t>
            </w:r>
          </w:p>
        </w:tc>
      </w:tr>
      <w:tr>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PER 中央値</w:t>
            </w:r>
          </w:p>
        </w:tc>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8.3倍</w:t>
            </w:r>
          </w:p>
        </w:tc>
        <w:tc>
          <w:tcPr>
            <w:tcW w:type="dxa" w:w="34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16.2倍</w:t>
            </w:r>
          </w:p>
        </w:tc>
      </w:tr>
      <w:tr>
        <w:tc>
          <w:tcPr>
            <w:tcW w:type="dxa" w:w="3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PBR 中央値</w:t>
            </w:r>
          </w:p>
        </w:tc>
        <w:tc>
          <w:tcPr>
            <w:tcW w:type="dxa" w:w="3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0.79倍</w:t>
            </w:r>
          </w:p>
        </w:tc>
        <w:tc>
          <w:tcPr>
            <w:tcW w:type="dxa" w:w="34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1.33倍</w:t>
            </w:r>
          </w:p>
        </w:tc>
      </w:tr>
      <w:tr>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PBR 1倍割れの比率</w:t>
            </w:r>
          </w:p>
        </w:tc>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75%</w:t>
            </w:r>
          </w:p>
        </w:tc>
        <w:tc>
          <w:tcPr>
            <w:tcW w:type="dxa" w:w="34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31%</w:t>
            </w:r>
          </w:p>
        </w:tc>
      </w:tr>
      <w:tr>
        <w:tc>
          <w:tcPr>
            <w:tcW w:type="dxa" w:w="3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時価総額 中央値</w:t>
            </w:r>
          </w:p>
        </w:tc>
        <w:tc>
          <w:tcPr>
            <w:tcW w:type="dxa" w:w="3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171億円</w:t>
            </w:r>
          </w:p>
        </w:tc>
        <w:tc>
          <w:tcPr>
            <w:tcW w:type="dxa" w:w="34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w:t>
            </w:r>
          </w:p>
        </w:tc>
      </w:tr>
      <w:tr>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ROE 中央値</w:t>
            </w:r>
          </w:p>
        </w:tc>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10.9%</w:t>
            </w:r>
          </w:p>
        </w:tc>
        <w:tc>
          <w:tcPr>
            <w:tcW w:type="dxa" w:w="34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w:t>
            </w:r>
          </w:p>
        </w:tc>
      </w:tr>
    </w:tbl>
    <w:p>
      <w:pPr>
        <w:pageBreakBefore/>
      </w:pPr>
    </w:p>
    <w:p>
      <w:pPr>
        <w:pStyle w:val="Heading1"/>
        <w:pBdr>
          <w:bottom w:val="single" w:color="2F4B8F" w:sz="8" w:space="6"/>
        </w:pBdr>
        <w:spacing w:after="170" w:before="380"/>
      </w:pPr>
      <w:r>
        <w:rPr>
          <w:rFonts w:ascii="Yu Gothic" w:cs="Yu Gothic" w:eastAsia="Yu Gothic" w:hAnsi="Yu Gothic"/>
          <w:b/>
          <w:bCs/>
          <w:i w:val="false"/>
          <w:iCs w:val="false"/>
          <w:color w:val="2F4B8F"/>
          <w:sz w:val="26"/>
          <w:szCs w:val="26"/>
        </w:rPr>
        <w:t xml:space="preserve">11. この方式は機能するか（自己検証）</w:t>
      </w:r>
    </w:p>
    <w:p>
      <w:pPr>
        <w:spacing w:after="130" w:before="0" w:line="300"/>
        <w:jc w:val="left"/>
      </w:pPr>
      <w:r>
        <w:rPr>
          <w:rFonts w:ascii="Yu Gothic" w:cs="Yu Gothic" w:eastAsia="Yu Gothic" w:hAnsi="Yu Gothic"/>
          <w:b w:val="false"/>
          <w:bCs w:val="false"/>
          <w:i w:val="false"/>
          <w:iCs w:val="false"/>
          <w:color w:val="1B1F27"/>
          <w:sz w:val="18"/>
          <w:szCs w:val="18"/>
        </w:rPr>
        <w:t xml:space="preserve">有価証券報告書の提出日を基準に4軸を計算し、その後の株価だけで結果を測る。提出時点で知り得た情報しか使っていないので、後知恵にはならない。</w:t>
      </w:r>
    </w:p>
    <w:p>
      <w:pPr>
        <w:spacing w:after="60" w:before="150"/>
      </w:pPr>
      <w:r>
        <w:rPr>
          <w:rFonts w:ascii="Yu Gothic" w:cs="Yu Gothic" w:eastAsia="Yu Gothic" w:hAnsi="Yu Gothic"/>
          <w:b/>
          <w:bCs/>
          <w:i w:val="false"/>
          <w:iCs w:val="false"/>
          <w:color w:val="5B6373"/>
          <w:sz w:val="16"/>
          <w:szCs w:val="16"/>
        </w:rPr>
        <w:t xml:space="preserve">検証コホート</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500"/>
        <w:gridCol w:w="1600"/>
        <w:gridCol w:w="3306"/>
      </w:tblGrid>
      <w:tr>
        <w:trPr>
          <w:tblHeader/>
        </w:trPr>
        <w:tc>
          <w:tcPr>
            <w:tcW w:type="dxa" w:w="19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コホート</w:t>
            </w:r>
          </w:p>
        </w:tc>
        <w:tc>
          <w:tcPr>
            <w:tcW w:type="dxa" w:w="19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基準日</w:t>
            </w:r>
          </w:p>
        </w:tc>
        <w:tc>
          <w:tcPr>
            <w:tcW w:type="dxa" w:w="15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対象社数</w:t>
            </w:r>
          </w:p>
        </w:tc>
        <w:tc>
          <w:tcPr>
            <w:tcW w:type="dxa" w:w="16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測定期間</w:t>
            </w:r>
          </w:p>
        </w:tc>
        <w:tc>
          <w:tcPr>
            <w:tcW w:type="dxa" w:w="3306"/>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位置づけ</w:t>
            </w:r>
          </w:p>
        </w:tc>
      </w:tr>
      <w:tr>
        <w:tc>
          <w:tcPr>
            <w:tcW w:type="dxa" w:w="19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FY2024</w:t>
            </w:r>
          </w:p>
        </w:tc>
        <w:tc>
          <w:tcPr>
            <w:tcW w:type="dxa" w:w="19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2024-06-28</w:t>
            </w:r>
          </w:p>
        </w:tc>
        <w:tc>
          <w:tcPr>
            <w:tcW w:type="dxa" w:w="15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2,256社</w:t>
            </w:r>
          </w:p>
        </w:tc>
        <w:tc>
          <w:tcPr>
            <w:tcW w:type="dxa" w:w="16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252営業日</w:t>
            </w:r>
          </w:p>
        </w:tc>
        <w:tc>
          <w:tcPr>
            <w:tcW w:type="dxa" w:w="33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主検証</w:t>
            </w:r>
          </w:p>
        </w:tc>
      </w:tr>
      <w:tr>
        <w:tc>
          <w:tcPr>
            <w:tcW w:type="dxa" w:w="19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FY2025</w:t>
            </w:r>
          </w:p>
        </w:tc>
        <w:tc>
          <w:tcPr>
            <w:tcW w:type="dxa" w:w="19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2025-06-26</w:t>
            </w:r>
          </w:p>
        </w:tc>
        <w:tc>
          <w:tcPr>
            <w:tcW w:type="dxa" w:w="15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1,779社</w:t>
            </w:r>
          </w:p>
        </w:tc>
        <w:tc>
          <w:tcPr>
            <w:tcW w:type="dxa" w:w="16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126営業日</w:t>
            </w:r>
          </w:p>
        </w:tc>
        <w:tc>
          <w:tcPr>
            <w:tcW w:type="dxa" w:w="33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副検証（期間が短い）</w:t>
            </w:r>
          </w:p>
        </w:tc>
      </w:tr>
      <w:tr>
        <w:tc>
          <w:tcPr>
            <w:tcW w:type="dxa" w:w="19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FY2023</w:t>
            </w:r>
          </w:p>
        </w:tc>
        <w:tc>
          <w:tcPr>
            <w:tcW w:type="dxa" w:w="19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2023-06-30</w:t>
            </w:r>
          </w:p>
        </w:tc>
        <w:tc>
          <w:tcPr>
            <w:tcW w:type="dxa" w:w="15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2,183社</w:t>
            </w:r>
          </w:p>
        </w:tc>
        <w:tc>
          <w:tcPr>
            <w:tcW w:type="dxa" w:w="16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252営業日</w:t>
            </w:r>
          </w:p>
        </w:tc>
        <w:tc>
          <w:tcPr>
            <w:tcW w:type="dxa" w:w="33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参考（前期比が取れずChange軸が退化）</w:t>
            </w:r>
          </w:p>
        </w:tc>
      </w:tr>
    </w:tbl>
    <w:p>
      <w:pPr>
        <w:pStyle w:val="Heading2"/>
        <w:spacing w:after="115" w:before="280"/>
      </w:pPr>
      <w:r>
        <w:rPr>
          <w:rFonts w:ascii="Yu Gothic" w:cs="Yu Gothic" w:eastAsia="Yu Gothic" w:hAnsi="Yu Gothic"/>
          <w:b/>
          <w:bCs/>
          <w:i w:val="false"/>
          <w:iCs w:val="false"/>
          <w:color w:val="1B1F27"/>
          <w:sz w:val="21"/>
          <w:szCs w:val="21"/>
        </w:rPr>
        <w:t xml:space="preserve">11-1. 軸ごとの予測力（順位相関）</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206"/>
        <w:gridCol w:w="2000"/>
        <w:gridCol w:w="2000"/>
        <w:gridCol w:w="2000"/>
      </w:tblGrid>
      <w:tr>
        <w:trPr>
          <w:tblHeader/>
        </w:trPr>
        <w:tc>
          <w:tcPr>
            <w:tcW w:type="dxa" w:w="4206"/>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
            </w:r>
          </w:p>
        </w:tc>
        <w:tc>
          <w:tcPr>
            <w:tcW w:type="dxa" w:w="20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FY2024/252日</w:t>
            </w:r>
          </w:p>
        </w:tc>
        <w:tc>
          <w:tcPr>
            <w:tcW w:type="dxa" w:w="20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FY2025/126日</w:t>
            </w:r>
          </w:p>
        </w:tc>
        <w:tc>
          <w:tcPr>
            <w:tcW w:type="dxa" w:w="20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FY2023/252日</w:t>
            </w:r>
          </w:p>
        </w:tc>
      </w:tr>
      <w:tr>
        <w:tc>
          <w:tcPr>
            <w:tcW w:type="dxa" w:w="42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① Moat（自作5指標）</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+0.034</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-0.110</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-0.073</w:t>
            </w:r>
          </w:p>
        </w:tc>
      </w:tr>
      <w:tr>
        <w:tc>
          <w:tcPr>
            <w:tcW w:type="dxa" w:w="42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② Change（自作6指標）</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+0.032</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+0.042</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+0.041</w:t>
            </w:r>
          </w:p>
        </w:tc>
      </w:tr>
      <w:tr>
        <w:tc>
          <w:tcPr>
            <w:tcW w:type="dxa" w:w="42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③ Future（キーワード）</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-0.089</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+0.095</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-0.075</w:t>
            </w:r>
          </w:p>
        </w:tc>
      </w:tr>
      <w:tr>
        <w:tc>
          <w:tcPr>
            <w:tcW w:type="dxa" w:w="42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④ Price（E/P・B/M）</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+0.221</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+0.443</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+0.446</w:t>
            </w:r>
          </w:p>
        </w:tc>
      </w:tr>
      <w:tr>
        <w:tc>
          <w:tcPr>
            <w:tcW w:type="dxa" w:w="42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合成＝本方式</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+0.092</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+0.204</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+0.141</w:t>
            </w:r>
          </w:p>
        </w:tc>
      </w:tr>
      <w:tr>
        <w:tc>
          <w:tcPr>
            <w:tcW w:type="dxa" w:w="42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参考: 既存式のみで組んだ場合</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+0.101</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+0.241</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+0.200</w:t>
            </w:r>
          </w:p>
        </w:tc>
      </w:tr>
    </w:tbl>
    <w:p>
      <w:pPr>
        <w:spacing w:after="150" w:before="110" w:line="285"/>
      </w:pPr>
      <w:r>
        <w:rPr>
          <w:rFonts w:ascii="Yu Gothic" w:cs="Yu Gothic" w:eastAsia="Yu Gothic" w:hAnsi="Yu Gothic"/>
          <w:b w:val="false"/>
          <w:bCs w:val="false"/>
          <w:i w:val="false"/>
          <w:iCs w:val="false"/>
          <w:color w:val="5B6373"/>
          <w:sz w:val="16"/>
          <w:szCs w:val="16"/>
        </w:rPr>
        <w:t xml:space="preserve">順位相関は、スコアの順位とその後のリターンの順位がどれだけ一致したか。軸単体では符号が安定しないものもあるが、合成すると安定する。これは4軸に分けて平均する設計の狙いどおりの挙動である。</w:t>
      </w:r>
    </w:p>
    <w:p>
      <w:pPr>
        <w:pStyle w:val="Heading2"/>
        <w:spacing w:after="115" w:before="280"/>
      </w:pPr>
      <w:r>
        <w:rPr>
          <w:rFonts w:ascii="Yu Gothic" w:cs="Yu Gothic" w:eastAsia="Yu Gothic" w:hAnsi="Yu Gothic"/>
          <w:b/>
          <w:bCs/>
          <w:i w:val="false"/>
          <w:iCs w:val="false"/>
          <w:color w:val="1B1F27"/>
          <w:sz w:val="21"/>
          <w:szCs w:val="21"/>
        </w:rPr>
        <w:t xml:space="preserve">11-2. 十分位スプレッド</w:t>
      </w:r>
    </w:p>
    <w:p>
      <w:pPr>
        <w:spacing w:after="150" w:before="110" w:line="285"/>
      </w:pPr>
      <w:r>
        <w:rPr>
          <w:rFonts w:ascii="Yu Gothic" w:cs="Yu Gothic" w:eastAsia="Yu Gothic" w:hAnsi="Yu Gothic"/>
          <w:b w:val="false"/>
          <w:bCs w:val="false"/>
          <w:i w:val="false"/>
          <w:iCs w:val="false"/>
          <w:color w:val="5B6373"/>
          <w:sz w:val="16"/>
          <w:szCs w:val="16"/>
        </w:rPr>
        <w:t xml:space="preserve">母集団を総合点で10等分し、上位10%の平均リターン − 下位10%の平均リターン。</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206"/>
        <w:gridCol w:w="2000"/>
        <w:gridCol w:w="2000"/>
        <w:gridCol w:w="2000"/>
      </w:tblGrid>
      <w:tr>
        <w:trPr>
          <w:tblHeader/>
        </w:trPr>
        <w:tc>
          <w:tcPr>
            <w:tcW w:type="dxa" w:w="4206"/>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
            </w:r>
          </w:p>
        </w:tc>
        <w:tc>
          <w:tcPr>
            <w:tcW w:type="dxa" w:w="20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FY2024</w:t>
            </w:r>
          </w:p>
        </w:tc>
        <w:tc>
          <w:tcPr>
            <w:tcW w:type="dxa" w:w="20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FY2025</w:t>
            </w:r>
          </w:p>
        </w:tc>
        <w:tc>
          <w:tcPr>
            <w:tcW w:type="dxa" w:w="20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FY2023</w:t>
            </w:r>
          </w:p>
        </w:tc>
      </w:tr>
      <w:tr>
        <w:tc>
          <w:tcPr>
            <w:tcW w:type="dxa" w:w="42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① Moat（自作5指標）</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+2.7pt</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-9.8pt</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-6.4pt</w:t>
            </w:r>
          </w:p>
        </w:tc>
      </w:tr>
      <w:tr>
        <w:tc>
          <w:tcPr>
            <w:tcW w:type="dxa" w:w="42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② Change（自作6指標）</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+10.6pt</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+7.2pt</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+10.8pt</w:t>
            </w:r>
          </w:p>
        </w:tc>
      </w:tr>
      <w:tr>
        <w:tc>
          <w:tcPr>
            <w:tcW w:type="dxa" w:w="42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③ Future（キーワード）</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-5.0pt</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+4.6pt</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-0.2pt</w:t>
            </w:r>
          </w:p>
        </w:tc>
      </w:tr>
      <w:tr>
        <w:tc>
          <w:tcPr>
            <w:tcW w:type="dxa" w:w="42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④ Price（E/P・B/M）</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+22.0pt</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+41.1pt</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+59.2pt</w:t>
            </w:r>
          </w:p>
        </w:tc>
      </w:tr>
      <w:tr>
        <w:tc>
          <w:tcPr>
            <w:tcW w:type="dxa" w:w="42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合成＝本方式</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+15.1pt</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+23.2pt</w:t>
            </w:r>
          </w:p>
        </w:tc>
        <w:tc>
          <w:tcPr>
            <w:tcW w:type="dxa" w:w="20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+26.9pt</w:t>
            </w:r>
          </w:p>
        </w:tc>
      </w:tr>
      <w:tr>
        <w:tc>
          <w:tcPr>
            <w:tcW w:type="dxa" w:w="42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参考: 既存式のみで組んだ場合</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+10.7pt</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+29.7pt</w:t>
            </w:r>
          </w:p>
        </w:tc>
        <w:tc>
          <w:tcPr>
            <w:tcW w:type="dxa" w:w="20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+31.4pt</w:t>
            </w:r>
          </w:p>
        </w:tc>
      </w:tr>
    </w:tbl>
    <w:p>
      <w:pPr>
        <w:pStyle w:val="Heading2"/>
        <w:spacing w:after="115" w:before="280"/>
      </w:pPr>
      <w:r>
        <w:rPr>
          <w:rFonts w:ascii="Yu Gothic" w:cs="Yu Gothic" w:eastAsia="Yu Gothic" w:hAnsi="Yu Gothic"/>
          <w:b/>
          <w:bCs/>
          <w:i w:val="false"/>
          <w:iCs w:val="false"/>
          <w:color w:val="1B1F27"/>
          <w:sz w:val="21"/>
          <w:szCs w:val="21"/>
        </w:rPr>
        <w:t xml:space="preserve">11-3. 20社ポートフォリオの実績</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06"/>
        <w:gridCol w:w="2200"/>
        <w:gridCol w:w="2300"/>
        <w:gridCol w:w="2300"/>
      </w:tblGrid>
      <w:tr>
        <w:trPr>
          <w:tblHeader/>
        </w:trPr>
        <w:tc>
          <w:tcPr>
            <w:tcW w:type="dxa" w:w="3406"/>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
            </w:r>
          </w:p>
        </w:tc>
        <w:tc>
          <w:tcPr>
            <w:tcW w:type="dxa" w:w="22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FY2024/252日</w:t>
            </w:r>
          </w:p>
        </w:tc>
        <w:tc>
          <w:tcPr>
            <w:tcW w:type="dxa" w:w="23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FY2025/126日</w:t>
            </w:r>
          </w:p>
        </w:tc>
        <w:tc>
          <w:tcPr>
            <w:tcW w:type="dxa" w:w="23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FY2023/252日</w:t>
            </w:r>
          </w:p>
        </w:tc>
      </w:tr>
      <w:tr>
        <w:tc>
          <w:tcPr>
            <w:tcW w:type="dxa" w:w="34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ユニバース等加重（比較の基準）</w:t>
            </w:r>
          </w:p>
        </w:tc>
        <w:tc>
          <w:tcPr>
            <w:tcW w:type="dxa" w:w="2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+11.3%</w:t>
            </w:r>
          </w:p>
        </w:tc>
        <w:tc>
          <w:tcPr>
            <w:tcW w:type="dxa" w:w="23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+18.5%</w:t>
            </w:r>
          </w:p>
        </w:tc>
        <w:tc>
          <w:tcPr>
            <w:tcW w:type="dxa" w:w="23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+10.2%</w:t>
            </w:r>
          </w:p>
        </w:tc>
      </w:tr>
      <w:tr>
        <w:tc>
          <w:tcPr>
            <w:tcW w:type="dxa" w:w="34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本方式の20社</w:t>
            </w:r>
          </w:p>
        </w:tc>
        <w:tc>
          <w:tcPr>
            <w:tcW w:type="dxa" w:w="22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+21.1%</w:t>
            </w:r>
          </w:p>
        </w:tc>
        <w:tc>
          <w:tcPr>
            <w:tcW w:type="dxa" w:w="23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+47.9%</w:t>
            </w:r>
          </w:p>
        </w:tc>
        <w:tc>
          <w:tcPr>
            <w:tcW w:type="dxa" w:w="23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+26.6%</w:t>
            </w:r>
          </w:p>
        </w:tc>
      </w:tr>
      <w:tr>
        <w:tc>
          <w:tcPr>
            <w:tcW w:type="dxa" w:w="34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参考: 既存式版の20社</w:t>
            </w:r>
          </w:p>
        </w:tc>
        <w:tc>
          <w:tcPr>
            <w:tcW w:type="dxa" w:w="2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+16.2%</w:t>
            </w:r>
          </w:p>
        </w:tc>
        <w:tc>
          <w:tcPr>
            <w:tcW w:type="dxa" w:w="23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+55.1%</w:t>
            </w:r>
          </w:p>
        </w:tc>
        <w:tc>
          <w:tcPr>
            <w:tcW w:type="dxa" w:w="23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+55.1%</w:t>
            </w:r>
          </w:p>
        </w:tc>
      </w:tr>
      <w:tr>
        <w:tc>
          <w:tcPr>
            <w:tcW w:type="dxa" w:w="34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参考: マジックフォーミュラの20社</w:t>
            </w:r>
          </w:p>
        </w:tc>
        <w:tc>
          <w:tcPr>
            <w:tcW w:type="dxa" w:w="22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+1.3%</w:t>
            </w:r>
          </w:p>
        </w:tc>
        <w:tc>
          <w:tcPr>
            <w:tcW w:type="dxa" w:w="23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+39.5%</w:t>
            </w:r>
          </w:p>
        </w:tc>
        <w:tc>
          <w:tcPr>
            <w:tcW w:type="dxa" w:w="23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+29.4%</w:t>
            </w:r>
          </w:p>
        </w:tc>
      </w:tr>
      <w:tr>
        <w:tc>
          <w:tcPr>
            <w:tcW w:type="dxa" w:w="34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本方式の超過リターン</w:t>
            </w:r>
          </w:p>
        </w:tc>
        <w:tc>
          <w:tcPr>
            <w:tcW w:type="dxa" w:w="22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+9.7pt</w:t>
            </w:r>
          </w:p>
        </w:tc>
        <w:tc>
          <w:tcPr>
            <w:tcW w:type="dxa" w:w="23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+29.4pt</w:t>
            </w:r>
          </w:p>
        </w:tc>
        <w:tc>
          <w:tcPr>
            <w:tcW w:type="dxa" w:w="23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+16.4pt</w:t>
            </w:r>
          </w:p>
        </w:tc>
      </w:tr>
      <w:tr>
        <w:tc>
          <w:tcPr>
            <w:tcW w:type="dxa" w:w="34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同・ブートストラップ95%区間</w:t>
            </w:r>
          </w:p>
        </w:tc>
        <w:tc>
          <w:tcPr>
            <w:tcW w:type="dxa" w:w="22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5〜38%</w:t>
            </w:r>
          </w:p>
        </w:tc>
        <w:tc>
          <w:tcPr>
            <w:tcW w:type="dxa" w:w="23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31〜66%</w:t>
            </w:r>
          </w:p>
        </w:tc>
        <w:tc>
          <w:tcPr>
            <w:tcW w:type="dxa" w:w="23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6〜49%</w:t>
            </w:r>
          </w:p>
        </w:tc>
      </w:tr>
    </w:tbl>
    <w:p>
      <w:pPr>
        <w:spacing w:after="150" w:before="110" w:line="285"/>
      </w:pPr>
      <w:r>
        <w:rPr>
          <w:rFonts w:ascii="Yu Gothic" w:cs="Yu Gothic" w:eastAsia="Yu Gothic" w:hAnsi="Yu Gothic"/>
          <w:b w:val="false"/>
          <w:bCs w:val="false"/>
          <w:i w:val="false"/>
          <w:iCs w:val="false"/>
          <w:color w:val="5B6373"/>
          <w:sz w:val="16"/>
          <w:szCs w:val="16"/>
        </w:rPr>
        <w:t xml:space="preserve">ブートストラップ95%区間は、20社を重複ありで選び直す試行を2,000回繰り返して得た平均リターンの範囲。20社という少なさの不確かさを表す。</w:t>
      </w:r>
    </w:p>
    <w:p>
      <w:pPr>
        <w:pStyle w:val="Heading2"/>
        <w:spacing w:after="115" w:before="280"/>
      </w:pPr>
      <w:r>
        <w:rPr>
          <w:rFonts w:ascii="Yu Gothic" w:cs="Yu Gothic" w:eastAsia="Yu Gothic" w:hAnsi="Yu Gothic"/>
          <w:b/>
          <w:bCs/>
          <w:i w:val="false"/>
          <w:iCs w:val="false"/>
          <w:color w:val="1B1F27"/>
          <w:sz w:val="21"/>
          <w:szCs w:val="21"/>
        </w:rPr>
        <w:t xml:space="preserve">11-4. 偶然との比較・重みの感度</w:t>
      </w:r>
    </w:p>
    <w:p>
      <w:pPr>
        <w:pStyle w:val="ListParagraph"/>
        <w:numPr>
          <w:ilvl w:val="0"/>
          <w:numId w:val="3"/>
        </w:numPr>
        <w:spacing w:after="80" w:line="295"/>
      </w:pPr>
      <w:r>
        <w:rPr>
          <w:rFonts w:ascii="Yu Gothic" w:cs="Yu Gothic" w:eastAsia="Yu Gothic" w:hAnsi="Yu Gothic"/>
          <w:b w:val="false"/>
          <w:bCs w:val="false"/>
          <w:i w:val="false"/>
          <w:iCs w:val="false"/>
          <w:color w:val="1B1F27"/>
          <w:sz w:val="18"/>
          <w:szCs w:val="18"/>
        </w:rPr>
        <w:t xml:space="preserve">ランダムに20社選んだ場合との比較: 本方式の20社は各コホートで上位 86 / 100 / 94 パーセンタイルに入った。選抜は偶然では説明できない。</w:t>
      </w:r>
    </w:p>
    <w:p>
      <w:pPr>
        <w:pStyle w:val="ListParagraph"/>
        <w:numPr>
          <w:ilvl w:val="0"/>
          <w:numId w:val="3"/>
        </w:numPr>
        <w:spacing w:after="80" w:line="295"/>
      </w:pPr>
      <w:r>
        <w:rPr>
          <w:rFonts w:ascii="Yu Gothic" w:cs="Yu Gothic" w:eastAsia="Yu Gothic" w:hAnsi="Yu Gothic"/>
          <w:b w:val="false"/>
          <w:bCs w:val="false"/>
          <w:i w:val="false"/>
          <w:iCs w:val="false"/>
          <w:color w:val="1B1F27"/>
          <w:sz w:val="18"/>
          <w:szCs w:val="18"/>
        </w:rPr>
        <w:t xml:space="preserve">ただしランダム20社そのものの標準偏差が8〜10ポイントある。20社という粒度では、1年の結果はかなりの部分が運で決まることも同時に意味する。</w:t>
      </w:r>
    </w:p>
    <w:p>
      <w:pPr>
        <w:pStyle w:val="ListParagraph"/>
        <w:numPr>
          <w:ilvl w:val="0"/>
          <w:numId w:val="3"/>
        </w:numPr>
        <w:spacing w:after="80" w:line="295"/>
      </w:pPr>
      <w:r>
        <w:rPr>
          <w:rFonts w:ascii="Yu Gothic" w:cs="Yu Gothic" w:eastAsia="Yu Gothic" w:hAnsi="Yu Gothic"/>
          <w:b w:val="false"/>
          <w:bCs w:val="false"/>
          <w:i w:val="false"/>
          <w:iCs w:val="false"/>
          <w:color w:val="1B1F27"/>
          <w:sz w:val="18"/>
          <w:szCs w:val="18"/>
        </w:rPr>
        <w:t xml:space="preserve">4軸の重みを300通りに振り直すと結果の幅は 67pt / 39pt / 71pt。等重み25%はその中で 42 / 40 / 44 パーセンタイルに位置する。「25%ずつだから頑健」とは言えず、「特定の軸に賭けないための、説明しやすい既定値」と理解すべきである。</w:t>
      </w:r>
    </w:p>
    <w:p>
      <w:pPr>
        <w:pBdr>
          <w:left w:val="single" w:color="2F4B8F" w:sz="18" w:space="10"/>
        </w:pBdr>
        <w:shd w:fill="E4E9F5" w:color="auto" w:val="clear"/>
        <w:spacing w:after="190" w:before="170" w:line="300"/>
        <w:ind w:left="130" w:right="130"/>
      </w:pPr>
      <w:r>
        <w:rPr>
          <w:rFonts w:ascii="Yu Gothic" w:cs="Yu Gothic" w:eastAsia="Yu Gothic" w:hAnsi="Yu Gothic"/>
          <w:b w:val="false"/>
          <w:bCs w:val="false"/>
          <w:i w:val="false"/>
          <w:iCs w:val="false"/>
          <w:color w:val="1B1F27"/>
          <w:sz w:val="18"/>
          <w:szCs w:val="18"/>
        </w:rPr>
        <w:t xml:space="preserve">3コホートすべてで、本方式の20社はランダムに選んだ20社を上回った。総合点の順位相関は +0.092 / +0.204 / +0.141 で、株式のスクリーニングとしては実用的な水準にある。ただし単一レジーム・実質2コホートという制約があり、「この期間ではこう機能した」以上のことは主張できない。</w:t>
      </w:r>
    </w:p>
    <w:p>
      <w:pPr>
        <w:pStyle w:val="Heading1"/>
        <w:pBdr>
          <w:bottom w:val="single" w:color="2F4B8F" w:sz="8" w:space="6"/>
        </w:pBdr>
        <w:spacing w:after="170" w:before="380"/>
      </w:pPr>
      <w:r>
        <w:rPr>
          <w:rFonts w:ascii="Yu Gothic" w:cs="Yu Gothic" w:eastAsia="Yu Gothic" w:hAnsi="Yu Gothic"/>
          <w:b/>
          <w:bCs/>
          <w:i w:val="false"/>
          <w:iCs w:val="false"/>
          <w:color w:val="2F4B8F"/>
          <w:sz w:val="26"/>
          <w:szCs w:val="26"/>
        </w:rPr>
        <w:t xml:space="preserve">12. 他方式との比較</w:t>
      </w:r>
    </w:p>
    <w:p>
      <w:pPr>
        <w:spacing w:after="130" w:before="0" w:line="300"/>
        <w:jc w:val="left"/>
      </w:pPr>
      <w:r>
        <w:rPr>
          <w:rFonts w:ascii="Yu Gothic" w:cs="Yu Gothic" w:eastAsia="Yu Gothic" w:hAnsi="Yu Gothic"/>
          <w:b w:val="false"/>
          <w:bCs w:val="false"/>
          <w:i w:val="false"/>
          <w:iCs w:val="false"/>
          <w:color w:val="1B1F27"/>
          <w:sz w:val="18"/>
          <w:szCs w:val="18"/>
        </w:rPr>
        <w:t xml:space="preserve">現行版（守破離の重み30/25/30/15）の20社と、本方式の20社を同じ4軸で採点して比べる。</w:t>
      </w:r>
    </w:p>
    <w:p>
      <w:pPr>
        <w:spacing w:after="130" w:before="0" w:line="300"/>
        <w:jc w:val="left"/>
      </w:pPr>
      <w:r>
        <w:rPr>
          <w:rFonts w:ascii="Yu Gothic" w:cs="Yu Gothic" w:eastAsia="Yu Gothic" w:hAnsi="Yu Gothic"/>
          <w:b w:val="false"/>
          <w:bCs w:val="false"/>
          <w:i w:val="false"/>
          <w:iCs w:val="false"/>
          <w:color w:val="1B1F27"/>
          <w:sz w:val="18"/>
          <w:szCs w:val="18"/>
        </w:rPr>
        <w:t xml:space="preserve">現行版はMoatとFutureで高い一方、Priceが母集団の中央値を下回っている。「割安に買う」を評価軸として明示的に組み込んだ結果が、この差に表れている。</w:t>
      </w:r>
    </w:p>
    <w:p>
      <w:pPr>
        <w:spacing w:after="130" w:before="0" w:line="300"/>
        <w:jc w:val="left"/>
      </w:pPr>
      <w:r>
        <w:rPr>
          <w:rFonts w:ascii="Yu Gothic" w:cs="Yu Gothic" w:eastAsia="Yu Gothic" w:hAnsi="Yu Gothic"/>
          <w:b w:val="false"/>
          <w:bCs w:val="false"/>
          <w:i w:val="false"/>
          <w:iCs w:val="false"/>
          <w:color w:val="1B1F27"/>
          <w:sz w:val="18"/>
          <w:szCs w:val="18"/>
        </w:rPr>
        <w:t xml:space="preserve">別途、すべての式を出典のあるものに置き換えた「既存式版」も作成している。母集団全体では本方式と総合点の順位相関が0.80〜0.87あり、大枠では同じ方向を向いているが、選ばれる20社の重複は6社にとどまる。</w:t>
      </w:r>
    </w:p>
    <w:p>
      <w:pPr>
        <w:spacing w:after="60" w:before="150"/>
      </w:pPr>
      <w:r>
        <w:rPr>
          <w:rFonts w:ascii="Yu Gothic" w:cs="Yu Gothic" w:eastAsia="Yu Gothic" w:hAnsi="Yu Gothic"/>
          <w:b/>
          <w:bCs/>
          <w:i w:val="false"/>
          <w:iCs w:val="false"/>
          <w:color w:val="5B6373"/>
          <w:sz w:val="16"/>
          <w:szCs w:val="16"/>
        </w:rPr>
        <w:t xml:space="preserve">両ポートフォリオを同じ4軸で採点したときの中央値</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3406"/>
      </w:tblGrid>
      <w:tr>
        <w:trPr>
          <w:tblHeader/>
        </w:trPr>
        <w:tc>
          <w:tcPr>
            <w:tcW w:type="dxa" w:w="34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軸</w:t>
            </w:r>
          </w:p>
        </w:tc>
        <w:tc>
          <w:tcPr>
            <w:tcW w:type="dxa" w:w="34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現行版20社</w:t>
            </w:r>
          </w:p>
        </w:tc>
        <w:tc>
          <w:tcPr>
            <w:tcW w:type="dxa" w:w="3406"/>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本方式20社</w:t>
            </w:r>
          </w:p>
        </w:tc>
      </w:tr>
      <w:tr>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Moat</w:t>
            </w:r>
          </w:p>
        </w:tc>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75.3</w:t>
            </w:r>
          </w:p>
        </w:tc>
        <w:tc>
          <w:tcPr>
            <w:tcW w:type="dxa" w:w="34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63.5</w:t>
            </w:r>
          </w:p>
        </w:tc>
      </w:tr>
      <w:tr>
        <w:tc>
          <w:tcPr>
            <w:tcW w:type="dxa" w:w="3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Change</w:t>
            </w:r>
          </w:p>
        </w:tc>
        <w:tc>
          <w:tcPr>
            <w:tcW w:type="dxa" w:w="3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55.4</w:t>
            </w:r>
          </w:p>
        </w:tc>
        <w:tc>
          <w:tcPr>
            <w:tcW w:type="dxa" w:w="34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75.2</w:t>
            </w:r>
          </w:p>
        </w:tc>
      </w:tr>
      <w:tr>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Future</w:t>
            </w:r>
          </w:p>
        </w:tc>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78.6</w:t>
            </w:r>
          </w:p>
        </w:tc>
        <w:tc>
          <w:tcPr>
            <w:tcW w:type="dxa" w:w="34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78.6</w:t>
            </w:r>
          </w:p>
        </w:tc>
      </w:tr>
      <w:tr>
        <w:tc>
          <w:tcPr>
            <w:tcW w:type="dxa" w:w="3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Price</w:t>
            </w:r>
          </w:p>
        </w:tc>
        <w:tc>
          <w:tcPr>
            <w:tcW w:type="dxa" w:w="3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31.7</w:t>
            </w:r>
          </w:p>
        </w:tc>
        <w:tc>
          <w:tcPr>
            <w:tcW w:type="dxa" w:w="34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86.7</w:t>
            </w:r>
          </w:p>
        </w:tc>
      </w:tr>
    </w:tbl>
    <w:p>
      <w:pPr>
        <w:spacing w:after="60" w:before="150"/>
      </w:pPr>
      <w:r>
        <w:rPr>
          <w:rFonts w:ascii="Yu Gothic" w:cs="Yu Gothic" w:eastAsia="Yu Gothic" w:hAnsi="Yu Gothic"/>
          <w:b/>
          <w:bCs/>
          <w:i w:val="false"/>
          <w:iCs w:val="false"/>
          <w:color w:val="5B6373"/>
          <w:sz w:val="16"/>
          <w:szCs w:val="16"/>
        </w:rPr>
        <w:t xml:space="preserve">銘柄の重なり</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806"/>
        <w:gridCol w:w="3400"/>
      </w:tblGrid>
      <w:tr>
        <w:trPr>
          <w:tblHeader/>
        </w:trPr>
        <w:tc>
          <w:tcPr>
            <w:tcW w:type="dxa" w:w="6806"/>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比較対象</w:t>
            </w:r>
          </w:p>
        </w:tc>
        <w:tc>
          <w:tcPr>
            <w:tcW w:type="dxa" w:w="34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right"/>
            </w:pPr>
            <w:r>
              <w:rPr>
                <w:rFonts w:ascii="Yu Gothic" w:cs="Yu Gothic" w:eastAsia="Yu Gothic" w:hAnsi="Yu Gothic"/>
                <w:b/>
                <w:bCs/>
                <w:i w:val="false"/>
                <w:iCs w:val="false"/>
                <w:color w:val="1B1F27"/>
                <w:sz w:val="16"/>
                <w:szCs w:val="16"/>
              </w:rPr>
              <w:t xml:space="preserve">重複</w:t>
            </w:r>
          </w:p>
        </w:tc>
      </w:tr>
      <w:tr>
        <w:tc>
          <w:tcPr>
            <w:tcW w:type="dxa" w:w="68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現行版（守破離30/25/30/15）の20社</w:t>
            </w:r>
          </w:p>
        </w:tc>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1社</w:t>
            </w:r>
          </w:p>
        </w:tc>
      </w:tr>
      <w:tr>
        <w:tc>
          <w:tcPr>
            <w:tcW w:type="dxa" w:w="68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既存式版の20社</w:t>
            </w:r>
          </w:p>
        </w:tc>
        <w:tc>
          <w:tcPr>
            <w:tcW w:type="dxa" w:w="3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right"/>
            </w:pPr>
            <w:r>
              <w:rPr>
                <w:rFonts w:ascii="Yu Gothic" w:cs="Yu Gothic" w:eastAsia="Yu Gothic" w:hAnsi="Yu Gothic"/>
                <w:b w:val="false"/>
                <w:bCs w:val="false"/>
                <w:i w:val="false"/>
                <w:iCs w:val="false"/>
                <w:color w:val="1B1F27"/>
                <w:sz w:val="16"/>
                <w:szCs w:val="16"/>
              </w:rPr>
              <w:t xml:space="preserve">6社</w:t>
            </w:r>
          </w:p>
        </w:tc>
      </w:tr>
    </w:tbl>
    <w:p>
      <w:pPr>
        <w:pStyle w:val="Heading1"/>
        <w:pBdr>
          <w:bottom w:val="single" w:color="2F4B8F" w:sz="8" w:space="6"/>
        </w:pBdr>
        <w:spacing w:after="170" w:before="380"/>
      </w:pPr>
      <w:r>
        <w:rPr>
          <w:rFonts w:ascii="Yu Gothic" w:cs="Yu Gothic" w:eastAsia="Yu Gothic" w:hAnsi="Yu Gothic"/>
          <w:b/>
          <w:bCs/>
          <w:i w:val="false"/>
          <w:iCs w:val="false"/>
          <w:color w:val="2F4B8F"/>
          <w:sz w:val="26"/>
          <w:szCs w:val="26"/>
        </w:rPr>
        <w:t xml:space="preserve">13. 限界と注意点</w:t>
      </w:r>
    </w:p>
    <w:p>
      <w:pPr>
        <w:pStyle w:val="ListParagraph"/>
        <w:numPr>
          <w:ilvl w:val="0"/>
          <w:numId w:val="3"/>
        </w:numPr>
        <w:spacing w:after="80" w:line="295"/>
      </w:pPr>
      <w:r>
        <w:rPr>
          <w:rFonts w:ascii="Yu Gothic" w:cs="Yu Gothic" w:eastAsia="Yu Gothic" w:hAnsi="Yu Gothic"/>
          <w:b w:val="false"/>
          <w:bCs w:val="false"/>
          <w:i w:val="false"/>
          <w:iCs w:val="false"/>
          <w:color w:val="1B1F27"/>
          <w:sz w:val="18"/>
          <w:szCs w:val="18"/>
        </w:rPr>
        <w:t xml:space="preserve">自己検証に使った3つのコホートは、いずれも2023〜2026年の同じ相場に属する。この期間の日本株は東証のPBR改善要請を背景にした歴史的なバリュー・小型株優位局面であり、割安さが強く効き収益性が効かなかったのは、この局面の性質である可能性が高い。独立した3つの証拠ではなく、実質1つの証拠と数えるべきである。</w:t>
      </w:r>
    </w:p>
    <w:p>
      <w:pPr>
        <w:pStyle w:val="ListParagraph"/>
        <w:numPr>
          <w:ilvl w:val="0"/>
          <w:numId w:val="3"/>
        </w:numPr>
        <w:spacing w:after="80" w:line="295"/>
      </w:pPr>
      <w:r>
        <w:rPr>
          <w:rFonts w:ascii="Yu Gothic" w:cs="Yu Gothic" w:eastAsia="Yu Gothic" w:hAnsi="Yu Gothic"/>
          <w:b w:val="false"/>
          <w:bCs w:val="false"/>
          <w:i w:val="false"/>
          <w:iCs w:val="false"/>
          <w:color w:val="1B1F27"/>
          <w:sz w:val="18"/>
          <w:szCs w:val="18"/>
        </w:rPr>
        <w:t xml:space="preserve">4軸すべてが計算できる完全なコホートは実質2つ（FY2024・FY2025）である。FY2023は時点パネルの初年度で前期比が取れず、Change軸が退化している。</w:t>
      </w:r>
    </w:p>
    <w:p>
      <w:pPr>
        <w:pStyle w:val="ListParagraph"/>
        <w:numPr>
          <w:ilvl w:val="0"/>
          <w:numId w:val="3"/>
        </w:numPr>
        <w:spacing w:after="80" w:line="295"/>
      </w:pPr>
      <w:r>
        <w:rPr>
          <w:rFonts w:ascii="Yu Gothic" w:cs="Yu Gothic" w:eastAsia="Yu Gothic" w:hAnsi="Yu Gothic"/>
          <w:b w:val="false"/>
          <w:bCs w:val="false"/>
          <w:i w:val="false"/>
          <w:iCs w:val="false"/>
          <w:color w:val="1B1F27"/>
          <w:sz w:val="18"/>
          <w:szCs w:val="18"/>
        </w:rPr>
        <w:t xml:space="preserve">③ Future軸は33業種の分類だけで99.4%が説明でき、個社の判断というより業種ラベルである。またその構成要素のうち無形資産投資（重み0.25）は研究開発費がほぼ取得できず、実質的に機能していない。Step 1で業種に25%配点しながらStep 3で業種を分散させるという論理的なねじれがあることは、先に認めておく。</w:t>
      </w:r>
    </w:p>
    <w:p>
      <w:pPr>
        <w:pStyle w:val="ListParagraph"/>
        <w:numPr>
          <w:ilvl w:val="0"/>
          <w:numId w:val="3"/>
        </w:numPr>
        <w:spacing w:after="80" w:line="295"/>
      </w:pPr>
      <w:r>
        <w:rPr>
          <w:rFonts w:ascii="Yu Gothic" w:cs="Yu Gothic" w:eastAsia="Yu Gothic" w:hAnsi="Yu Gothic"/>
          <w:b w:val="false"/>
          <w:bCs w:val="false"/>
          <w:i w:val="false"/>
          <w:iCs w:val="false"/>
          <w:color w:val="1B1F27"/>
          <w:sz w:val="18"/>
          <w:szCs w:val="18"/>
        </w:rPr>
        <w:t xml:space="preserve">PERは最新の有価証券報告書の当期純利益を用いている。提出後に業績が変化した会社では直近12か月ベースのPERと差が出る。上位に入った銘柄は直近四半期の利益動向を必ず確認すること。</w:t>
      </w:r>
    </w:p>
    <w:p>
      <w:pPr>
        <w:pStyle w:val="ListParagraph"/>
        <w:numPr>
          <w:ilvl w:val="0"/>
          <w:numId w:val="3"/>
        </w:numPr>
        <w:spacing w:after="80" w:line="295"/>
      </w:pPr>
      <w:r>
        <w:rPr>
          <w:rFonts w:ascii="Yu Gothic" w:cs="Yu Gothic" w:eastAsia="Yu Gothic" w:hAnsi="Yu Gothic"/>
          <w:b w:val="false"/>
          <w:bCs w:val="false"/>
          <w:i w:val="false"/>
          <w:iCs w:val="false"/>
          <w:color w:val="1B1F27"/>
          <w:sz w:val="18"/>
          <w:szCs w:val="18"/>
        </w:rPr>
        <w:t xml:space="preserve">投資枠500万円・1銘柄上限8%の制約から、1単元が40万円を超える334社は選抜対象から外れている。大型株の一部が構造的に選ばれないという、資金量に依存する制約である。</w:t>
      </w:r>
    </w:p>
    <w:p>
      <w:pPr>
        <w:pStyle w:val="ListParagraph"/>
        <w:numPr>
          <w:ilvl w:val="0"/>
          <w:numId w:val="3"/>
        </w:numPr>
        <w:spacing w:after="80" w:line="295"/>
      </w:pPr>
      <w:r>
        <w:rPr>
          <w:rFonts w:ascii="Yu Gothic" w:cs="Yu Gothic" w:eastAsia="Yu Gothic" w:hAnsi="Yu Gothic"/>
          <w:b w:val="false"/>
          <w:bCs w:val="false"/>
          <w:i w:val="false"/>
          <w:iCs w:val="false"/>
          <w:color w:val="1B1F27"/>
          <w:sz w:val="18"/>
          <w:szCs w:val="18"/>
        </w:rPr>
        <w:t xml:space="preserve">時点パネルは提出済みの有価証券報告書から構築しているため、上場廃止企業が抜けている（生存者バイアス）。</w:t>
      </w:r>
    </w:p>
    <w:p>
      <w:pPr>
        <w:pStyle w:val="ListParagraph"/>
        <w:numPr>
          <w:ilvl w:val="0"/>
          <w:numId w:val="3"/>
        </w:numPr>
        <w:spacing w:after="80" w:line="295"/>
      </w:pPr>
      <w:r>
        <w:rPr>
          <w:rFonts w:ascii="Yu Gothic" w:cs="Yu Gothic" w:eastAsia="Yu Gothic" w:hAnsi="Yu Gothic"/>
          <w:b w:val="false"/>
          <w:bCs w:val="false"/>
          <w:i w:val="false"/>
          <w:iCs w:val="false"/>
          <w:color w:val="1B1F27"/>
          <w:sz w:val="18"/>
          <w:szCs w:val="18"/>
        </w:rPr>
        <w:t xml:space="preserve">本スクリーニングは選定ロジックの提示であり、将来の運用成績を約束するものではない。STOCKリーグの審査ではリターンは採点対象外であり、本書は選定の再現性と説明可能性を示すためのものである。</w:t>
      </w:r>
    </w:p>
    <w:p>
      <w:pPr>
        <w:pStyle w:val="Heading1"/>
        <w:pBdr>
          <w:bottom w:val="single" w:color="2F4B8F" w:sz="8" w:space="6"/>
        </w:pBdr>
        <w:spacing w:after="170" w:before="380"/>
      </w:pPr>
      <w:r>
        <w:rPr>
          <w:rFonts w:ascii="Yu Gothic" w:cs="Yu Gothic" w:eastAsia="Yu Gothic" w:hAnsi="Yu Gothic"/>
          <w:b/>
          <w:bCs/>
          <w:i w:val="false"/>
          <w:iCs w:val="false"/>
          <w:color w:val="2F4B8F"/>
          <w:sz w:val="26"/>
          <w:szCs w:val="26"/>
        </w:rPr>
        <w:t xml:space="preserve">14. 再現手順</w:t>
      </w:r>
    </w:p>
    <w:p>
      <w:pPr>
        <w:spacing w:after="130" w:before="0" w:line="300"/>
        <w:jc w:val="left"/>
      </w:pPr>
      <w:r>
        <w:rPr>
          <w:rFonts w:ascii="Yu Gothic" w:cs="Yu Gothic" w:eastAsia="Yu Gothic" w:hAnsi="Yu Gothic"/>
          <w:b w:val="false"/>
          <w:bCs w:val="false"/>
          <w:i w:val="false"/>
          <w:iCs w:val="false"/>
          <w:color w:val="1B1F27"/>
          <w:sz w:val="18"/>
          <w:szCs w:val="18"/>
        </w:rPr>
        <w:t xml:space="preserve">本書の数値はすべて次のコードから生成されている。</w:t>
      </w:r>
    </w:p>
    <w:p>
      <w:pPr>
        <w:shd w:fill="F2F4F8" w:color="auto" w:val="clear"/>
        <w:spacing w:after="0" w:before="140" w:line="265"/>
        <w:ind w:left="130" w:right="130"/>
      </w:pPr>
      <w:r>
        <w:rPr>
          <w:rFonts w:ascii="SFMono-Regular" w:cs="SFMono-Regular" w:eastAsia="SFMono-Regular" w:hAnsi="SFMono-Regular"/>
          <w:color w:val="1B1F27"/>
          <w:sz w:val="15"/>
          <w:szCs w:val="15"/>
        </w:rPr>
        <w:t xml:space="preserve">python3 work/new_4axis_screen/08_extract_per_share.py   # 1株当たり数値（突合用）</w:t>
      </w:r>
    </w:p>
    <w:p>
      <w:pPr>
        <w:shd w:fill="F2F4F8" w:color="auto" w:val="clear"/>
        <w:spacing w:after="0" w:before="0" w:line="265"/>
        <w:ind w:left="130" w:right="130"/>
      </w:pPr>
      <w:r>
        <w:rPr>
          <w:rFonts w:ascii="SFMono-Regular" w:cs="SFMono-Regular" w:eastAsia="SFMono-Regular" w:hAnsi="SFMono-Regular"/>
          <w:color w:val="1B1F27"/>
          <w:sz w:val="15"/>
          <w:szCs w:val="15"/>
        </w:rPr>
        <w:t xml:space="preserve">uv run python work/new_4axis_screen/09_fetch_shares.py  # 実勢株数</w:t>
      </w:r>
    </w:p>
    <w:p>
      <w:pPr>
        <w:shd w:fill="F2F4F8" w:color="auto" w:val="clear"/>
        <w:spacing w:after="0" w:before="0" w:line="265"/>
        <w:ind w:left="130" w:right="130"/>
      </w:pPr>
      <w:r>
        <w:rPr>
          <w:rFonts w:ascii="SFMono-Regular" w:cs="SFMono-Regular" w:eastAsia="SFMono-Regular" w:hAnsi="SFMono-Regular"/>
          <w:color w:val="1B1F27"/>
          <w:sz w:val="15"/>
          <w:szCs w:val="15"/>
        </w:rPr>
        <w:t xml:space="preserve">uv run python work/new_4axis_screen/09b_retry_shares.py # 取りこぼしの再取得</w:t>
      </w:r>
    </w:p>
    <w:p>
      <w:pPr>
        <w:shd w:fill="F2F4F8" w:color="auto" w:val="clear"/>
        <w:spacing w:after="0" w:before="0" w:line="265"/>
        <w:ind w:left="130" w:right="130"/>
      </w:pPr>
      <w:r>
        <w:rPr>
          <w:rFonts w:ascii="SFMono-Regular" w:cs="SFMono-Regular" w:eastAsia="SFMono-Regular" w:hAnsi="SFMono-Regular"/>
          <w:color w:val="1B1F27"/>
          <w:sz w:val="15"/>
          <w:szCs w:val="15"/>
        </w:rPr>
        <w:t xml:space="preserve">python3 work/new_4axis_screen/07_final_screen.py        # 20社の確定</w:t>
      </w:r>
    </w:p>
    <w:p>
      <w:pPr>
        <w:shd w:fill="F2F4F8" w:color="auto" w:val="clear"/>
        <w:spacing w:after="0" w:before="0" w:line="265"/>
        <w:ind w:left="130" w:right="130"/>
      </w:pPr>
      <w:r>
        <w:rPr>
          <w:rFonts w:ascii="SFMono-Regular" w:cs="SFMono-Regular" w:eastAsia="SFMono-Regular" w:hAnsi="SFMono-Regular"/>
          <w:color w:val="1B1F27"/>
          <w:sz w:val="15"/>
          <w:szCs w:val="15"/>
        </w:rPr>
        <w:t xml:space="preserve">python3 work/new_4axis_screen/12_established_only.py    # 自己検証</w:t>
      </w:r>
    </w:p>
    <w:p>
      <w:pPr>
        <w:shd w:fill="F2F4F8" w:color="auto" w:val="clear"/>
        <w:spacing w:after="160" w:before="0" w:line="265"/>
        <w:ind w:left="130" w:right="130"/>
      </w:pPr>
      <w:r>
        <w:rPr>
          <w:rFonts w:ascii="SFMono-Regular" w:cs="SFMono-Regular" w:eastAsia="SFMono-Regular" w:hAnsi="SFMono-Regular"/>
          <w:color w:val="1B1F27"/>
          <w:sz w:val="15"/>
          <w:szCs w:val="15"/>
        </w:rPr>
        <w:t xml:space="preserve">python3 work/new_4axis_screen/10_build_docx.py          # 本レポート</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00"/>
        <w:gridCol w:w="6806"/>
      </w:tblGrid>
      <w:tr>
        <w:trPr>
          <w:tblHeader/>
        </w:trPr>
        <w:tc>
          <w:tcPr>
            <w:tcW w:type="dxa" w:w="3400"/>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出力ファイル</w:t>
            </w:r>
          </w:p>
        </w:tc>
        <w:tc>
          <w:tcPr>
            <w:tcW w:type="dxa" w:w="6806"/>
            <w:tcBorders>
              <w:top w:val="single" w:color="C9CEDA" w:sz="2"/>
              <w:left w:val="none" w:color="FFFFFF" w:sz="0"/>
              <w:bottom w:val="single" w:color="C9CEDA" w:sz="2"/>
              <w:right w:val="none" w:color="FFFFFF" w:sz="0"/>
            </w:tcBorders>
            <w:shd w:fill="EDF0F6" w:color="auto" w:val="clear"/>
            <w:tcMar>
              <w:top w:type="dxa" w:w="58"/>
              <w:left w:type="dxa" w:w="88"/>
              <w:bottom w:type="dxa" w:w="58"/>
              <w:right w:type="dxa" w:w="88"/>
            </w:tcMar>
          </w:tcPr>
          <w:p>
            <w:pPr>
              <w:spacing w:after="0" w:before="0" w:line="248"/>
              <w:jc w:val="left"/>
            </w:pPr>
            <w:r>
              <w:rPr>
                <w:rFonts w:ascii="Yu Gothic" w:cs="Yu Gothic" w:eastAsia="Yu Gothic" w:hAnsi="Yu Gothic"/>
                <w:b/>
                <w:bCs/>
                <w:i w:val="false"/>
                <w:iCs w:val="false"/>
                <w:color w:val="1B1F27"/>
                <w:sz w:val="16"/>
                <w:szCs w:val="16"/>
              </w:rPr>
              <w:t xml:space="preserve">内容</w:t>
            </w:r>
          </w:p>
        </w:tc>
      </w:tr>
      <w:tr>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final_top20.csv</w:t>
            </w:r>
          </w:p>
        </w:tc>
        <w:tc>
          <w:tcPr>
            <w:tcW w:type="dxa" w:w="68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選定20社と軸スコア・投資額</w:t>
            </w:r>
          </w:p>
        </w:tc>
      </w:tr>
      <w:tr>
        <w:tc>
          <w:tcPr>
            <w:tcW w:type="dxa" w:w="3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final_all_eligible.csv</w:t>
            </w:r>
          </w:p>
        </w:tc>
        <w:tc>
          <w:tcPr>
            <w:tcW w:type="dxa" w:w="68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母集団全社の軸スコア</w:t>
            </w:r>
          </w:p>
        </w:tc>
      </w:tr>
      <w:tr>
        <w:tc>
          <w:tcPr>
            <w:tcW w:type="dxa" w:w="3400"/>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final_summary.json</w:t>
            </w:r>
          </w:p>
        </w:tc>
        <w:tc>
          <w:tcPr>
            <w:tcW w:type="dxa" w:w="6806"/>
            <w:tcBorders>
              <w:top w:val="single" w:color="C9CEDA" w:sz="2"/>
              <w:left w:val="none" w:color="FFFFFF" w:sz="0"/>
              <w:bottom w:val="single" w:color="C9CEDA" w:sz="2"/>
              <w:right w:val="none" w:color="FFFFFF" w:sz="0"/>
            </w:tcBorders>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ファネル・カバレッジ・実効寄与</w:t>
            </w:r>
          </w:p>
        </w:tc>
      </w:tr>
      <w:tr>
        <w:tc>
          <w:tcPr>
            <w:tcW w:type="dxa" w:w="3400"/>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established_summary.json</w:t>
            </w:r>
          </w:p>
        </w:tc>
        <w:tc>
          <w:tcPr>
            <w:tcW w:type="dxa" w:w="6806"/>
            <w:tcBorders>
              <w:top w:val="single" w:color="C9CEDA" w:sz="2"/>
              <w:left w:val="none" w:color="FFFFFF" w:sz="0"/>
              <w:bottom w:val="single" w:color="C9CEDA" w:sz="2"/>
              <w:right w:val="none" w:color="FFFFFF" w:sz="0"/>
            </w:tcBorders>
            <w:shd w:fill="F7F8FB" w:color="auto" w:val="clear"/>
            <w:tcMar>
              <w:top w:type="dxa" w:w="58"/>
              <w:left w:type="dxa" w:w="88"/>
              <w:bottom w:type="dxa" w:w="58"/>
              <w:right w:type="dxa" w:w="88"/>
            </w:tcMar>
          </w:tcPr>
          <w:p>
            <w:pPr>
              <w:spacing w:after="0" w:before="0" w:line="248"/>
              <w:jc w:val="left"/>
            </w:pPr>
            <w:r>
              <w:rPr>
                <w:rFonts w:ascii="Yu Gothic" w:cs="Yu Gothic" w:eastAsia="Yu Gothic" w:hAnsi="Yu Gothic"/>
                <w:b w:val="false"/>
                <w:bCs w:val="false"/>
                <w:i w:val="false"/>
                <w:iCs w:val="false"/>
                <w:color w:val="1B1F27"/>
                <w:sz w:val="16"/>
                <w:szCs w:val="16"/>
              </w:rPr>
              <w:t xml:space="preserve">自己検証（順位相関・十分位・20社実績）</w:t>
            </w:r>
          </w:p>
        </w:tc>
      </w:tr>
    </w:tbl>
    <w:p>
      <w:pPr>
        <w:pBdr>
          <w:top w:val="single" w:color="C9CEDA" w:sz="6" w:space="8"/>
        </w:pBdr>
        <w:spacing w:before="420"/>
      </w:pPr>
      <w:r>
        <w:rPr>
          <w:rFonts w:ascii="Yu Gothic" w:cs="Yu Gothic" w:eastAsia="Yu Gothic" w:hAnsi="Yu Gothic"/>
          <w:b w:val="false"/>
          <w:bCs w:val="false"/>
          <w:i w:val="false"/>
          <w:iCs w:val="false"/>
          <w:color w:val="5B6373"/>
          <w:sz w:val="15"/>
          <w:szCs w:val="15"/>
        </w:rPr>
        <w:t xml:space="preserve">正典: outputs/stockleague_edition/NEW4AXIS_SPEC_v2.md ／ 検証: NEW4AXIS_AUDIT_v1.md</w:t>
      </w:r>
    </w:p>
    <w:sectPr>
      <w:footerReference w:type="default" r:id="rId7"/>
      <w:pgSz w:w="11906" w:h="16838" w:orient="portrait"/>
      <w:pgMar w:top="1000" w:right="850" w:bottom="10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5B6373"/>
        <w:sz w:val="15"/>
        <w:szCs w:val="15"/>
      </w:rPr>
      <w:t xml:space="preserve">自作式版</w:t>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color w:val="1B1F27"/>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2026-08-17T12:58:51.506Z</dcterms:created>
  <dcterms:modified xsi:type="dcterms:W3CDTF">2026-08-17T12:58:51.506Z</dcterms:modified>
</cp:coreProperties>
</file>

<file path=docProps/custom.xml><?xml version="1.0" encoding="utf-8"?>
<Properties xmlns="http://schemas.openxmlformats.org/officeDocument/2006/custom-properties" xmlns:vt="http://schemas.openxmlformats.org/officeDocument/2006/docPropsVTypes"/>
</file>