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val="false"/>
          <w:bCs w:val="false"/>
          <w:i w:val="false"/>
          <w:iCs w:val="false"/>
          <w:color w:val="5B6373"/>
          <w:sz w:val="17"/>
          <w:szCs w:val="17"/>
        </w:rPr>
        <w:t xml:space="preserve">STOCKリーグ提出版</w:t>
      </w:r>
    </w:p>
    <w:p>
      <w:pPr>
        <w:spacing w:after="60"/>
      </w:pPr>
      <w:r>
        <w:rPr>
          <w:rFonts w:ascii="Yu Gothic" w:cs="Yu Gothic" w:eastAsia="Yu Gothic" w:hAnsi="Yu Gothic"/>
          <w:b/>
          <w:bCs/>
          <w:i w:val="false"/>
          <w:iCs w:val="false"/>
          <w:color w:val="1B1F27"/>
          <w:sz w:val="34"/>
          <w:szCs w:val="34"/>
        </w:rPr>
        <w:t xml:space="preserve">スクリーニング簡易レポート（既存式版）</w:t>
      </w:r>
    </w:p>
    <w:p>
      <w:pPr>
        <w:spacing w:after="150"/>
      </w:pPr>
      <w:r>
        <w:rPr>
          <w:rFonts w:ascii="Yu Gothic" w:cs="Yu Gothic" w:eastAsia="Yu Gothic" w:hAnsi="Yu Gothic"/>
          <w:b w:val="false"/>
          <w:bCs w:val="false"/>
          <w:i w:val="false"/>
          <w:iCs w:val="false"/>
          <w:color w:val="1F5B4E"/>
          <w:sz w:val="21"/>
          <w:szCs w:val="21"/>
        </w:rPr>
        <w:t xml:space="preserve">4軸すべてを出典のある式で構成 — QMJ／Piotroski／研究開発集約度／E-P・B-M</w:t>
      </w:r>
    </w:p>
    <w:p>
      <w:pPr>
        <w:pBdr>
          <w:bottom w:val="single" w:color="C9CEDA" w:sz="6" w:space="8"/>
        </w:pBdr>
        <w:spacing w:after="320"/>
      </w:pPr>
      <w:r>
        <w:rPr>
          <w:rFonts w:ascii="Yu Gothic" w:cs="Yu Gothic" w:eastAsia="Yu Gothic" w:hAnsi="Yu Gothic"/>
          <w:b w:val="false"/>
          <w:bCs w:val="false"/>
          <w:i w:val="false"/>
          <w:iCs w:val="false"/>
          <w:color w:val="5B6373"/>
          <w:sz w:val="16"/>
          <w:szCs w:val="16"/>
        </w:rPr>
        <w:t xml:space="preserve">2026-08-17　／　株価・時価総額 2026-08-17時点／財務 各社最新の有価証券報告書／流動性・業種 2026-06-01時点</w:t>
      </w:r>
    </w:p>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0. 本書について</w:t>
      </w:r>
    </w:p>
    <w:p>
      <w:pPr>
        <w:spacing w:after="130" w:before="0" w:line="300"/>
        <w:jc w:val="left"/>
      </w:pPr>
      <w:r>
        <w:rPr>
          <w:rFonts w:ascii="Yu Gothic" w:cs="Yu Gothic" w:eastAsia="Yu Gothic" w:hAnsi="Yu Gothic"/>
          <w:b w:val="false"/>
          <w:bCs w:val="false"/>
          <w:i w:val="false"/>
          <w:iCs w:val="false"/>
          <w:color w:val="1B1F27"/>
          <w:sz w:val="18"/>
          <w:szCs w:val="18"/>
        </w:rPr>
        <w:t xml:space="preserve">本書は、上場企業3,649社の中から20社を選ぶまでの手順・根拠・結果を、本書だけで追えるようにまとめたものである。使ったデータ、各評価軸の式、選抜のルール、選ばれた20社とその理由、方式が機能するかの検証、そして限界までを収めている。</w:t>
      </w:r>
    </w:p>
    <w:p>
      <w:pPr>
        <w:spacing w:after="60" w:before="150"/>
      </w:pPr>
      <w:r>
        <w:rPr>
          <w:rFonts w:ascii="Yu Gothic" w:cs="Yu Gothic" w:eastAsia="Yu Gothic" w:hAnsi="Yu Gothic"/>
          <w:b/>
          <w:bCs/>
          <w:i w:val="false"/>
          <w:iCs w:val="false"/>
          <w:color w:val="5B6373"/>
          <w:sz w:val="16"/>
          <w:szCs w:val="16"/>
        </w:rPr>
        <w:t xml:space="preserve">本書の構成</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00"/>
        <w:gridCol w:w="9106"/>
      </w:tblGrid>
      <w:tr>
        <w:trPr>
          <w:tblHeader/>
        </w:trPr>
        <w:tc>
          <w:tcPr>
            <w:tcW w:type="dxa" w:w="11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章</w:t>
            </w:r>
          </w:p>
        </w:tc>
        <w:tc>
          <w:tcPr>
            <w:tcW w:type="dxa" w:w="91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内容</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結論 — 何を選んだか、要約数値</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用語の説明</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3</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使ったデータと取得率</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4</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Step 0 — 母集団の絞り込み（除外条件とファネル）</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5</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Step 1 — 4つの評価軸の定義（式と成分）</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6</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Step 2 — 合成、名目配点と実効寄与、軸の重複</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7</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Step 3・4 — 選抜ルールと保有比率の決め方</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8</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選定した20社（軸スコア・選定理由・財務指標）</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9</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ポートフォリオ構成（株数・投資額・比率）</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10</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構成の特徴（業種・市場・規模・バリュエーション）</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11</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この方式は機能するか（前向きリターンによる自己検証）</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12</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他方式との比較</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13</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限界と注意点</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14</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再現手順</w:t>
            </w:r>
          </w:p>
        </w:tc>
      </w:tr>
    </w:tbl>
    <w:p>
      <w:pPr>
        <w:spacing w:after="150" w:before="110" w:line="285"/>
      </w:pPr>
      <w:r>
        <w:rPr>
          <w:rFonts w:ascii="Yu Gothic" w:cs="Yu Gothic" w:eastAsia="Yu Gothic" w:hAnsi="Yu Gothic"/>
          <w:b w:val="false"/>
          <w:bCs w:val="false"/>
          <w:i w:val="false"/>
          <w:iCs w:val="false"/>
          <w:color w:val="5B6373"/>
          <w:sz w:val="16"/>
          <w:szCs w:val="16"/>
        </w:rPr>
        <w:t xml:space="preserve">数値はすべて第14章のコードから生成されており、同じコードを実行すれば本書の表がそのまま再現できる。</w:t>
      </w:r>
    </w:p>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1. 結論</w:t>
      </w:r>
    </w:p>
    <w:p>
      <w:pPr>
        <w:spacing w:after="130" w:before="0" w:line="300"/>
        <w:jc w:val="left"/>
      </w:pPr>
      <w:r>
        <w:rPr>
          <w:rFonts w:ascii="Yu Gothic" w:cs="Yu Gothic" w:eastAsia="Yu Gothic" w:hAnsi="Yu Gothic"/>
          <w:b w:val="false"/>
          <w:bCs w:val="false"/>
          <w:i w:val="false"/>
          <w:iCs w:val="false"/>
          <w:color w:val="1B1F27"/>
          <w:sz w:val="18"/>
          <w:szCs w:val="18"/>
        </w:rPr>
        <w:t xml:space="preserve">全上場3,649社から投資可能な1,695社を母集団とし、4つの軸（Moat・Change・Future・Price）を各0〜100点の順位点にして25%ずつ合計、同一業種2社までの制約をかけて20社を選んだ。12業種に分散している。</w:t>
      </w:r>
    </w:p>
    <w:p>
      <w:pPr>
        <w:spacing w:after="130" w:before="0" w:line="300"/>
        <w:jc w:val="left"/>
      </w:pPr>
      <w:r>
        <w:rPr>
          <w:rFonts w:ascii="Yu Gothic" w:cs="Yu Gothic" w:eastAsia="Yu Gothic" w:hAnsi="Yu Gothic"/>
          <w:b w:val="false"/>
          <w:bCs w:val="false"/>
          <w:i w:val="false"/>
          <w:iCs w:val="false"/>
          <w:color w:val="1B1F27"/>
          <w:sz w:val="18"/>
          <w:szCs w:val="18"/>
        </w:rPr>
        <w:t xml:space="preserve">選んだ20社はPER中央値8.5倍・PBR中央値1.05倍・時価総額中央値382億円。投資枠500万円に対し4,990,500円を配分し、余剰現金は9,500円。</w:t>
      </w:r>
    </w:p>
    <w:p>
      <w:pPr>
        <w:spacing w:after="130" w:before="0" w:line="300"/>
        <w:jc w:val="left"/>
      </w:pPr>
      <w:r>
        <w:rPr>
          <w:rFonts w:ascii="Yu Gothic" w:cs="Yu Gothic" w:eastAsia="Yu Gothic" w:hAnsi="Yu Gothic"/>
          <w:b w:val="false"/>
          <w:bCs w:val="false"/>
          <w:i w:val="false"/>
          <w:iCs w:val="false"/>
          <w:color w:val="1B1F27"/>
          <w:sz w:val="18"/>
          <w:szCs w:val="18"/>
        </w:rPr>
        <w:t xml:space="preserve">すべての評価式に出典があるため、「なぜこの式なのか」を論文名で答えられる。自分たちで決めたのは重みと境界値だけであり、その範囲は第13章に列挙している。</w:t>
      </w:r>
    </w:p>
    <w:p>
      <w:pPr>
        <w:spacing w:after="60" w:before="150"/>
      </w:pPr>
      <w:r>
        <w:rPr>
          <w:rFonts w:ascii="Yu Gothic" w:cs="Yu Gothic" w:eastAsia="Yu Gothic" w:hAnsi="Yu Gothic"/>
          <w:b/>
          <w:bCs/>
          <w:i w:val="false"/>
          <w:iCs w:val="false"/>
          <w:color w:val="5B6373"/>
          <w:sz w:val="16"/>
          <w:szCs w:val="16"/>
        </w:rPr>
        <w:t xml:space="preserve">要約数値</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906"/>
      </w:tblGrid>
      <w:tr>
        <w:trPr>
          <w:tblHeader/>
        </w:trPr>
        <w:tc>
          <w:tcPr>
            <w:tcW w:type="dxa" w:w="3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項目</w:t>
            </w:r>
          </w:p>
        </w:tc>
        <w:tc>
          <w:tcPr>
            <w:tcW w:type="dxa" w:w="19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値</w:t>
            </w:r>
          </w:p>
        </w:tc>
        <w:tc>
          <w:tcPr>
            <w:tcW w:type="dxa" w:w="49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意味</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母集団（Step 0通過）</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1,695社</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採点の対象になった会社</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選定</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20社</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12業種に分散</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PER 中央値</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8.5倍</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母集団は16.2倍</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PBR 中央値</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1.05倍</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母集団は1.33倍</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時価総額 中央値</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382億円</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小型〜中型が中心</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投資額</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4,990,500円</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余剰現金 9,500円</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総合点の順位相関（FY2024）</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+0.101</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その後1年のリターン順位との一致度</w:t>
            </w:r>
          </w:p>
        </w:tc>
      </w:tr>
    </w:tbl>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2. 用語の説明</w:t>
      </w:r>
    </w:p>
    <w:p>
      <w:pPr>
        <w:spacing w:after="130" w:before="0" w:line="300"/>
        <w:jc w:val="left"/>
      </w:pPr>
      <w:r>
        <w:rPr>
          <w:rFonts w:ascii="Yu Gothic" w:cs="Yu Gothic" w:eastAsia="Yu Gothic" w:hAnsi="Yu Gothic"/>
          <w:b w:val="false"/>
          <w:bCs w:val="false"/>
          <w:i w:val="false"/>
          <w:iCs w:val="false"/>
          <w:color w:val="1B1F27"/>
          <w:sz w:val="18"/>
          <w:szCs w:val="18"/>
        </w:rPr>
        <w:t xml:space="preserve">本書に出てくる指標を、はじめて読む人向けに定義する。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00"/>
        <w:gridCol w:w="7806"/>
      </w:tblGrid>
      <w:tr>
        <w:trPr>
          <w:tblHeader/>
        </w:trPr>
        <w:tc>
          <w:tcPr>
            <w:tcW w:type="dxa" w:w="2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用語</w:t>
            </w:r>
          </w:p>
        </w:tc>
        <w:tc>
          <w:tcPr>
            <w:tcW w:type="dxa" w:w="78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定義</w:t>
            </w:r>
          </w:p>
        </w:tc>
      </w:tr>
      <w:tr>
        <w:tc>
          <w:tcPr>
            <w:tcW w:type="dxa" w:w="2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順位点（0〜100）</w:t>
            </w:r>
          </w:p>
        </w:tc>
        <w:tc>
          <w:tcPr>
            <w:tcW w:type="dxa" w:w="7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母集団の中で何番目かを0〜100に直した値。50なら中位。金額や倍率をそのまま足すと単位が違って比べられないため、順位に直してから平均する。</w:t>
            </w:r>
          </w:p>
        </w:tc>
      </w:tr>
      <w:tr>
        <w:tc>
          <w:tcPr>
            <w:tcW w:type="dxa" w:w="2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PER</w:t>
            </w:r>
          </w:p>
        </w:tc>
        <w:tc>
          <w:tcPr>
            <w:tcW w:type="dxa" w:w="7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株価収益率。時価総額 ÷ 当期純利益。低いほど利益に対して株価が安い。</w:t>
            </w:r>
          </w:p>
        </w:tc>
      </w:tr>
      <w:tr>
        <w:tc>
          <w:tcPr>
            <w:tcW w:type="dxa" w:w="2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PBR</w:t>
            </w:r>
          </w:p>
        </w:tc>
        <w:tc>
          <w:tcPr>
            <w:tcW w:type="dxa" w:w="7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株価純資産倍率。時価総額 ÷ 自己資本。1倍割れは会社の解散価値を下回る評価。</w:t>
            </w:r>
          </w:p>
        </w:tc>
      </w:tr>
      <w:tr>
        <w:tc>
          <w:tcPr>
            <w:tcW w:type="dxa" w:w="2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ROE</w:t>
            </w:r>
          </w:p>
        </w:tc>
        <w:tc>
          <w:tcPr>
            <w:tcW w:type="dxa" w:w="7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自己資本利益率。当期純利益 ÷ 自己資本。株主の出したお金でどれだけ稼いだか。</w:t>
            </w:r>
          </w:p>
        </w:tc>
      </w:tr>
      <w:tr>
        <w:tc>
          <w:tcPr>
            <w:tcW w:type="dxa" w:w="2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営業CF率</w:t>
            </w:r>
          </w:p>
        </w:tc>
        <w:tc>
          <w:tcPr>
            <w:tcW w:type="dxa" w:w="7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営業キャッシュフロー ÷ 売上高。利益が実際の現金として入ってきているか。</w:t>
            </w:r>
          </w:p>
        </w:tc>
      </w:tr>
      <w:tr>
        <w:tc>
          <w:tcPr>
            <w:tcW w:type="dxa" w:w="2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時価総額</w:t>
            </w:r>
          </w:p>
        </w:tc>
        <w:tc>
          <w:tcPr>
            <w:tcW w:type="dxa" w:w="7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発行済株式数 × 株価。会社を丸ごと買うのに必要な金額。</w:t>
            </w:r>
          </w:p>
        </w:tc>
      </w:tr>
      <w:tr>
        <w:tc>
          <w:tcPr>
            <w:tcW w:type="dxa" w:w="2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企業価値（EV）</w:t>
            </w:r>
          </w:p>
        </w:tc>
        <w:tc>
          <w:tcPr>
            <w:tcW w:type="dxa" w:w="7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時価総額 + 有利子負債 − 現預金。借金と手元現金を調整した買収価格。</w:t>
            </w:r>
          </w:p>
        </w:tc>
      </w:tr>
      <w:tr>
        <w:tc>
          <w:tcPr>
            <w:tcW w:type="dxa" w:w="2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順位相関（rank IC）</w:t>
            </w:r>
          </w:p>
        </w:tc>
        <w:tc>
          <w:tcPr>
            <w:tcW w:type="dxa" w:w="7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スコアの順位と、その後のリターンの順位がどれだけ一致したか。＋1で完全一致、0で無関係。株式のスクリーニングでは0.05以上あれば実用的とされる。</w:t>
            </w:r>
          </w:p>
        </w:tc>
      </w:tr>
      <w:tr>
        <w:tc>
          <w:tcPr>
            <w:tcW w:type="dxa" w:w="2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十分位スプレッド</w:t>
            </w:r>
          </w:p>
        </w:tc>
        <w:tc>
          <w:tcPr>
            <w:tcW w:type="dxa" w:w="7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母集団をスコアで10等分し、上位10%の平均リターンから下位10%の平均リターンを引いた差。大きいほど選別が効いている。</w:t>
            </w:r>
          </w:p>
        </w:tc>
      </w:tr>
      <w:tr>
        <w:tc>
          <w:tcPr>
            <w:tcW w:type="dxa" w:w="2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実効寄与</w:t>
            </w:r>
          </w:p>
        </w:tc>
        <w:tc>
          <w:tcPr>
            <w:tcW w:type="dxa" w:w="7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「25%ずつ配点した」としても、実際に総合点の差を生んでいる割合は等しくならない。各軸が合成点のばらつきをどれだけ説明しているかを測ったもの。合計100%。</w:t>
            </w:r>
          </w:p>
        </w:tc>
      </w:tr>
      <w:tr>
        <w:tc>
          <w:tcPr>
            <w:tcW w:type="dxa" w:w="2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ブートストラップ95%区間</w:t>
            </w:r>
          </w:p>
        </w:tc>
        <w:tc>
          <w:tcPr>
            <w:tcW w:type="dxa" w:w="7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20社を重複ありで選び直す試行を2,000回繰り返し、平均リターンが収まる範囲を示したもの。20社という少なさの不確かさを表す。</w:t>
            </w:r>
          </w:p>
        </w:tc>
      </w:tr>
    </w:tbl>
    <w:p>
      <w:pPr>
        <w:pageBreakBefore/>
      </w:pPr>
    </w:p>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3. 使ったデータ</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606"/>
      </w:tblGrid>
      <w:tr>
        <w:trPr>
          <w:tblHeader/>
        </w:trPr>
        <w:tc>
          <w:tcPr>
            <w:tcW w:type="dxa" w:w="22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項目</w:t>
            </w:r>
          </w:p>
        </w:tc>
        <w:tc>
          <w:tcPr>
            <w:tcW w:type="dxa" w:w="3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出所</w:t>
            </w:r>
          </w:p>
        </w:tc>
        <w:tc>
          <w:tcPr>
            <w:tcW w:type="dxa" w:w="46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時点・備考</w:t>
            </w:r>
          </w:p>
        </w:tc>
      </w:tr>
      <w:tr>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財務データ</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EDINET 有価証券報告書（XBRL）</w:t>
            </w:r>
          </w:p>
        </w:tc>
        <w:tc>
          <w:tcPr>
            <w:tcW w:type="dxa" w:w="46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各社の最新提出分。10,712件をローカル保有</w:t>
            </w:r>
          </w:p>
        </w:tc>
      </w:tr>
      <w:tr>
        <w:tc>
          <w:tcPr>
            <w:tcW w:type="dxa" w:w="2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株価・売買代金</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Yahoo Finance 日次株価</w:t>
            </w:r>
          </w:p>
        </w:tc>
        <w:tc>
          <w:tcPr>
            <w:tcW w:type="dxa" w:w="46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2021-06〜2026-06。流動性は直近60営業日の平均売買代金</w:t>
            </w:r>
          </w:p>
        </w:tc>
      </w:tr>
      <w:tr>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発行済株式数</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Yahoo Finance 実勢値（取得できない分はXBRL）</w:t>
            </w:r>
          </w:p>
        </w:tc>
        <w:tc>
          <w:tcPr>
            <w:tcW w:type="dxa" w:w="46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2026-08-17時点。1,948/1,963社</w:t>
            </w:r>
          </w:p>
        </w:tc>
      </w:tr>
      <w:tr>
        <w:tc>
          <w:tcPr>
            <w:tcW w:type="dxa" w:w="2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業種・市場区分</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JPX 上場銘柄一覧（33業種分類）</w:t>
            </w:r>
          </w:p>
        </w:tc>
        <w:tc>
          <w:tcPr>
            <w:tcW w:type="dxa" w:w="46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2026-06-01時点</w:t>
            </w:r>
          </w:p>
        </w:tc>
      </w:tr>
      <w:tr>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検証用の前向きリターン</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上記株価から算出</w:t>
            </w:r>
          </w:p>
        </w:tc>
        <w:tc>
          <w:tcPr>
            <w:tcW w:type="dxa" w:w="46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有報の提出日を基準に、その後の株価のみを使用</w:t>
            </w:r>
          </w:p>
        </w:tc>
      </w:tr>
    </w:tbl>
    <w:p>
      <w:pPr>
        <w:spacing w:after="60" w:before="150"/>
      </w:pPr>
      <w:r>
        <w:rPr>
          <w:rFonts w:ascii="Yu Gothic" w:cs="Yu Gothic" w:eastAsia="Yu Gothic" w:hAnsi="Yu Gothic"/>
          <w:b/>
          <w:bCs/>
          <w:i w:val="false"/>
          <w:iCs w:val="false"/>
          <w:color w:val="5B6373"/>
          <w:sz w:val="16"/>
          <w:szCs w:val="16"/>
        </w:rPr>
        <w:t xml:space="preserve">主要項目のカバレッジ（母集団に対する取得率）</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906"/>
      </w:tblGrid>
      <w:tr>
        <w:trPr>
          <w:tblHeader/>
        </w:trPr>
        <w:tc>
          <w:tcPr>
            <w:tcW w:type="dxa" w:w="36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項目</w:t>
            </w:r>
          </w:p>
        </w:tc>
        <w:tc>
          <w:tcPr>
            <w:tcW w:type="dxa" w:w="17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取得率</w:t>
            </w:r>
          </w:p>
        </w:tc>
        <w:tc>
          <w:tcPr>
            <w:tcW w:type="dxa" w:w="49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備考</w:t>
            </w:r>
          </w:p>
        </w:tc>
      </w:tr>
      <w:tr>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売上総利益 ÷ 総資産</w:t>
            </w:r>
          </w:p>
        </w:tc>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94.2%</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粗利を開示しない一部業種で欠測</w:t>
            </w:r>
          </w:p>
        </w:tc>
      </w:tr>
      <w:tr>
        <w:tc>
          <w:tcPr>
            <w:tcW w:type="dxa" w:w="3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当期純利益 ÷ 自己資本</w:t>
            </w:r>
          </w:p>
        </w:tc>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営業CF ÷ 総資産</w:t>
            </w:r>
          </w:p>
        </w:tc>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99.7%</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Piotroski F-Score</w:t>
            </w:r>
          </w:p>
        </w:tc>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9項目中 平均8.8項目が計算可</w:t>
            </w:r>
          </w:p>
        </w:tc>
      </w:tr>
      <w:tr>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研究開発費</w:t>
            </w:r>
          </w:p>
        </w:tc>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65.3%</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非開示＝研究開発をしていない、として0扱い</w:t>
            </w:r>
          </w:p>
        </w:tc>
      </w:tr>
      <w:tr>
        <w:tc>
          <w:tcPr>
            <w:tcW w:type="dxa" w:w="3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EBIT ÷ 企業価値</w:t>
            </w:r>
          </w:p>
        </w:tc>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96.8%</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有利子負債が取れない分は負債0とみなす</w:t>
            </w:r>
          </w:p>
        </w:tc>
      </w:tr>
      <w:tr>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自己資本 ÷ 時価総額</w:t>
            </w:r>
          </w:p>
        </w:tc>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当期純利益 ÷ 時価総額</w:t>
            </w:r>
          </w:p>
        </w:tc>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Altman Z-Score</w:t>
            </w:r>
          </w:p>
        </w:tc>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96.3%</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bl>
    <w:p>
      <w:pPr>
        <w:spacing w:after="150" w:before="110" w:line="285"/>
      </w:pPr>
      <w:r>
        <w:rPr>
          <w:rFonts w:ascii="Yu Gothic" w:cs="Yu Gothic" w:eastAsia="Yu Gothic" w:hAnsi="Yu Gothic"/>
          <w:b w:val="false"/>
          <w:bCs w:val="false"/>
          <w:i w:val="false"/>
          <w:iCs w:val="false"/>
          <w:color w:val="5B6373"/>
          <w:sz w:val="16"/>
          <w:szCs w:val="16"/>
        </w:rPr>
        <w:t xml:space="preserve">各指標は母集団内の順位に直してから平均する。欠測はゼロで埋めず、平均から外す。ゼロ埋めは「母集団の平均並み」を意味してしまい、データを持たない会社を中位に置いてしまうため。</w:t>
      </w:r>
    </w:p>
    <w:p>
      <w:pPr>
        <w:spacing w:after="150" w:before="110" w:line="285"/>
      </w:pPr>
      <w:r>
        <w:rPr>
          <w:rFonts w:ascii="Yu Gothic" w:cs="Yu Gothic" w:eastAsia="Yu Gothic" w:hAnsi="Yu Gothic"/>
          <w:b w:val="false"/>
          <w:bCs w:val="false"/>
          <w:i w:val="false"/>
          <w:iCs w:val="false"/>
          <w:color w:val="5B6373"/>
          <w:sz w:val="16"/>
          <w:szCs w:val="16"/>
        </w:rPr>
        <w:t xml:space="preserve">時価総額は実勢の発行済株式数×実勢株価で計算している。有価証券報告書の提出後に株式分割した会社は、報告書の株式数のままだと時価総額が分割比率のぶん過小になり「異常に割安」と誤判定される。母集団で216社の提出後分割を検出し、実勢値に置き換えた。</w:t>
      </w:r>
    </w:p>
    <w:p>
      <w:pPr>
        <w:spacing w:after="150" w:before="110" w:line="285"/>
      </w:pPr>
      <w:r>
        <w:rPr>
          <w:rFonts w:ascii="Yu Gothic" w:cs="Yu Gothic" w:eastAsia="Yu Gothic" w:hAnsi="Yu Gothic"/>
          <w:b w:val="false"/>
          <w:bCs w:val="false"/>
          <w:i w:val="false"/>
          <w:iCs w:val="false"/>
          <w:color w:val="5B6373"/>
          <w:sz w:val="16"/>
          <w:szCs w:val="16"/>
        </w:rPr>
        <w:t xml:space="preserve">研究開発費は、当初のパーサーが ResearchAndDevelopmentExpenses というタグで探していたためほとんど取得できていなかった。EDINETの実タグは ResearchAndDevelopmentExpensesSGA であり、修正後の取得率は母集団で65.0%。非開示は業種で説明でき（銀行1.3%・不動産8.6%・小売9.5% 対 機械97.6%・化学98.0%）、「開示なし＝研究開発をしていない」と読める分布である。</w:t>
      </w:r>
    </w:p>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4. Step 0 — 母集団の絞り込み</w:t>
      </w:r>
    </w:p>
    <w:p>
      <w:pPr>
        <w:spacing w:after="130" w:before="0" w:line="300"/>
        <w:jc w:val="left"/>
      </w:pPr>
      <w:r>
        <w:rPr>
          <w:rFonts w:ascii="Yu Gothic" w:cs="Yu Gothic" w:eastAsia="Yu Gothic" w:hAnsi="Yu Gothic"/>
          <w:b w:val="false"/>
          <w:bCs w:val="false"/>
          <w:i w:val="false"/>
          <w:iCs w:val="false"/>
          <w:color w:val="1B1F27"/>
          <w:sz w:val="18"/>
          <w:szCs w:val="18"/>
        </w:rPr>
        <w:t xml:space="preserve">「儲かる会社を選ぶ」段ではなく、「そもそも買えない会社・データが信用できない会社を落とす」段である。</w:t>
      </w:r>
    </w:p>
    <w:p>
      <w:pPr>
        <w:spacing w:after="60" w:before="150"/>
      </w:pPr>
      <w:r>
        <w:rPr>
          <w:rFonts w:ascii="Yu Gothic" w:cs="Yu Gothic" w:eastAsia="Yu Gothic" w:hAnsi="Yu Gothic"/>
          <w:b/>
          <w:bCs/>
          <w:i w:val="false"/>
          <w:iCs w:val="false"/>
          <w:color w:val="5B6373"/>
          <w:sz w:val="16"/>
          <w:szCs w:val="16"/>
        </w:rPr>
        <w:t xml:space="preserve">除外条件</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50"/>
        <w:gridCol w:w="4650"/>
        <w:gridCol w:w="4906"/>
      </w:tblGrid>
      <w:tr>
        <w:trPr>
          <w:tblHeader/>
        </w:trPr>
        <w:tc>
          <w:tcPr>
            <w:tcW w:type="dxa" w:w="65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w:t>
            </w:r>
          </w:p>
        </w:tc>
        <w:tc>
          <w:tcPr>
            <w:tcW w:type="dxa" w:w="465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条件</w:t>
            </w:r>
          </w:p>
        </w:tc>
        <w:tc>
          <w:tcPr>
            <w:tcW w:type="dxa" w:w="49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趣旨</w:t>
            </w:r>
          </w:p>
        </w:tc>
      </w:tr>
      <w:tr>
        <w:tc>
          <w:tcPr>
            <w:tcW w:type="dxa" w:w="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w:t>
            </w:r>
          </w:p>
        </w:tc>
        <w:tc>
          <w:tcPr>
            <w:tcW w:type="dxa" w:w="4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株価データが存在する</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売買できない銘柄を落とす</w:t>
            </w:r>
          </w:p>
        </w:tc>
      </w:tr>
      <w:tr>
        <w:tc>
          <w:tcPr>
            <w:tcW w:type="dxa" w:w="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w:t>
            </w:r>
          </w:p>
        </w:tc>
        <w:tc>
          <w:tcPr>
            <w:tcW w:type="dxa" w:w="4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直近60営業日の平均売買代金が2,000万円以上／日</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買えても売れない銘柄を落とす</w:t>
            </w:r>
          </w:p>
        </w:tc>
      </w:tr>
      <w:tr>
        <w:tc>
          <w:tcPr>
            <w:tcW w:type="dxa" w:w="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w:t>
            </w:r>
          </w:p>
        </w:tc>
        <w:tc>
          <w:tcPr>
            <w:tcW w:type="dxa" w:w="4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総資産・自己資本・当期純利益などが揃っている</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そもそも採点できない銘柄を落とす</w:t>
            </w:r>
          </w:p>
        </w:tc>
      </w:tr>
      <w:tr>
        <w:tc>
          <w:tcPr>
            <w:tcW w:type="dxa" w:w="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4</w:t>
            </w:r>
          </w:p>
        </w:tc>
        <w:tc>
          <w:tcPr>
            <w:tcW w:type="dxa" w:w="4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3期連続の営業赤字でない</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本業が続かない会社を落とす</w:t>
            </w:r>
          </w:p>
        </w:tc>
      </w:tr>
      <w:tr>
        <w:tc>
          <w:tcPr>
            <w:tcW w:type="dxa" w:w="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w:t>
            </w:r>
          </w:p>
        </w:tc>
        <w:tc>
          <w:tcPr>
            <w:tcW w:type="dxa" w:w="4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3期連続の経常赤字・純損失でない</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同上</w:t>
            </w:r>
          </w:p>
        </w:tc>
      </w:tr>
      <w:tr>
        <w:tc>
          <w:tcPr>
            <w:tcW w:type="dxa" w:w="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6</w:t>
            </w:r>
          </w:p>
        </w:tc>
        <w:tc>
          <w:tcPr>
            <w:tcW w:type="dxa" w:w="4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3期連続の営業キャッシュフローがマイナスでない</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現金が出ていく一方の会社を落とす</w:t>
            </w:r>
          </w:p>
        </w:tc>
      </w:tr>
      <w:tr>
        <w:tc>
          <w:tcPr>
            <w:tcW w:type="dxa" w:w="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7</w:t>
            </w:r>
          </w:p>
        </w:tc>
        <w:tc>
          <w:tcPr>
            <w:tcW w:type="dxa" w:w="4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自己資本比率が極端に低くない／負債が過大でない</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財務が持たない会社を落とす</w:t>
            </w:r>
          </w:p>
        </w:tc>
      </w:tr>
      <w:tr>
        <w:tc>
          <w:tcPr>
            <w:tcW w:type="dxa" w:w="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8</w:t>
            </w:r>
          </w:p>
        </w:tc>
        <w:tc>
          <w:tcPr>
            <w:tcW w:type="dxa" w:w="4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ROEが−50〜+80%、営業利益率が−50〜+100%の範囲</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異常値・特殊要因を落とす</w:t>
            </w:r>
          </w:p>
        </w:tc>
      </w:tr>
      <w:tr>
        <w:tc>
          <w:tcPr>
            <w:tcW w:type="dxa" w:w="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w:t>
            </w:r>
          </w:p>
        </w:tc>
        <w:tc>
          <w:tcPr>
            <w:tcW w:type="dxa" w:w="4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PERが0超120以下、PBRが0超20以下</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採点の前提が壊れる極端な評価を落とす</w:t>
            </w:r>
          </w:p>
        </w:tc>
      </w:tr>
      <w:tr>
        <w:tc>
          <w:tcPr>
            <w:tcW w:type="dxa" w:w="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w:t>
            </w:r>
          </w:p>
        </w:tc>
        <w:tc>
          <w:tcPr>
            <w:tcW w:type="dxa" w:w="4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Altman Z-Score が1.81以上</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倒産確率が高い水準の会社を落とす（Altman 1968の境界値）</w:t>
            </w:r>
          </w:p>
        </w:tc>
      </w:tr>
    </w:tbl>
    <w:p>
      <w:pPr>
        <w:spacing w:after="100" w:before="220"/>
      </w:pPr>
      <w:r>
        <w:rPr>
          <w:rFonts w:ascii="Yu Gothic" w:cs="Yu Gothic" w:eastAsia="Yu Gothic" w:hAnsi="Yu Gothic"/>
          <w:b/>
          <w:bCs/>
          <w:i w:val="false"/>
          <w:iCs w:val="false"/>
          <w:color w:val="1B1F27"/>
          <w:sz w:val="18"/>
          <w:szCs w:val="18"/>
        </w:rPr>
        <w:t xml:space="preserve">流動性の下限（Amihud 2002）</w:t>
      </w:r>
    </w:p>
    <w:p>
      <w:pPr>
        <w:spacing w:after="130" w:before="0" w:line="300"/>
        <w:jc w:val="left"/>
      </w:pPr>
      <w:r>
        <w:rPr>
          <w:rFonts w:ascii="Yu Gothic" w:cs="Yu Gothic" w:eastAsia="Yu Gothic" w:hAnsi="Yu Gothic"/>
          <w:b w:val="false"/>
          <w:bCs w:val="false"/>
          <w:i w:val="false"/>
          <w:iCs w:val="false"/>
          <w:color w:val="1B1F27"/>
          <w:sz w:val="18"/>
          <w:szCs w:val="18"/>
        </w:rPr>
        <w:t xml:space="preserve">売買が細い銘柄は、買えても売れない。直近60営業日の平均売買代金に下限を置く。Amihud (2002) は非流動性が期待リターンに織り込まれることを示しており、流動性を制約として置くこと自体に根拠がある。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302895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28950" cy="64770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(3)</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1日あたり2,000万円。P は終値、V は出来高。</w:t>
      </w:r>
    </w:p>
    <w:p>
      <w:pPr>
        <w:spacing w:after="100" w:before="220"/>
      </w:pPr>
      <w:r>
        <w:rPr>
          <w:rFonts w:ascii="Yu Gothic" w:cs="Yu Gothic" w:eastAsia="Yu Gothic" w:hAnsi="Yu Gothic"/>
          <w:b/>
          <w:bCs/>
          <w:i w:val="false"/>
          <w:iCs w:val="false"/>
          <w:color w:val="1B1F27"/>
          <w:sz w:val="18"/>
          <w:szCs w:val="18"/>
        </w:rPr>
        <w:t xml:space="preserve">倒産リスクの除外（Altman 1968）</w:t>
      </w:r>
    </w:p>
    <w:p>
      <w:pPr>
        <w:spacing w:after="130" w:before="0" w:line="300"/>
        <w:jc w:val="left"/>
      </w:pPr>
      <w:r>
        <w:rPr>
          <w:rFonts w:ascii="Yu Gothic" w:cs="Yu Gothic" w:eastAsia="Yu Gothic" w:hAnsi="Yu Gothic"/>
          <w:b w:val="false"/>
          <w:bCs w:val="false"/>
          <w:i w:val="false"/>
          <w:iCs w:val="false"/>
          <w:color w:val="1B1F27"/>
          <w:sz w:val="18"/>
          <w:szCs w:val="18"/>
        </w:rPr>
        <w:t xml:space="preserve">割安に見える会社の一部は、単に倒産が近いから安い。Altman (1968) のZ-Score は、5つの財務比率の線形結合で倒産確率を判別する古典的な指標で、1.81を下回る領域を「危険」と定義している。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46672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40005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(4)</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Z &lt; 1.81 を除外する。閾値は原論文の値をそのまま用いる。</w:t>
      </w:r>
    </w:p>
    <w:p>
      <w:pPr>
        <w:spacing w:after="150" w:before="110" w:line="285"/>
      </w:pPr>
      <w:r>
        <w:rPr>
          <w:rFonts w:ascii="Yu Gothic" w:cs="Yu Gothic" w:eastAsia="Yu Gothic" w:hAnsi="Yu Gothic"/>
          <w:b w:val="false"/>
          <w:bCs w:val="false"/>
          <w:i w:val="false"/>
          <w:iCs w:val="false"/>
          <w:color w:val="5B6373"/>
          <w:sz w:val="16"/>
          <w:szCs w:val="16"/>
        </w:rPr>
        <w:t xml:space="preserve">この条件で236社が除外された（母集団の約12%）。なおZ-Scoreは製造業向けに推定されたモデルであり、非製造業では判別力が落ちることが知られている。本方式では「選ぶための指標」ではなく「明らかに危ない会社を落とす門番」としてのみ用いている。</w:t>
      </w:r>
    </w:p>
    <w:p>
      <w:pPr>
        <w:spacing w:after="60" w:before="150"/>
      </w:pPr>
      <w:r>
        <w:rPr>
          <w:rFonts w:ascii="Yu Gothic" w:cs="Yu Gothic" w:eastAsia="Yu Gothic" w:hAnsi="Yu Gothic"/>
          <w:b/>
          <w:bCs/>
          <w:i w:val="false"/>
          <w:iCs w:val="false"/>
          <w:color w:val="5B6373"/>
          <w:sz w:val="16"/>
          <w:szCs w:val="16"/>
        </w:rPr>
        <w:t xml:space="preserve">ファネル（実測）</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5206"/>
      </w:tblGrid>
      <w:tr>
        <w:trPr>
          <w:tblHeader/>
        </w:trPr>
        <w:tc>
          <w:tcPr>
            <w:tcW w:type="dxa" w:w="37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段階</w:t>
            </w:r>
          </w:p>
        </w:tc>
        <w:tc>
          <w:tcPr>
            <w:tcW w:type="dxa" w:w="13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社数</w:t>
            </w:r>
          </w:p>
        </w:tc>
        <w:tc>
          <w:tcPr>
            <w:tcW w:type="dxa" w:w="52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内容</w:t>
            </w:r>
          </w:p>
        </w:tc>
      </w:tr>
      <w:tr>
        <w:tc>
          <w:tcPr>
            <w:tcW w:type="dxa" w:w="3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全上場企業</w:t>
            </w:r>
          </w:p>
        </w:tc>
        <w:tc>
          <w:tcPr>
            <w:tcW w:type="dxa" w:w="1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3,649社</w:t>
            </w:r>
          </w:p>
        </w:tc>
        <w:tc>
          <w:tcPr>
            <w:tcW w:type="dxa" w:w="5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JPX上場全銘柄</w:t>
            </w:r>
          </w:p>
        </w:tc>
      </w:tr>
      <w:tr>
        <w:tc>
          <w:tcPr>
            <w:tcW w:type="dxa" w:w="3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条件1〜8を通過</w:t>
            </w:r>
          </w:p>
        </w:tc>
        <w:tc>
          <w:tcPr>
            <w:tcW w:type="dxa" w:w="1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1,963社</w:t>
            </w:r>
          </w:p>
        </w:tc>
        <w:tc>
          <w:tcPr>
            <w:tcW w:type="dxa" w:w="5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流動性・連続赤字・データ完備など</w:t>
            </w:r>
          </w:p>
        </w:tc>
      </w:tr>
      <w:tr>
        <w:tc>
          <w:tcPr>
            <w:tcW w:type="dxa" w:w="3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条件9（バリュエーション範囲）で除外</w:t>
            </w:r>
          </w:p>
        </w:tc>
        <w:tc>
          <w:tcPr>
            <w:tcW w:type="dxa" w:w="1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−32社</w:t>
            </w:r>
          </w:p>
        </w:tc>
        <w:tc>
          <w:tcPr>
            <w:tcW w:type="dxa" w:w="5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PER・PBRが極端な銘柄</w:t>
            </w:r>
          </w:p>
        </w:tc>
      </w:tr>
      <w:tr>
        <w:tc>
          <w:tcPr>
            <w:tcW w:type="dxa" w:w="3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条件10（Altman Z&lt;1.81）で除外</w:t>
            </w:r>
          </w:p>
        </w:tc>
        <w:tc>
          <w:tcPr>
            <w:tcW w:type="dxa" w:w="1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−236社</w:t>
            </w:r>
          </w:p>
        </w:tc>
        <w:tc>
          <w:tcPr>
            <w:tcW w:type="dxa" w:w="5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倒産リスクが高い水準</w:t>
            </w:r>
          </w:p>
        </w:tc>
      </w:tr>
      <w:tr>
        <w:tc>
          <w:tcPr>
            <w:tcW w:type="dxa" w:w="3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Step 0 通過（母集団）</w:t>
            </w:r>
          </w:p>
        </w:tc>
        <w:tc>
          <w:tcPr>
            <w:tcW w:type="dxa" w:w="1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1,695社</w:t>
            </w:r>
          </w:p>
        </w:tc>
        <w:tc>
          <w:tcPr>
            <w:tcW w:type="dxa" w:w="5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4軸で採点する対象</w:t>
            </w:r>
          </w:p>
        </w:tc>
      </w:tr>
      <w:tr>
        <w:tc>
          <w:tcPr>
            <w:tcW w:type="dxa" w:w="3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1単元が上限8%を超え購入不可</w:t>
            </w:r>
          </w:p>
        </w:tc>
        <w:tc>
          <w:tcPr>
            <w:tcW w:type="dxa" w:w="1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−310社</w:t>
            </w:r>
          </w:p>
        </w:tc>
        <w:tc>
          <w:tcPr>
            <w:tcW w:type="dxa" w:w="5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1単元40万円超。投資枠500万円では買えないため次点を繰り上げる</w:t>
            </w:r>
          </w:p>
        </w:tc>
      </w:tr>
      <w:tr>
        <w:tc>
          <w:tcPr>
            <w:tcW w:type="dxa" w:w="3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Step 3 選抜</w:t>
            </w:r>
          </w:p>
        </w:tc>
        <w:tc>
          <w:tcPr>
            <w:tcW w:type="dxa" w:w="1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20社</w:t>
            </w:r>
          </w:p>
        </w:tc>
        <w:tc>
          <w:tcPr>
            <w:tcW w:type="dxa" w:w="5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総合点の上位・同一業種は2社まで</w:t>
            </w:r>
          </w:p>
        </w:tc>
      </w:tr>
    </w:tbl>
    <w:p>
      <w:pPr>
        <w:spacing w:after="150" w:before="110" w:line="285"/>
      </w:pPr>
      <w:r>
        <w:rPr>
          <w:rFonts w:ascii="Yu Gothic" w:cs="Yu Gothic" w:eastAsia="Yu Gothic" w:hAnsi="Yu Gothic"/>
          <w:b w:val="false"/>
          <w:bCs w:val="false"/>
          <w:i w:val="false"/>
          <w:iCs w:val="false"/>
          <w:color w:val="5B6373"/>
          <w:sz w:val="16"/>
          <w:szCs w:val="16"/>
        </w:rPr>
        <w:t xml:space="preserve">条件9は、これまで株価指標を取得できていた売買代金上位300社にしか適用されていなかった。全社の時価総額を用意したため、今回から全社に適用している。</w:t>
      </w:r>
    </w:p>
    <w:p>
      <w:pPr>
        <w:spacing w:after="150" w:before="110" w:line="285"/>
      </w:pPr>
      <w:r>
        <w:rPr>
          <w:rFonts w:ascii="Yu Gothic" w:cs="Yu Gothic" w:eastAsia="Yu Gothic" w:hAnsi="Yu Gothic"/>
          <w:b w:val="false"/>
          <w:bCs w:val="false"/>
          <w:i w:val="false"/>
          <w:iCs w:val="false"/>
          <w:color w:val="5B6373"/>
          <w:sz w:val="16"/>
          <w:szCs w:val="16"/>
        </w:rPr>
        <w:t xml:space="preserve">投資枠500万円・1銘柄上限8%の制約から、1単元が40万円を超える310社は構造的に選ばれない。これは資金量に依存する制約である。</w:t>
      </w:r>
    </w:p>
    <w:p>
      <w:pPr>
        <w:pageBreakBefore/>
      </w:pPr>
    </w:p>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5. Step 1 — 4つの評価軸</w:t>
      </w:r>
    </w:p>
    <w:p>
      <w:pPr>
        <w:spacing w:after="130" w:before="0" w:line="300"/>
        <w:jc w:val="left"/>
      </w:pPr>
      <w:r>
        <w:rPr>
          <w:rFonts w:ascii="Yu Gothic" w:cs="Yu Gothic" w:eastAsia="Yu Gothic" w:hAnsi="Yu Gothic"/>
          <w:b w:val="false"/>
          <w:bCs w:val="false"/>
          <w:i w:val="false"/>
          <w:iCs w:val="false"/>
          <w:color w:val="1B1F27"/>
          <w:sz w:val="18"/>
          <w:szCs w:val="18"/>
        </w:rPr>
        <w:t xml:space="preserve">4つの軸はいずれも、査読論文または著名な実務書で定義が確定している式をそのまま用いる。「なぜこの式なのか」に論文名で答えられる状態にすることが、この構成の目的である。以下、各軸について 出典 → なぜこの軸が要るか → 定義 → 記号の意味 → 直感 → 注意点 の順に述べる。重みや境界値を我々が決めた箇所は第13章に列挙する。</w:t>
      </w:r>
    </w:p>
    <w:p>
      <w:pPr>
        <w:spacing w:after="60" w:before="150"/>
      </w:pPr>
      <w:r>
        <w:rPr>
          <w:rFonts w:ascii="Yu Gothic" w:cs="Yu Gothic" w:eastAsia="Yu Gothic" w:hAnsi="Yu Gothic"/>
          <w:b/>
          <w:bCs/>
          <w:i w:val="false"/>
          <w:iCs w:val="false"/>
          <w:color w:val="5B6373"/>
          <w:sz w:val="16"/>
          <w:szCs w:val="16"/>
        </w:rPr>
        <w:t xml:space="preserve">記号の約束</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4306"/>
      </w:tblGrid>
      <w:tr>
        <w:trPr>
          <w:tblHeader/>
        </w:trPr>
        <w:tc>
          <w:tcPr>
            <w:tcW w:type="dxa" w:w="17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記号</w:t>
            </w:r>
          </w:p>
        </w:tc>
        <w:tc>
          <w:tcPr>
            <w:tcW w:type="dxa" w:w="42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意味</w:t>
            </w:r>
          </w:p>
        </w:tc>
        <w:tc>
          <w:tcPr>
            <w:tcW w:type="dxa" w:w="43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備考</w:t>
            </w:r>
          </w:p>
        </w:tc>
      </w:tr>
      <w:tr>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i</w:t>
            </w:r>
          </w:p>
        </w:tc>
        <w:tc>
          <w:tcPr>
            <w:tcW w:type="dxa" w:w="4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企業を表す添字</w:t>
            </w:r>
          </w:p>
        </w:tc>
        <w:tc>
          <w:tcPr>
            <w:tcW w:type="dxa" w:w="4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母集団の各社に振る</w:t>
            </w:r>
          </w:p>
        </w:tc>
      </w:tr>
      <w:tr>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k</w:t>
            </w:r>
          </w:p>
        </w:tc>
        <w:tc>
          <w:tcPr>
            <w:tcW w:type="dxa" w:w="4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軸を構成する成分を表す添字</w:t>
            </w:r>
          </w:p>
        </w:tc>
        <w:tc>
          <w:tcPr>
            <w:tcW w:type="dxa" w:w="4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たとえば Moat なら6成分</w:t>
            </w:r>
          </w:p>
        </w:tc>
      </w:tr>
      <w:tr>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N</w:t>
            </w:r>
          </w:p>
        </w:tc>
        <w:tc>
          <w:tcPr>
            <w:tcW w:type="dxa" w:w="4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母集団の企業数</w:t>
            </w:r>
          </w:p>
        </w:tc>
        <w:tc>
          <w:tcPr>
            <w:tcW w:type="dxa" w:w="4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Step 0 を通過した1,695社</w:t>
            </w:r>
          </w:p>
        </w:tc>
      </w:tr>
      <w:tr>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pct(・)</w:t>
            </w:r>
          </w:p>
        </w:tc>
        <w:tc>
          <w:tcPr>
            <w:tcW w:type="dxa" w:w="4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母集団内の順位を0〜100点にする関数</w:t>
            </w:r>
          </w:p>
        </w:tc>
        <w:tc>
          <w:tcPr>
            <w:tcW w:type="dxa" w:w="4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式(1)</w:t>
            </w:r>
          </w:p>
        </w:tc>
      </w:tr>
      <w:tr>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z(・)</w:t>
            </w:r>
          </w:p>
        </w:tc>
        <w:tc>
          <w:tcPr>
            <w:tcW w:type="dxa" w:w="4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順位を平均0・標準偏差1に標準化する関数</w:t>
            </w:r>
          </w:p>
        </w:tc>
        <w:tc>
          <w:tcPr>
            <w:tcW w:type="dxa" w:w="4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式(2)</w:t>
            </w:r>
          </w:p>
        </w:tc>
      </w:tr>
      <w:tr>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Sales, COGS, GP</w:t>
            </w:r>
          </w:p>
        </w:tc>
        <w:tc>
          <w:tcPr>
            <w:tcW w:type="dxa" w:w="4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売上高、売上原価、売上総利益</w:t>
            </w:r>
          </w:p>
        </w:tc>
        <w:tc>
          <w:tcPr>
            <w:tcW w:type="dxa" w:w="4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GP = Sales − COGS</w:t>
            </w:r>
          </w:p>
        </w:tc>
      </w:tr>
      <w:tr>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NI, EBIT, CFO</w:t>
            </w:r>
          </w:p>
        </w:tc>
        <w:tc>
          <w:tcPr>
            <w:tcW w:type="dxa" w:w="4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当期純利益、営業利益、営業キャッシュフロー</w:t>
            </w:r>
          </w:p>
        </w:tc>
        <w:tc>
          <w:tcPr>
            <w:tcW w:type="dxa" w:w="4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有価証券報告書</w:t>
            </w:r>
          </w:p>
        </w:tc>
      </w:tr>
      <w:tr>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TA, TL, BE</w:t>
            </w:r>
          </w:p>
        </w:tc>
        <w:tc>
          <w:tcPr>
            <w:tcW w:type="dxa" w:w="4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総資産、負債合計、自己資本</w:t>
            </w:r>
          </w:p>
        </w:tc>
        <w:tc>
          <w:tcPr>
            <w:tcW w:type="dxa" w:w="4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同上</w:t>
            </w:r>
          </w:p>
        </w:tc>
      </w:tr>
      <w:tr>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WC, RE</w:t>
            </w:r>
          </w:p>
        </w:tc>
        <w:tc>
          <w:tcPr>
            <w:tcW w:type="dxa" w:w="4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正味運転資本（流動資産−流動負債）、利益剰余金</w:t>
            </w:r>
          </w:p>
        </w:tc>
        <w:tc>
          <w:tcPr>
            <w:tcW w:type="dxa" w:w="4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同上</w:t>
            </w:r>
          </w:p>
        </w:tc>
      </w:tr>
      <w:tr>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RD</w:t>
            </w:r>
          </w:p>
        </w:tc>
        <w:tc>
          <w:tcPr>
            <w:tcW w:type="dxa" w:w="4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研究開発費</w:t>
            </w:r>
          </w:p>
        </w:tc>
        <w:tc>
          <w:tcPr>
            <w:tcW w:type="dxa" w:w="4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記載がない場合は 0 とする</w:t>
            </w:r>
          </w:p>
        </w:tc>
      </w:tr>
      <w:tr>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 P, MC</w:t>
            </w:r>
          </w:p>
        </w:tc>
        <w:tc>
          <w:tcPr>
            <w:tcW w:type="dxa" w:w="4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発行済株式数、株価、時価総額</w:t>
            </w:r>
          </w:p>
        </w:tc>
        <w:tc>
          <w:tcPr>
            <w:tcW w:type="dxa" w:w="4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MC = S × P</w:t>
            </w:r>
          </w:p>
        </w:tc>
      </w:tr>
      <w:tr>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Debt, Cash, EV</w:t>
            </w:r>
          </w:p>
        </w:tc>
        <w:tc>
          <w:tcPr>
            <w:tcW w:type="dxa" w:w="4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有利子負債、現預金、企業価値</w:t>
            </w:r>
          </w:p>
        </w:tc>
        <w:tc>
          <w:tcPr>
            <w:tcW w:type="dxa" w:w="4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EV = MC + Debt − Cash</w:t>
            </w:r>
          </w:p>
        </w:tc>
      </w:tr>
    </w:tbl>
    <w:p>
      <w:pPr>
        <w:spacing w:after="150" w:before="110" w:line="285"/>
      </w:pPr>
      <w:r>
        <w:rPr>
          <w:rFonts w:ascii="Yu Gothic" w:cs="Yu Gothic" w:eastAsia="Yu Gothic" w:hAnsi="Yu Gothic"/>
          <w:b w:val="false"/>
          <w:bCs w:val="false"/>
          <w:i w:val="false"/>
          <w:iCs w:val="false"/>
          <w:color w:val="5B6373"/>
          <w:sz w:val="16"/>
          <w:szCs w:val="16"/>
        </w:rPr>
        <w:t xml:space="preserve">添字 i は企業、k は軸を構成する成分を表す。指標名は立体（ローマン体）で書き、変数は斜体で書く。定義には := を、恒等な等式には = を用いる。</w:t>
      </w:r>
    </w:p>
    <w:p>
      <w:pPr>
        <w:pStyle w:val="Heading2"/>
        <w:spacing w:after="115" w:before="280"/>
      </w:pPr>
      <w:r>
        <w:rPr>
          <w:rFonts w:ascii="Yu Gothic" w:cs="Yu Gothic" w:eastAsia="Yu Gothic" w:hAnsi="Yu Gothic"/>
          <w:b/>
          <w:bCs/>
          <w:i w:val="false"/>
          <w:iCs w:val="false"/>
          <w:color w:val="1B1F27"/>
          <w:sz w:val="21"/>
          <w:szCs w:val="21"/>
        </w:rPr>
        <w:t xml:space="preserve">① Moat — いま強いか</w:t>
      </w:r>
    </w:p>
    <w:p>
      <w:pPr>
        <w:spacing w:after="130" w:before="0" w:line="300"/>
        <w:jc w:val="left"/>
      </w:pPr>
      <w:r>
        <w:rPr>
          <w:rFonts w:ascii="Yu Gothic" w:cs="Yu Gothic" w:eastAsia="Yu Gothic" w:hAnsi="Yu Gothic"/>
          <w:b/>
          <w:bCs/>
          <w:i w:val="false"/>
          <w:iCs w:val="false"/>
          <w:color w:val="1B1F27"/>
          <w:sz w:val="17"/>
          <w:szCs w:val="17"/>
        </w:rPr>
        <w:t xml:space="preserve">出典: </w:t>
      </w:r>
      <w:r>
        <w:rPr>
          <w:rFonts w:ascii="Yu Gothic" w:cs="Yu Gothic" w:eastAsia="Yu Gothic" w:hAnsi="Yu Gothic"/>
          <w:b w:val="false"/>
          <w:bCs w:val="false"/>
          <w:i w:val="false"/>
          <w:iCs w:val="false"/>
          <w:color w:val="1B1F27"/>
          <w:sz w:val="17"/>
          <w:szCs w:val="17"/>
        </w:rPr>
        <w:t xml:space="preserve">Asness, Frazzini &amp; Pedersen (2019) Quality Minus Junk, Review of Accounting Studies 24, pp.34-112（Profitability 部分）／Novy-Marx (2013)／Sloan (1996)</w:t>
      </w:r>
    </w:p>
    <w:p>
      <w:pPr>
        <w:spacing w:after="130" w:before="0" w:line="300"/>
        <w:jc w:val="left"/>
      </w:pPr>
      <w:r>
        <w:rPr>
          <w:rFonts w:ascii="Yu Gothic" w:cs="Yu Gothic" w:eastAsia="Yu Gothic" w:hAnsi="Yu Gothic"/>
          <w:b w:val="false"/>
          <w:bCs w:val="false"/>
          <w:i w:val="false"/>
          <w:iCs w:val="false"/>
          <w:color w:val="1B1F27"/>
          <w:sz w:val="18"/>
          <w:szCs w:val="18"/>
        </w:rPr>
        <w:t xml:space="preserve">「いま強い会社か」を測る。ここでいう強さとは、売上に対して高い利益が残り、その利益が現金として実際に入ってきており、かつ会計上の見積りに頼っていない状態を指す。Asness, Frazzini &amp; Pedersen (2019) は、この性質を持つ企業群（Quality）が、持たない企業群（Junk）に対して長期的に超過リターンを得てきたことを国際分散したサンプルで示している。</w:t>
      </w:r>
    </w:p>
    <w:p>
      <w:pPr>
        <w:spacing w:after="130" w:before="0" w:line="300"/>
        <w:jc w:val="left"/>
      </w:pPr>
      <w:r>
        <w:rPr>
          <w:rFonts w:ascii="Yu Gothic" w:cs="Yu Gothic" w:eastAsia="Yu Gothic" w:hAnsi="Yu Gothic"/>
          <w:b w:val="false"/>
          <w:bCs w:val="false"/>
          <w:i w:val="false"/>
          <w:iCs w:val="false"/>
          <w:color w:val="1B1F27"/>
          <w:sz w:val="18"/>
          <w:szCs w:val="18"/>
        </w:rPr>
        <w:t xml:space="preserve">同論文の Quality は Profitability・Growth・Safety の3部構成だが、本方式では Growth を②Change、Safety を Step 0 の Altman Z-Score に分けて担わせているため、①には Profitability 部分のみを用いる。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5715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670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(5)</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①Moat の定義。6成分の標準化値の平均。</w:t>
      </w:r>
    </w:p>
    <w:p>
      <w:pPr>
        <w:spacing w:after="130" w:before="0" w:line="300"/>
        <w:jc w:val="left"/>
      </w:pPr>
      <w:r>
        <w:rPr>
          <w:rFonts w:ascii="Yu Gothic" w:cs="Yu Gothic" w:eastAsia="Yu Gothic" w:hAnsi="Yu Gothic"/>
          <w:b w:val="false"/>
          <w:bCs w:val="false"/>
          <w:i w:val="false"/>
          <w:iCs w:val="false"/>
          <w:color w:val="1B1F27"/>
          <w:sz w:val="18"/>
          <w:szCs w:val="18"/>
        </w:rPr>
        <w:t xml:space="preserve">各成分は次のように定義する。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2771775"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71775" cy="40005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(6)</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総資産に対する売上総利益。Novy-Marx (2013) の Gross Profitability。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29527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52750" cy="40005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(7)</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自己資本利益率と総資産利益率。</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3495675"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95675" cy="40005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(8)</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総資産に対する営業CFと、粗利率。</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20002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00250" cy="40005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(9)</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会計発生高。Sloan (1996)。利益が現金を伴っていないほど値が小さくなるよう符号を反転している。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2085975"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85975" cy="466725"/>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(10)</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標準化。生の値ではなく順位を標準化するので、外れ値に引きずられない。</w:t>
      </w:r>
    </w:p>
    <w:p>
      <w:pPr>
        <w:spacing w:after="60" w:before="150"/>
      </w:pPr>
      <w:r>
        <w:rPr>
          <w:rFonts w:ascii="Yu Gothic" w:cs="Yu Gothic" w:eastAsia="Yu Gothic" w:hAnsi="Yu Gothic"/>
          <w:b/>
          <w:bCs/>
          <w:i w:val="false"/>
          <w:iCs w:val="false"/>
          <w:color w:val="5B6373"/>
          <w:sz w:val="16"/>
          <w:szCs w:val="16"/>
        </w:rPr>
        <w:t xml:space="preserve">成分の意味と取得率</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406"/>
        <w:gridCol w:w="1600"/>
      </w:tblGrid>
      <w:tr>
        <w:trPr>
          <w:tblHeader/>
        </w:trPr>
        <w:tc>
          <w:tcPr>
            <w:tcW w:type="dxa" w:w="17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成分</w:t>
            </w:r>
          </w:p>
        </w:tc>
        <w:tc>
          <w:tcPr>
            <w:tcW w:type="dxa" w:w="35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定義</w:t>
            </w:r>
          </w:p>
        </w:tc>
        <w:tc>
          <w:tcPr>
            <w:tcW w:type="dxa" w:w="34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何を捉えるか</w:t>
            </w:r>
          </w:p>
        </w:tc>
        <w:tc>
          <w:tcPr>
            <w:tcW w:type="dxa" w:w="16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取得率</w:t>
            </w:r>
          </w:p>
        </w:tc>
      </w:tr>
      <w:tr>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GPOA</w:t>
            </w:r>
          </w:p>
        </w:tc>
        <w:tc>
          <w:tcPr>
            <w:tcW w:type="dxa" w:w="3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売上総利益 ÷ 総資産</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資産をどれだけ付加価値に変えているか</w:t>
            </w:r>
          </w:p>
        </w:tc>
        <w:tc>
          <w:tcPr>
            <w:tcW w:type="dxa" w:w="1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94.2%</w:t>
            </w:r>
          </w:p>
        </w:tc>
      </w:tr>
      <w:tr>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ROE</w:t>
            </w:r>
          </w:p>
        </w:tc>
        <w:tc>
          <w:tcPr>
            <w:tcW w:type="dxa" w:w="35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当期純利益 ÷ 自己資本</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株主資本の運用効率</w:t>
            </w:r>
          </w:p>
        </w:tc>
        <w:tc>
          <w:tcPr>
            <w:tcW w:type="dxa" w:w="1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r>
      <w:tr>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ROA</w:t>
            </w:r>
          </w:p>
        </w:tc>
        <w:tc>
          <w:tcPr>
            <w:tcW w:type="dxa" w:w="3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当期純利益 ÷ 総資産</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資産全体の運用効率</w:t>
            </w:r>
          </w:p>
        </w:tc>
        <w:tc>
          <w:tcPr>
            <w:tcW w:type="dxa" w:w="1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r>
      <w:tr>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CFOA</w:t>
            </w:r>
          </w:p>
        </w:tc>
        <w:tc>
          <w:tcPr>
            <w:tcW w:type="dxa" w:w="35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営業CF ÷ 総資産</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利益ではなく現金で見た効率</w:t>
            </w:r>
          </w:p>
        </w:tc>
        <w:tc>
          <w:tcPr>
            <w:tcW w:type="dxa" w:w="1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99.7%</w:t>
            </w:r>
          </w:p>
        </w:tc>
      </w:tr>
      <w:tr>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GMAR</w:t>
            </w:r>
          </w:p>
        </w:tc>
        <w:tc>
          <w:tcPr>
            <w:tcW w:type="dxa" w:w="3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売上総利益 ÷ 売上高</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値付けの力（粗利率）</w:t>
            </w:r>
          </w:p>
        </w:tc>
        <w:tc>
          <w:tcPr>
            <w:tcW w:type="dxa" w:w="1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94.2%</w:t>
            </w:r>
          </w:p>
        </w:tc>
      </w:tr>
      <w:tr>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ACC</w:t>
            </w:r>
          </w:p>
        </w:tc>
        <w:tc>
          <w:tcPr>
            <w:tcW w:type="dxa" w:w="35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−(当期純利益 − 営業CF) ÷ 総資産</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利益の質。見積りへの依存度</w:t>
            </w:r>
          </w:p>
        </w:tc>
        <w:tc>
          <w:tcPr>
            <w:tcW w:type="dxa" w:w="1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99.7%</w:t>
            </w:r>
          </w:p>
        </w:tc>
      </w:tr>
    </w:tbl>
    <w:p>
      <w:pPr>
        <w:pBdr>
          <w:left w:val="single" w:color="1F5B4E" w:sz="18" w:space="10"/>
        </w:pBdr>
        <w:shd w:fill="E6F0EC" w:color="auto" w:val="clear"/>
        <w:spacing w:after="190" w:before="170" w:line="300"/>
        <w:ind w:left="130" w:right="130"/>
      </w:pPr>
      <w:r>
        <w:rPr>
          <w:rFonts w:ascii="Yu Gothic" w:cs="Yu Gothic" w:eastAsia="Yu Gothic" w:hAnsi="Yu Gothic"/>
          <w:b w:val="false"/>
          <w:bCs w:val="false"/>
          <w:i w:val="false"/>
          <w:iCs w:val="false"/>
          <w:color w:val="1B1F27"/>
          <w:sz w:val="18"/>
          <w:szCs w:val="18"/>
        </w:rPr>
        <w:t xml:space="preserve">直感 — 同じ100億円の資産を使うなら、売上総利益が5億円しか出ない会社より30億円出る会社の方が、資産を効率よく付加価値に変えている。さらにその利益が現金で入ってきていれば（CFOAが高くACCが良好なら）、帳簿上だけの利益ではないと確認できる。</w:t>
      </w:r>
    </w:p>
    <w:p>
      <w:pPr>
        <w:spacing w:after="100" w:before="220"/>
      </w:pPr>
      <w:r>
        <w:rPr>
          <w:rFonts w:ascii="Yu Gothic" w:cs="Yu Gothic" w:eastAsia="Yu Gothic" w:hAnsi="Yu Gothic"/>
          <w:b/>
          <w:bCs/>
          <w:i w:val="false"/>
          <w:iCs w:val="false"/>
          <w:color w:val="1B1F27"/>
          <w:sz w:val="18"/>
          <w:szCs w:val="18"/>
        </w:rPr>
        <w:t xml:space="preserve">なぜROEだけではないのか</w:t>
      </w:r>
    </w:p>
    <w:p>
      <w:pPr>
        <w:spacing w:after="130" w:before="0" w:line="300"/>
        <w:jc w:val="left"/>
      </w:pPr>
      <w:r>
        <w:rPr>
          <w:rFonts w:ascii="Yu Gothic" w:cs="Yu Gothic" w:eastAsia="Yu Gothic" w:hAnsi="Yu Gothic"/>
          <w:b w:val="false"/>
          <w:bCs w:val="false"/>
          <w:i w:val="false"/>
          <w:iCs w:val="false"/>
          <w:color w:val="1B1F27"/>
          <w:sz w:val="18"/>
          <w:szCs w:val="18"/>
        </w:rPr>
        <w:t xml:space="preserve">ROEは有名だが、借入を増やすだけで高く見えるという弱点がある。また当期純利益は特別損益や税効果の影響を受ける。売上総利益は損益計算書の入口に近く、販管費構造や資本構成の差を受けにくい。6成分を並べるのは、どれか1つの指標のクセに結果が左右されるのを避けるためである。</w:t>
      </w:r>
    </w:p>
    <w:p>
      <w:pPr>
        <w:spacing w:after="150" w:before="110" w:line="285"/>
      </w:pPr>
      <w:r>
        <w:rPr>
          <w:rFonts w:ascii="Yu Gothic" w:cs="Yu Gothic" w:eastAsia="Yu Gothic" w:hAnsi="Yu Gothic"/>
          <w:b w:val="false"/>
          <w:bCs w:val="false"/>
          <w:i w:val="false"/>
          <w:iCs w:val="false"/>
          <w:color w:val="5B6373"/>
          <w:sz w:val="16"/>
          <w:szCs w:val="16"/>
        </w:rPr>
        <w:t xml:space="preserve">注意点。GPOAとGMARは粗利を開示しない業種で欠測する（取得率94.2%）。欠測した成分は平均から外しており、ゼロでは埋めていない。また粗利率は業種差が大きく、小売や医薬品では高く、素材や電力では低く出やすい。Step 3の業種上限がこの偏りを部分的に打ち消している。</w:t>
      </w:r>
    </w:p>
    <w:p>
      <w:pPr>
        <w:pStyle w:val="Heading2"/>
        <w:spacing w:after="115" w:before="280"/>
      </w:pPr>
      <w:r>
        <w:rPr>
          <w:rFonts w:ascii="Yu Gothic" w:cs="Yu Gothic" w:eastAsia="Yu Gothic" w:hAnsi="Yu Gothic"/>
          <w:b/>
          <w:bCs/>
          <w:i w:val="false"/>
          <w:iCs w:val="false"/>
          <w:color w:val="1B1F27"/>
          <w:sz w:val="21"/>
          <w:szCs w:val="21"/>
        </w:rPr>
        <w:t xml:space="preserve">② Change — 良くなっているか</w:t>
      </w:r>
    </w:p>
    <w:p>
      <w:pPr>
        <w:spacing w:after="130" w:before="0" w:line="300"/>
        <w:jc w:val="left"/>
      </w:pPr>
      <w:r>
        <w:rPr>
          <w:rFonts w:ascii="Yu Gothic" w:cs="Yu Gothic" w:eastAsia="Yu Gothic" w:hAnsi="Yu Gothic"/>
          <w:b/>
          <w:bCs/>
          <w:i w:val="false"/>
          <w:iCs w:val="false"/>
          <w:color w:val="1B1F27"/>
          <w:sz w:val="17"/>
          <w:szCs w:val="17"/>
        </w:rPr>
        <w:t xml:space="preserve">出典: </w:t>
      </w:r>
      <w:r>
        <w:rPr>
          <w:rFonts w:ascii="Yu Gothic" w:cs="Yu Gothic" w:eastAsia="Yu Gothic" w:hAnsi="Yu Gothic"/>
          <w:b w:val="false"/>
          <w:bCs w:val="false"/>
          <w:i w:val="false"/>
          <w:iCs w:val="false"/>
          <w:color w:val="1B1F27"/>
          <w:sz w:val="17"/>
          <w:szCs w:val="17"/>
        </w:rPr>
        <w:t xml:space="preserve">Piotroski (2000) Value Investing: The Use of Historical Financial Statement Information to Separate Winners from Losers, Journal of Accounting Research 38 Supplement, pp.1-41</w:t>
      </w:r>
    </w:p>
    <w:p>
      <w:pPr>
        <w:spacing w:after="130" w:before="0" w:line="300"/>
        <w:jc w:val="left"/>
      </w:pPr>
      <w:r>
        <w:rPr>
          <w:rFonts w:ascii="Yu Gothic" w:cs="Yu Gothic" w:eastAsia="Yu Gothic" w:hAnsi="Yu Gothic"/>
          <w:b w:val="false"/>
          <w:bCs w:val="false"/>
          <w:i w:val="false"/>
          <w:iCs w:val="false"/>
          <w:color w:val="1B1F27"/>
          <w:sz w:val="18"/>
          <w:szCs w:val="18"/>
        </w:rPr>
        <w:t xml:space="preserve">「去年より良くなっているか」を測る。同じ収益性でも、悪化しつつある会社と改善しつつある会社では意味が違う。Piotroski (2000) は、割安株の中から財務状態が改善している企業を選び出すために、決算書から読み取れる9つの二値シグナルを提案した。</w:t>
      </w:r>
    </w:p>
    <w:p>
      <w:pPr>
        <w:spacing w:after="130" w:before="0" w:line="300"/>
        <w:jc w:val="left"/>
      </w:pPr>
      <w:r>
        <w:rPr>
          <w:rFonts w:ascii="Yu Gothic" w:cs="Yu Gothic" w:eastAsia="Yu Gothic" w:hAnsi="Yu Gothic"/>
          <w:b w:val="false"/>
          <w:bCs w:val="false"/>
          <w:i w:val="false"/>
          <w:iCs w:val="false"/>
          <w:color w:val="1B1F27"/>
          <w:sz w:val="18"/>
          <w:szCs w:val="18"/>
        </w:rPr>
        <w:t xml:space="preserve">9つのシグナルはそれぞれ「良ければ1点、そうでなければ0点」で、合計が0〜9点のスコアになる。同論文は、割安株のうちスコアが高い群と低い群でその後のリターンに有意な差があることを報告している。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32004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00400" cy="64770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(11)</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F-Score の定義。s は各シグナルの成否を表す0/1の値。</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185737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57375" cy="28575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(12)</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他の軸と足せるよう、0〜9点を0〜100点の順位点に直す。</w:t>
      </w:r>
    </w:p>
    <w:p>
      <w:pPr>
        <w:spacing w:after="60" w:before="150"/>
      </w:pPr>
      <w:r>
        <w:rPr>
          <w:rFonts w:ascii="Yu Gothic" w:cs="Yu Gothic" w:eastAsia="Yu Gothic" w:hAnsi="Yu Gothic"/>
          <w:b/>
          <w:bCs/>
          <w:i w:val="false"/>
          <w:iCs w:val="false"/>
          <w:color w:val="5B6373"/>
          <w:sz w:val="16"/>
          <w:szCs w:val="16"/>
        </w:rPr>
        <w:t xml:space="preserve">9つのシグナルの内訳（Piotroski 2000）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3600"/>
        <w:gridCol w:w="4546"/>
      </w:tblGrid>
      <w:tr>
        <w:trPr>
          <w:tblHeader/>
        </w:trPr>
        <w:tc>
          <w:tcPr>
            <w:tcW w:type="dxa" w:w="56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w:t>
            </w:r>
          </w:p>
        </w:tc>
        <w:tc>
          <w:tcPr>
            <w:tcW w:type="dxa" w:w="15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分類</w:t>
            </w:r>
          </w:p>
        </w:tc>
        <w:tc>
          <w:tcPr>
            <w:tcW w:type="dxa" w:w="36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1点がつく条件</w:t>
            </w:r>
          </w:p>
        </w:tc>
        <w:tc>
          <w:tcPr>
            <w:tcW w:type="dxa" w:w="454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何を確かめているか</w:t>
            </w:r>
          </w:p>
        </w:tc>
      </w:tr>
      <w:tr>
        <w:tc>
          <w:tcPr>
            <w:tcW w:type="dxa" w:w="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w:t>
            </w:r>
          </w:p>
        </w:tc>
        <w:tc>
          <w:tcPr>
            <w:tcW w:type="dxa" w:w="1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収益性</w:t>
            </w:r>
          </w:p>
        </w:tc>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当期のROAがプラス</w:t>
            </w:r>
          </w:p>
        </w:tc>
        <w:tc>
          <w:tcPr>
            <w:tcW w:type="dxa" w:w="454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そもそも黒字か</w:t>
            </w:r>
          </w:p>
        </w:tc>
      </w:tr>
      <w:tr>
        <w:tc>
          <w:tcPr>
            <w:tcW w:type="dxa" w:w="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w:t>
            </w:r>
          </w:p>
        </w:tc>
        <w:tc>
          <w:tcPr>
            <w:tcW w:type="dxa" w:w="15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収益性</w:t>
            </w:r>
          </w:p>
        </w:tc>
        <w:tc>
          <w:tcPr>
            <w:tcW w:type="dxa" w:w="3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当期の営業CFがプラス</w:t>
            </w:r>
          </w:p>
        </w:tc>
        <w:tc>
          <w:tcPr>
            <w:tcW w:type="dxa" w:w="454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本業で現金が入っているか</w:t>
            </w:r>
          </w:p>
        </w:tc>
      </w:tr>
      <w:tr>
        <w:tc>
          <w:tcPr>
            <w:tcW w:type="dxa" w:w="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w:t>
            </w:r>
          </w:p>
        </w:tc>
        <w:tc>
          <w:tcPr>
            <w:tcW w:type="dxa" w:w="1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収益性</w:t>
            </w:r>
          </w:p>
        </w:tc>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ROAが前期より上昇</w:t>
            </w:r>
          </w:p>
        </w:tc>
        <w:tc>
          <w:tcPr>
            <w:tcW w:type="dxa" w:w="454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稼ぐ力が改善しているか</w:t>
            </w:r>
          </w:p>
        </w:tc>
      </w:tr>
      <w:tr>
        <w:tc>
          <w:tcPr>
            <w:tcW w:type="dxa" w:w="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w:t>
            </w:r>
          </w:p>
        </w:tc>
        <w:tc>
          <w:tcPr>
            <w:tcW w:type="dxa" w:w="15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収益性</w:t>
            </w:r>
          </w:p>
        </w:tc>
        <w:tc>
          <w:tcPr>
            <w:tcW w:type="dxa" w:w="3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営業CF ＞ 当期純利益</w:t>
            </w:r>
          </w:p>
        </w:tc>
        <w:tc>
          <w:tcPr>
            <w:tcW w:type="dxa" w:w="454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利益が現金を伴っているか（会計の質）</w:t>
            </w:r>
          </w:p>
        </w:tc>
      </w:tr>
      <w:tr>
        <w:tc>
          <w:tcPr>
            <w:tcW w:type="dxa" w:w="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w:t>
            </w:r>
          </w:p>
        </w:tc>
        <w:tc>
          <w:tcPr>
            <w:tcW w:type="dxa" w:w="1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財務</w:t>
            </w:r>
          </w:p>
        </w:tc>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レバレッジが前期より低下</w:t>
            </w:r>
          </w:p>
        </w:tc>
        <w:tc>
          <w:tcPr>
            <w:tcW w:type="dxa" w:w="454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借入依存を強めていないか</w:t>
            </w:r>
          </w:p>
        </w:tc>
      </w:tr>
      <w:tr>
        <w:tc>
          <w:tcPr>
            <w:tcW w:type="dxa" w:w="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w:t>
            </w:r>
          </w:p>
        </w:tc>
        <w:tc>
          <w:tcPr>
            <w:tcW w:type="dxa" w:w="15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財務</w:t>
            </w:r>
          </w:p>
        </w:tc>
        <w:tc>
          <w:tcPr>
            <w:tcW w:type="dxa" w:w="3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流動比率が前期より上昇</w:t>
            </w:r>
          </w:p>
        </w:tc>
        <w:tc>
          <w:tcPr>
            <w:tcW w:type="dxa" w:w="454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短期の支払能力が改善しているか</w:t>
            </w:r>
          </w:p>
        </w:tc>
      </w:tr>
      <w:tr>
        <w:tc>
          <w:tcPr>
            <w:tcW w:type="dxa" w:w="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w:t>
            </w:r>
          </w:p>
        </w:tc>
        <w:tc>
          <w:tcPr>
            <w:tcW w:type="dxa" w:w="1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財務</w:t>
            </w:r>
          </w:p>
        </w:tc>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当期に増資をしていない</w:t>
            </w:r>
          </w:p>
        </w:tc>
        <w:tc>
          <w:tcPr>
            <w:tcW w:type="dxa" w:w="454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株主の持分を薄めていないか</w:t>
            </w:r>
          </w:p>
        </w:tc>
      </w:tr>
      <w:tr>
        <w:tc>
          <w:tcPr>
            <w:tcW w:type="dxa" w:w="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w:t>
            </w:r>
          </w:p>
        </w:tc>
        <w:tc>
          <w:tcPr>
            <w:tcW w:type="dxa" w:w="15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効率</w:t>
            </w:r>
          </w:p>
        </w:tc>
        <w:tc>
          <w:tcPr>
            <w:tcW w:type="dxa" w:w="3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売上総利益率が前期より上昇</w:t>
            </w:r>
          </w:p>
        </w:tc>
        <w:tc>
          <w:tcPr>
            <w:tcW w:type="dxa" w:w="454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値付けの力が改善しているか</w:t>
            </w:r>
          </w:p>
        </w:tc>
      </w:tr>
      <w:tr>
        <w:tc>
          <w:tcPr>
            <w:tcW w:type="dxa" w:w="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w:t>
            </w:r>
          </w:p>
        </w:tc>
        <w:tc>
          <w:tcPr>
            <w:tcW w:type="dxa" w:w="1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効率</w:t>
            </w:r>
          </w:p>
        </w:tc>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総資産回転率が前期より上昇</w:t>
            </w:r>
          </w:p>
        </w:tc>
        <w:tc>
          <w:tcPr>
            <w:tcW w:type="dxa" w:w="454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資産を前より上手く使えているか</w:t>
            </w:r>
          </w:p>
        </w:tc>
      </w:tr>
    </w:tbl>
    <w:p>
      <w:pPr>
        <w:pBdr>
          <w:left w:val="single" w:color="1F5B4E" w:sz="18" w:space="10"/>
        </w:pBdr>
        <w:shd w:fill="E6F0EC" w:color="auto" w:val="clear"/>
        <w:spacing w:after="190" w:before="170" w:line="300"/>
        <w:ind w:left="130" w:right="130"/>
      </w:pPr>
      <w:r>
        <w:rPr>
          <w:rFonts w:ascii="Yu Gothic" w:cs="Yu Gothic" w:eastAsia="Yu Gothic" w:hAnsi="Yu Gothic"/>
          <w:b w:val="false"/>
          <w:bCs w:val="false"/>
          <w:i w:val="false"/>
          <w:iCs w:val="false"/>
          <w:color w:val="1B1F27"/>
          <w:sz w:val="18"/>
          <w:szCs w:val="18"/>
        </w:rPr>
        <w:t xml:space="preserve">直感 — 4番の「営業CF ＞ 当期純利益」が特徴的である。利益だけが増えて現金が伴っていない会社は、売掛金や在庫が膨らんでいる可能性が高い。この1点があるおかげで、見かけの増益と実質の改善を区別できる。</w:t>
      </w:r>
    </w:p>
    <w:p>
      <w:pPr>
        <w:spacing w:after="100" w:before="220"/>
      </w:pPr>
      <w:r>
        <w:rPr>
          <w:rFonts w:ascii="Yu Gothic" w:cs="Yu Gothic" w:eastAsia="Yu Gothic" w:hAnsi="Yu Gothic"/>
          <w:b/>
          <w:bCs/>
          <w:i w:val="false"/>
          <w:iCs w:val="false"/>
          <w:color w:val="1B1F27"/>
          <w:sz w:val="18"/>
          <w:szCs w:val="18"/>
        </w:rPr>
        <w:t xml:space="preserve">この軸が Price 軸と重複しない理由</w:t>
      </w:r>
    </w:p>
    <w:p>
      <w:pPr>
        <w:spacing w:after="130" w:before="0" w:line="300"/>
        <w:jc w:val="left"/>
      </w:pPr>
      <w:r>
        <w:rPr>
          <w:rFonts w:ascii="Yu Gothic" w:cs="Yu Gothic" w:eastAsia="Yu Gothic" w:hAnsi="Yu Gothic"/>
          <w:b w:val="false"/>
          <w:bCs w:val="false"/>
          <w:i w:val="false"/>
          <w:iCs w:val="false"/>
          <w:color w:val="1B1F27"/>
          <w:sz w:val="18"/>
          <w:szCs w:val="18"/>
        </w:rPr>
        <w:t xml:space="preserve">9つのシグナルはすべて決算書の中だけで完結しており、株価も時価総額も使っていない。したがって④Priceとは構造的に独立である。実測でも両者の順位相関は+0.33にとどまる。以前の「変わる堀」の式は重みの70%がPBR・PER・配当利回りで、実質的に割安さを測っていた。</w:t>
      </w:r>
    </w:p>
    <w:p>
      <w:pPr>
        <w:spacing w:after="150" w:before="110" w:line="285"/>
      </w:pPr>
      <w:r>
        <w:rPr>
          <w:rFonts w:ascii="Yu Gothic" w:cs="Yu Gothic" w:eastAsia="Yu Gothic" w:hAnsi="Yu Gothic"/>
          <w:b w:val="false"/>
          <w:bCs w:val="false"/>
          <w:i w:val="false"/>
          <w:iCs w:val="false"/>
          <w:color w:val="5B6373"/>
          <w:sz w:val="16"/>
          <w:szCs w:val="16"/>
        </w:rPr>
        <w:t xml:space="preserve">注意点。9項目のうち平均8.8項目しか計算できない（取得率100.0%）。欠測した項目は合計から除いているため、満点が9点に満たない企業がある。また0〜9点の離散値なので同点が多く、単独では細かい順位づけができない。他の3軸と合成して初めて機能する。</w:t>
      </w:r>
    </w:p>
    <w:p>
      <w:pPr>
        <w:pStyle w:val="Heading2"/>
        <w:spacing w:after="115" w:before="280"/>
      </w:pPr>
      <w:r>
        <w:rPr>
          <w:rFonts w:ascii="Yu Gothic" w:cs="Yu Gothic" w:eastAsia="Yu Gothic" w:hAnsi="Yu Gothic"/>
          <w:b/>
          <w:bCs/>
          <w:i w:val="false"/>
          <w:iCs w:val="false"/>
          <w:color w:val="1B1F27"/>
          <w:sz w:val="21"/>
          <w:szCs w:val="21"/>
        </w:rPr>
        <w:t xml:space="preserve">③ Future — 未来の恩恵を受けられるか</w:t>
      </w:r>
    </w:p>
    <w:p>
      <w:pPr>
        <w:spacing w:after="130" w:before="0" w:line="300"/>
        <w:jc w:val="left"/>
      </w:pPr>
      <w:r>
        <w:rPr>
          <w:rFonts w:ascii="Yu Gothic" w:cs="Yu Gothic" w:eastAsia="Yu Gothic" w:hAnsi="Yu Gothic"/>
          <w:b/>
          <w:bCs/>
          <w:i w:val="false"/>
          <w:iCs w:val="false"/>
          <w:color w:val="1B1F27"/>
          <w:sz w:val="17"/>
          <w:szCs w:val="17"/>
        </w:rPr>
        <w:t xml:space="preserve">出典: </w:t>
      </w:r>
      <w:r>
        <w:rPr>
          <w:rFonts w:ascii="Yu Gothic" w:cs="Yu Gothic" w:eastAsia="Yu Gothic" w:hAnsi="Yu Gothic"/>
          <w:b w:val="false"/>
          <w:bCs w:val="false"/>
          <w:i w:val="false"/>
          <w:iCs w:val="false"/>
          <w:color w:val="1B1F27"/>
          <w:sz w:val="17"/>
          <w:szCs w:val="17"/>
        </w:rPr>
        <w:t xml:space="preserve">Chan, Lakonishok &amp; Sougiannis (2001) The Stock Market Valuation of Research and Development Expenditures, Journal of Finance 56(6), pp.2431-2456</w:t>
      </w:r>
    </w:p>
    <w:p>
      <w:pPr>
        <w:spacing w:after="130" w:before="0" w:line="300"/>
        <w:jc w:val="left"/>
      </w:pPr>
      <w:r>
        <w:rPr>
          <w:rFonts w:ascii="Yu Gothic" w:cs="Yu Gothic" w:eastAsia="Yu Gothic" w:hAnsi="Yu Gothic"/>
          <w:b w:val="false"/>
          <w:bCs w:val="false"/>
          <w:i w:val="false"/>
          <w:iCs w:val="false"/>
          <w:color w:val="1B1F27"/>
          <w:sz w:val="18"/>
          <w:szCs w:val="18"/>
        </w:rPr>
        <w:t xml:space="preserve">「これから来る変化の恩恵を受けられるか」を測りたい。ただし、この問いを直接測る式は手元のデータでは作れない。そこで、変化に備えてどれだけ資源を投じているかで代替する。</w:t>
      </w:r>
    </w:p>
    <w:p>
      <w:pPr>
        <w:spacing w:after="130" w:before="0" w:line="300"/>
        <w:jc w:val="left"/>
      </w:pPr>
      <w:r>
        <w:rPr>
          <w:rFonts w:ascii="Yu Gothic" w:cs="Yu Gothic" w:eastAsia="Yu Gothic" w:hAnsi="Yu Gothic"/>
          <w:b w:val="false"/>
          <w:bCs w:val="false"/>
          <w:i w:val="false"/>
          <w:iCs w:val="false"/>
          <w:color w:val="1B1F27"/>
          <w:sz w:val="18"/>
          <w:szCs w:val="18"/>
        </w:rPr>
        <w:t xml:space="preserve">Chan, Lakonishok &amp; Sougiannis (2001) は、研究開発費を時価総額や売上高で割った研究開発集約度が高い企業に、長期の超過リターンが観察されることを示した。会計上、研究開発費は資産計上されずその期の費用になるため、利益と純資産が過小に見える。その分だけ市場が価値を見落としやすい、という論理であ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2962275"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62275" cy="40005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(13)</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③Future の定義。市場評価に対する集約度と、事業規模に対する集約度の平均。</w:t>
      </w:r>
    </w:p>
    <w:p>
      <w:pPr>
        <w:spacing w:after="60" w:before="150"/>
      </w:pPr>
      <w:r>
        <w:rPr>
          <w:rFonts w:ascii="Yu Gothic" w:cs="Yu Gothic" w:eastAsia="Yu Gothic" w:hAnsi="Yu Gothic"/>
          <w:b/>
          <w:bCs/>
          <w:i w:val="false"/>
          <w:iCs w:val="false"/>
          <w:color w:val="5B6373"/>
          <w:sz w:val="16"/>
          <w:szCs w:val="16"/>
        </w:rPr>
        <w:t xml:space="preserve">成分の意味と取得率</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006"/>
        <w:gridCol w:w="1600"/>
      </w:tblGrid>
      <w:tr>
        <w:trPr>
          <w:tblHeader/>
        </w:trPr>
        <w:tc>
          <w:tcPr>
            <w:tcW w:type="dxa" w:w="22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成分</w:t>
            </w:r>
          </w:p>
        </w:tc>
        <w:tc>
          <w:tcPr>
            <w:tcW w:type="dxa" w:w="3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定義</w:t>
            </w:r>
          </w:p>
        </w:tc>
        <w:tc>
          <w:tcPr>
            <w:tcW w:type="dxa" w:w="30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何を捉えるか</w:t>
            </w:r>
          </w:p>
        </w:tc>
        <w:tc>
          <w:tcPr>
            <w:tcW w:type="dxa" w:w="16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取得率</w:t>
            </w:r>
          </w:p>
        </w:tc>
      </w:tr>
      <w:tr>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RD / MC</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研究開発費 ÷ 時価総額</w:t>
            </w:r>
          </w:p>
        </w:tc>
        <w:tc>
          <w:tcPr>
            <w:tcW w:type="dxa" w:w="30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市場評価に対する研究開発の厚み</w:t>
            </w:r>
          </w:p>
        </w:tc>
        <w:tc>
          <w:tcPr>
            <w:tcW w:type="dxa" w:w="1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65.3%</w:t>
            </w:r>
          </w:p>
        </w:tc>
      </w:tr>
      <w:tr>
        <w:tc>
          <w:tcPr>
            <w:tcW w:type="dxa" w:w="2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RD / Sales</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研究開発費 ÷ 売上高</w:t>
            </w:r>
          </w:p>
        </w:tc>
        <w:tc>
          <w:tcPr>
            <w:tcW w:type="dxa" w:w="30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事業規模に対する研究開発の厚み</w:t>
            </w:r>
          </w:p>
        </w:tc>
        <w:tc>
          <w:tcPr>
            <w:tcW w:type="dxa" w:w="1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65.3%</w:t>
            </w:r>
          </w:p>
        </w:tc>
      </w:tr>
    </w:tbl>
    <w:p>
      <w:pPr>
        <w:spacing w:after="100" w:before="220"/>
      </w:pPr>
      <w:r>
        <w:rPr>
          <w:rFonts w:ascii="Yu Gothic" w:cs="Yu Gothic" w:eastAsia="Yu Gothic" w:hAnsi="Yu Gothic"/>
          <w:b/>
          <w:bCs/>
          <w:i w:val="false"/>
          <w:iCs w:val="false"/>
          <w:color w:val="1B1F27"/>
          <w:sz w:val="18"/>
          <w:szCs w:val="18"/>
        </w:rPr>
        <w:t xml:space="preserve">研究開発費を開示していない企業の扱い</w:t>
      </w:r>
    </w:p>
    <w:p>
      <w:pPr>
        <w:spacing w:after="130" w:before="0" w:line="300"/>
        <w:jc w:val="left"/>
      </w:pPr>
      <w:r>
        <w:rPr>
          <w:rFonts w:ascii="Yu Gothic" w:cs="Yu Gothic" w:eastAsia="Yu Gothic" w:hAnsi="Yu Gothic"/>
          <w:b w:val="false"/>
          <w:bCs w:val="false"/>
          <w:i w:val="false"/>
          <w:iCs w:val="false"/>
          <w:color w:val="1B1F27"/>
          <w:sz w:val="18"/>
          <w:szCs w:val="18"/>
        </w:rPr>
        <w:t xml:space="preserve">母集団の約35%は研究開発費の記載がない。これらは0として扱う。「データがないから平均値で埋める」のではなく、「記載がない＝研究開発をしていない」と解釈している。業種別の開示率がこの解釈を裏づけている。</w:t>
      </w:r>
    </w:p>
    <w:p>
      <w:pPr>
        <w:spacing w:after="60" w:before="150"/>
      </w:pPr>
      <w:r>
        <w:rPr>
          <w:rFonts w:ascii="Yu Gothic" w:cs="Yu Gothic" w:eastAsia="Yu Gothic" w:hAnsi="Yu Gothic"/>
          <w:b/>
          <w:bCs/>
          <w:i w:val="false"/>
          <w:iCs w:val="false"/>
          <w:color w:val="5B6373"/>
          <w:sz w:val="16"/>
          <w:szCs w:val="16"/>
        </w:rPr>
        <w:t xml:space="preserve">研究開発費の開示率（業種別・抜粋）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3"/>
        <w:gridCol w:w="2550"/>
        <w:gridCol w:w="2553"/>
        <w:gridCol w:w="2550"/>
      </w:tblGrid>
      <w:tr>
        <w:trPr>
          <w:tblHeader/>
        </w:trPr>
        <w:tc>
          <w:tcPr>
            <w:tcW w:type="dxa" w:w="2553"/>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開示率が低い業種</w:t>
            </w:r>
          </w:p>
        </w:tc>
        <w:tc>
          <w:tcPr>
            <w:tcW w:type="dxa" w:w="255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開示率</w:t>
            </w:r>
          </w:p>
        </w:tc>
        <w:tc>
          <w:tcPr>
            <w:tcW w:type="dxa" w:w="2553"/>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開示率が高い業種</w:t>
            </w:r>
          </w:p>
        </w:tc>
        <w:tc>
          <w:tcPr>
            <w:tcW w:type="dxa" w:w="255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開示率</w:t>
            </w:r>
          </w:p>
        </w:tc>
      </w:tr>
      <w:tr>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銀行業</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1.3%</w:t>
            </w:r>
          </w:p>
        </w:tc>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ガラス・土石製品</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r>
      <w:tr>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その他金融業</w:t>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5.6%</w:t>
            </w:r>
          </w:p>
        </w:tc>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輸送用機器</w:t>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98.8%</w:t>
            </w:r>
          </w:p>
        </w:tc>
      </w:tr>
      <w:tr>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不動産業</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8.6%</w:t>
            </w:r>
          </w:p>
        </w:tc>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医薬品</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98.6%</w:t>
            </w:r>
          </w:p>
        </w:tc>
      </w:tr>
      <w:tr>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小売業</w:t>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9.5%</w:t>
            </w:r>
          </w:p>
        </w:tc>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電気機器</w:t>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98.2%</w:t>
            </w:r>
          </w:p>
        </w:tc>
      </w:tr>
      <w:tr>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サービス業</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24.1%</w:t>
            </w:r>
          </w:p>
        </w:tc>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化学</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98.0%</w:t>
            </w:r>
          </w:p>
        </w:tc>
      </w:tr>
      <w:tr>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情報・通信業</w:t>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56.8%</w:t>
            </w:r>
          </w:p>
        </w:tc>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機械</w:t>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97.6%</w:t>
            </w:r>
          </w:p>
        </w:tc>
      </w:tr>
    </w:tbl>
    <w:p>
      <w:pPr>
        <w:pBdr>
          <w:left w:val="single" w:color="1F5B4E" w:sz="18" w:space="10"/>
        </w:pBdr>
        <w:shd w:fill="E6F0EC" w:color="auto" w:val="clear"/>
        <w:spacing w:after="190" w:before="170" w:line="300"/>
        <w:ind w:left="130" w:right="130"/>
      </w:pPr>
      <w:r>
        <w:rPr>
          <w:rFonts w:ascii="Yu Gothic" w:cs="Yu Gothic" w:eastAsia="Yu Gothic" w:hAnsi="Yu Gothic"/>
          <w:b w:val="false"/>
          <w:bCs w:val="false"/>
          <w:i w:val="false"/>
          <w:iCs w:val="false"/>
          <w:color w:val="1B1F27"/>
          <w:sz w:val="18"/>
          <w:szCs w:val="18"/>
        </w:rPr>
        <w:t xml:space="preserve">この軸の位置づけ — 本軸が測っているのは「イノベーションへの投資量」であって、「構造変化の恩恵を受けるかどうか」そのものではない。研究開発をしていても報われるとは限らないし、研究開発を伴わない構造変化の受益者もいる。この読み替えを承知したうえで使う必要がある。</w:t>
      </w:r>
    </w:p>
    <w:p>
      <w:pPr>
        <w:spacing w:after="100" w:before="220"/>
      </w:pPr>
      <w:r>
        <w:rPr>
          <w:rFonts w:ascii="Yu Gothic" w:cs="Yu Gothic" w:eastAsia="Yu Gothic" w:hAnsi="Yu Gothic"/>
          <w:b/>
          <w:bCs/>
          <w:i w:val="false"/>
          <w:iCs w:val="false"/>
          <w:color w:val="1B1F27"/>
          <w:sz w:val="18"/>
          <w:szCs w:val="18"/>
        </w:rPr>
        <w:t xml:space="preserve">本来使うべき指標と、使えなかった理由</w:t>
      </w:r>
    </w:p>
    <w:p>
      <w:pPr>
        <w:spacing w:after="130" w:before="0" w:line="300"/>
        <w:jc w:val="left"/>
      </w:pPr>
      <w:r>
        <w:rPr>
          <w:rFonts w:ascii="Yu Gothic" w:cs="Yu Gothic" w:eastAsia="Yu Gothic" w:hAnsi="Yu Gothic"/>
          <w:b w:val="false"/>
          <w:bCs w:val="false"/>
          <w:i w:val="false"/>
          <w:iCs w:val="false"/>
          <w:color w:val="1B1F27"/>
          <w:sz w:val="18"/>
          <w:szCs w:val="18"/>
        </w:rPr>
        <w:t xml:space="preserve">「構造変化の恩恵」を直接測る学術指標は存在する。Caskurlu, Hoberg &amp; Phillips (2024) は特許のテキストを機械学習で埋め込み、複数産業にまたがる技術的破壊を事前に検出する指標を構成した。ただしこれは米国の特許データベースを前提としており、日本企業・手元データでは実装できない。研究開発集約度は、実装できる範囲で最も出典の確かな代替である。</w:t>
      </w:r>
    </w:p>
    <w:p>
      <w:pPr>
        <w:spacing w:after="150" w:before="110" w:line="285"/>
      </w:pPr>
      <w:r>
        <w:rPr>
          <w:rFonts w:ascii="Yu Gothic" w:cs="Yu Gothic" w:eastAsia="Yu Gothic" w:hAnsi="Yu Gothic"/>
          <w:b w:val="false"/>
          <w:bCs w:val="false"/>
          <w:i w:val="false"/>
          <w:iCs w:val="false"/>
          <w:color w:val="5B6373"/>
          <w:sz w:val="16"/>
          <w:szCs w:val="16"/>
        </w:rPr>
        <w:t xml:space="preserve">注意点。研究開発集約度は業種性が強く、33業種の分類だけで62%が説明できる。ただし以前のキーワード方式（同99.4%）と比べれば、38%は個社固有の情報になっている。</w:t>
      </w:r>
    </w:p>
    <w:p>
      <w:pPr>
        <w:pStyle w:val="Heading2"/>
        <w:spacing w:after="115" w:before="280"/>
      </w:pPr>
      <w:r>
        <w:rPr>
          <w:rFonts w:ascii="Yu Gothic" w:cs="Yu Gothic" w:eastAsia="Yu Gothic" w:hAnsi="Yu Gothic"/>
          <w:b/>
          <w:bCs/>
          <w:i w:val="false"/>
          <w:iCs w:val="false"/>
          <w:color w:val="1B1F27"/>
          <w:sz w:val="21"/>
          <w:szCs w:val="21"/>
        </w:rPr>
        <w:t xml:space="preserve">④ Price — 高すぎないか</w:t>
      </w:r>
    </w:p>
    <w:p>
      <w:pPr>
        <w:spacing w:after="130" w:before="0" w:line="300"/>
        <w:jc w:val="left"/>
      </w:pPr>
      <w:r>
        <w:rPr>
          <w:rFonts w:ascii="Yu Gothic" w:cs="Yu Gothic" w:eastAsia="Yu Gothic" w:hAnsi="Yu Gothic"/>
          <w:b/>
          <w:bCs/>
          <w:i w:val="false"/>
          <w:iCs w:val="false"/>
          <w:color w:val="1B1F27"/>
          <w:sz w:val="17"/>
          <w:szCs w:val="17"/>
        </w:rPr>
        <w:t xml:space="preserve">出典: </w:t>
      </w:r>
      <w:r>
        <w:rPr>
          <w:rFonts w:ascii="Yu Gothic" w:cs="Yu Gothic" w:eastAsia="Yu Gothic" w:hAnsi="Yu Gothic"/>
          <w:b w:val="false"/>
          <w:bCs w:val="false"/>
          <w:i w:val="false"/>
          <w:iCs w:val="false"/>
          <w:color w:val="1B1F27"/>
          <w:sz w:val="17"/>
          <w:szCs w:val="17"/>
        </w:rPr>
        <w:t xml:space="preserve">Basu (1977) Journal of Finance 32(3), pp.663-682／Fama &amp; French (1992) Journal of Finance 47(2), pp.427-465／Greenblatt (2005) The Little Book That Beats the Market</w:t>
      </w:r>
    </w:p>
    <w:p>
      <w:pPr>
        <w:spacing w:after="130" w:before="0" w:line="300"/>
        <w:jc w:val="left"/>
      </w:pPr>
      <w:r>
        <w:rPr>
          <w:rFonts w:ascii="Yu Gothic" w:cs="Yu Gothic" w:eastAsia="Yu Gothic" w:hAnsi="Yu Gothic"/>
          <w:b w:val="false"/>
          <w:bCs w:val="false"/>
          <w:i w:val="false"/>
          <w:iCs w:val="false"/>
          <w:color w:val="1B1F27"/>
          <w:sz w:val="18"/>
          <w:szCs w:val="18"/>
        </w:rPr>
        <w:t xml:space="preserve">「高すぎないか」を測る。同じ会社でも、買う値段が違えば投資としての成否は変わる。割安さの指標は古くから研究されており、本方式では性質の異なる3つを併用する。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37623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34290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(14)</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④Price の定義。3つの割安尺度の順位点の平均。</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2714625"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14625" cy="40005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(15)</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益回り（Basu 1977）と純資産倍率の逆数（Fama &amp; French 1992）。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4391025"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390525"/>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(16)</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企業価値に対する営業利益（Greenblatt 2005）。借入と手元現金を調整した割安さ。</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14954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95425" cy="276225"/>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(17)</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時価総額。株式数と株価はどちらも同一時点の実勢値を用いる。</w:t>
      </w:r>
    </w:p>
    <w:p>
      <w:pPr>
        <w:spacing w:after="60" w:before="150"/>
      </w:pPr>
      <w:r>
        <w:rPr>
          <w:rFonts w:ascii="Yu Gothic" w:cs="Yu Gothic" w:eastAsia="Yu Gothic" w:hAnsi="Yu Gothic"/>
          <w:b/>
          <w:bCs/>
          <w:i w:val="false"/>
          <w:iCs w:val="false"/>
          <w:color w:val="5B6373"/>
          <w:sz w:val="16"/>
          <w:szCs w:val="16"/>
        </w:rPr>
        <w:t xml:space="preserve">3指標の性格の違い</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4400"/>
        <w:gridCol w:w="1606"/>
      </w:tblGrid>
      <w:tr>
        <w:trPr>
          <w:tblHeader/>
        </w:trPr>
        <w:tc>
          <w:tcPr>
            <w:tcW w:type="dxa" w:w="17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指標</w:t>
            </w:r>
          </w:p>
        </w:tc>
        <w:tc>
          <w:tcPr>
            <w:tcW w:type="dxa" w:w="25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定義</w:t>
            </w:r>
          </w:p>
        </w:tc>
        <w:tc>
          <w:tcPr>
            <w:tcW w:type="dxa" w:w="4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強みと弱み</w:t>
            </w:r>
          </w:p>
        </w:tc>
        <w:tc>
          <w:tcPr>
            <w:tcW w:type="dxa" w:w="16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取得率</w:t>
            </w:r>
          </w:p>
        </w:tc>
      </w:tr>
      <w:tr>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E/P</w:t>
            </w:r>
          </w:p>
        </w:tc>
        <w:tc>
          <w:tcPr>
            <w:tcW w:type="dxa" w:w="2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当期純利益 ÷ 時価総額</w:t>
            </w:r>
          </w:p>
        </w:tc>
        <w:tc>
          <w:tcPr>
            <w:tcW w:type="dxa" w:w="4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直感的。ただし特別損益や税効果で振れる</w:t>
            </w:r>
          </w:p>
        </w:tc>
        <w:tc>
          <w:tcPr>
            <w:tcW w:type="dxa" w:w="16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r>
      <w:tr>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B/M</w:t>
            </w:r>
          </w:p>
        </w:tc>
        <w:tc>
          <w:tcPr>
            <w:tcW w:type="dxa" w:w="25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自己資本 ÷ 時価総額</w:t>
            </w:r>
          </w:p>
        </w:tc>
        <w:tc>
          <w:tcPr>
            <w:tcW w:type="dxa" w:w="4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会計上の純資産が基準なので安定。ただし無形資産の多い会社を過小評価する</w:t>
            </w:r>
          </w:p>
        </w:tc>
        <w:tc>
          <w:tcPr>
            <w:tcW w:type="dxa" w:w="16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r>
      <w:tr>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EBIT/EV</w:t>
            </w:r>
          </w:p>
        </w:tc>
        <w:tc>
          <w:tcPr>
            <w:tcW w:type="dxa" w:w="2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営業利益 ÷ 企業価値</w:t>
            </w:r>
          </w:p>
        </w:tc>
        <w:tc>
          <w:tcPr>
            <w:tcW w:type="dxa" w:w="4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資本構成の違いを吸収できる。ただし有利子負債の取得率に依存する</w:t>
            </w:r>
          </w:p>
        </w:tc>
        <w:tc>
          <w:tcPr>
            <w:tcW w:type="dxa" w:w="16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96.8%</w:t>
            </w:r>
          </w:p>
        </w:tc>
      </w:tr>
    </w:tbl>
    <w:p>
      <w:pPr>
        <w:pBdr>
          <w:left w:val="single" w:color="1F5B4E" w:sz="18" w:space="10"/>
        </w:pBdr>
        <w:shd w:fill="E6F0EC" w:color="auto" w:val="clear"/>
        <w:spacing w:after="190" w:before="170" w:line="300"/>
        <w:ind w:left="130" w:right="130"/>
      </w:pPr>
      <w:r>
        <w:rPr>
          <w:rFonts w:ascii="Yu Gothic" w:cs="Yu Gothic" w:eastAsia="Yu Gothic" w:hAnsi="Yu Gothic"/>
          <w:b w:val="false"/>
          <w:bCs w:val="false"/>
          <w:i w:val="false"/>
          <w:iCs w:val="false"/>
          <w:color w:val="1B1F27"/>
          <w:sz w:val="18"/>
          <w:szCs w:val="18"/>
        </w:rPr>
        <w:t xml:space="preserve">直感 — E/P は「株主が受け取る利益」、EBIT/EV は「債権者と株主が合わせて受け取る利益」を、それぞれの支払対価で割ったものである。借入の多い会社は前者では安く見え、後者では安く見えない。3つ並べるのは、どれか1つの会計項目のクセで順位が決まるのを避けるためである。</w:t>
      </w:r>
    </w:p>
    <w:p>
      <w:pPr>
        <w:spacing w:after="100" w:before="220"/>
      </w:pPr>
      <w:r>
        <w:rPr>
          <w:rFonts w:ascii="Yu Gothic" w:cs="Yu Gothic" w:eastAsia="Yu Gothic" w:hAnsi="Yu Gothic"/>
          <w:b/>
          <w:bCs/>
          <w:i w:val="false"/>
          <w:iCs w:val="false"/>
          <w:color w:val="1B1F27"/>
          <w:sz w:val="18"/>
          <w:szCs w:val="18"/>
        </w:rPr>
        <w:t xml:space="preserve">時価総額の作り方に注意が要る</w:t>
      </w:r>
    </w:p>
    <w:p>
      <w:pPr>
        <w:spacing w:after="130" w:before="0" w:line="300"/>
        <w:jc w:val="left"/>
      </w:pPr>
      <w:r>
        <w:rPr>
          <w:rFonts w:ascii="Yu Gothic" w:cs="Yu Gothic" w:eastAsia="Yu Gothic" w:hAnsi="Yu Gothic"/>
          <w:b w:val="false"/>
          <w:bCs w:val="false"/>
          <w:i w:val="false"/>
          <w:iCs w:val="false"/>
          <w:color w:val="1B1F27"/>
          <w:sz w:val="18"/>
          <w:szCs w:val="18"/>
        </w:rPr>
        <w:t xml:space="preserve">式(17)の株式数と株価は、必ず同じ時点の値でなければならない。株価データは株式分割を遡って調整するが、有価証券報告書の株式数は提出時点の値である。提出後に分割した会社をそのまま計算すると、時価総額が分割比率のぶん過小になり「異常に割安」と誤判定される。母集団では216社で提出後の分割を検出しており、実勢の株式数に置き換えたうえで計算している。</w:t>
      </w:r>
    </w:p>
    <w:p>
      <w:pPr>
        <w:spacing w:after="150" w:before="110" w:line="285"/>
      </w:pPr>
      <w:r>
        <w:rPr>
          <w:rFonts w:ascii="Yu Gothic" w:cs="Yu Gothic" w:eastAsia="Yu Gothic" w:hAnsi="Yu Gothic"/>
          <w:b w:val="false"/>
          <w:bCs w:val="false"/>
          <w:i w:val="false"/>
          <w:iCs w:val="false"/>
          <w:color w:val="5B6373"/>
          <w:sz w:val="16"/>
          <w:szCs w:val="16"/>
        </w:rPr>
        <w:t xml:space="preserve">注意点。EBIT/EVを外してE/PとB/Mだけにしても、順位相関は0.94〜0.96でほとんど変わらない。有利子負債の取得率が82%であることを踏まえると、2指標に絞る選択も同じくらい妥当である。</w:t>
      </w:r>
    </w:p>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6. Step 2 — 合成</w:t>
      </w:r>
    </w:p>
    <w:p>
      <w:pPr>
        <w:spacing w:after="130" w:before="0" w:line="300"/>
        <w:jc w:val="left"/>
      </w:pPr>
      <w:r>
        <w:rPr>
          <w:rFonts w:ascii="Yu Gothic" w:cs="Yu Gothic" w:eastAsia="Yu Gothic" w:hAnsi="Yu Gothic"/>
          <w:b w:val="false"/>
          <w:bCs w:val="false"/>
          <w:i w:val="false"/>
          <w:iCs w:val="false"/>
          <w:color w:val="1B1F27"/>
          <w:sz w:val="18"/>
          <w:szCs w:val="18"/>
        </w:rPr>
        <w:t xml:space="preserve">4つの軸はそれぞれ0〜100点の順位点になっている。単位が揃っているので、そのまま重み付けて足すことができる。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23812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81250" cy="41910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(1)</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順位点。母集団 N 社の中での順位を0〜100に写す。</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231457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14575" cy="53340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(2)</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各軸の作り方。成分の順位点を単純平均する。欠測した成分は集合 K から外す。</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49053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05375" cy="276225"/>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(18)</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総合点。4軸を等しく25%ずつ配分する。</w:t>
      </w:r>
    </w:p>
    <w:p>
      <w:pPr>
        <w:spacing w:after="130" w:before="0" w:line="300"/>
        <w:jc w:val="left"/>
      </w:pPr>
      <w:r>
        <w:rPr>
          <w:rFonts w:ascii="Yu Gothic" w:cs="Yu Gothic" w:eastAsia="Yu Gothic" w:hAnsi="Yu Gothic"/>
          <w:b w:val="false"/>
          <w:bCs w:val="false"/>
          <w:i w:val="false"/>
          <w:iCs w:val="false"/>
          <w:color w:val="1B1F27"/>
          <w:sz w:val="18"/>
          <w:szCs w:val="18"/>
        </w:rPr>
        <w:t xml:space="preserve">等重みを採るのは、どれか一つの軸に賭けないためである。Greenblatt (2005) も、資本利益率と益回りという2つの順位を等重みで合算する方式を採っている。ただし「等しく配点する」ことと「等しく効く」ことは別である。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33432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43275" cy="47625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(19)</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実効寄与。各軸が総合点のばらつきをどれだけ説明しているか。合計は1になる。</w:t>
      </w:r>
    </w:p>
    <w:p>
      <w:pPr>
        <w:spacing w:after="60" w:before="150"/>
      </w:pPr>
      <w:r>
        <w:rPr>
          <w:rFonts w:ascii="Yu Gothic" w:cs="Yu Gothic" w:eastAsia="Yu Gothic" w:hAnsi="Yu Gothic"/>
          <w:b/>
          <w:bCs/>
          <w:i w:val="false"/>
          <w:iCs w:val="false"/>
          <w:color w:val="5B6373"/>
          <w:sz w:val="16"/>
          <w:szCs w:val="16"/>
        </w:rPr>
        <w:t xml:space="preserve">名目の配点と、実際に総合点を動かした割合</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6"/>
        <w:gridCol w:w="1900"/>
        <w:gridCol w:w="1900"/>
        <w:gridCol w:w="1900"/>
        <w:gridCol w:w="1900"/>
      </w:tblGrid>
      <w:tr>
        <w:trPr>
          <w:tblHeader/>
        </w:trPr>
        <w:tc>
          <w:tcPr>
            <w:tcW w:type="dxa" w:w="26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
            </w:r>
          </w:p>
        </w:tc>
        <w:tc>
          <w:tcPr>
            <w:tcW w:type="dxa" w:w="19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Moat</w:t>
            </w:r>
          </w:p>
        </w:tc>
        <w:tc>
          <w:tcPr>
            <w:tcW w:type="dxa" w:w="19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Change</w:t>
            </w:r>
          </w:p>
        </w:tc>
        <w:tc>
          <w:tcPr>
            <w:tcW w:type="dxa" w:w="19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Future</w:t>
            </w:r>
          </w:p>
        </w:tc>
        <w:tc>
          <w:tcPr>
            <w:tcW w:type="dxa" w:w="19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Price</w:t>
            </w:r>
          </w:p>
        </w:tc>
      </w:tr>
      <w:tr>
        <w:tc>
          <w:tcPr>
            <w:tcW w:type="dxa" w:w="26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名目の配点</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25.0%</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25.0%</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25.0%</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25.0%</w:t>
            </w:r>
          </w:p>
        </w:tc>
      </w:tr>
      <w:tr>
        <w:tc>
          <w:tcPr>
            <w:tcW w:type="dxa" w:w="26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実際に総合点を動かした割合</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20.6%</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32.8%</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24.8%</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21.8%</w:t>
            </w:r>
          </w:p>
        </w:tc>
      </w:tr>
    </w:tbl>
    <w:p>
      <w:pPr>
        <w:spacing w:after="150" w:before="110" w:line="285"/>
      </w:pPr>
      <w:r>
        <w:rPr>
          <w:rFonts w:ascii="Yu Gothic" w:cs="Yu Gothic" w:eastAsia="Yu Gothic" w:hAnsi="Yu Gothic"/>
          <w:b w:val="false"/>
          <w:bCs w:val="false"/>
          <w:i w:val="false"/>
          <w:iCs w:val="false"/>
          <w:color w:val="5B6373"/>
          <w:sz w:val="16"/>
          <w:szCs w:val="16"/>
        </w:rPr>
        <w:t xml:space="preserve">実効寄与は、各軸が総合点のばらつきをどれだけ説明しているかを測ったもの（合計100%）。軸どうしが逆方向に動くと合計の中で打ち消し合うため、名目25%でも実効は等しくならない。これは合成スコア一般の性質であり、隠さず併記するのが正しい。</w:t>
      </w:r>
    </w:p>
    <w:p>
      <w:pPr>
        <w:spacing w:after="60" w:before="150"/>
      </w:pPr>
      <w:r>
        <w:rPr>
          <w:rFonts w:ascii="Yu Gothic" w:cs="Yu Gothic" w:eastAsia="Yu Gothic" w:hAnsi="Yu Gothic"/>
          <w:b/>
          <w:bCs/>
          <w:i w:val="false"/>
          <w:iCs w:val="false"/>
          <w:color w:val="5B6373"/>
          <w:sz w:val="16"/>
          <w:szCs w:val="16"/>
        </w:rPr>
        <w:t xml:space="preserve">軸どうしの順位相関（同じものを重複して測っていないかの確認）</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6"/>
        <w:gridCol w:w="2000"/>
        <w:gridCol w:w="2000"/>
        <w:gridCol w:w="2000"/>
        <w:gridCol w:w="2000"/>
      </w:tblGrid>
      <w:tr>
        <w:trPr>
          <w:tblHeader/>
        </w:trPr>
        <w:tc>
          <w:tcPr>
            <w:tcW w:type="dxa" w:w="22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
            </w:r>
          </w:p>
        </w:tc>
        <w:tc>
          <w:tcPr>
            <w:tcW w:type="dxa" w:w="20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Moat</w:t>
            </w:r>
          </w:p>
        </w:tc>
        <w:tc>
          <w:tcPr>
            <w:tcW w:type="dxa" w:w="20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Change</w:t>
            </w:r>
          </w:p>
        </w:tc>
        <w:tc>
          <w:tcPr>
            <w:tcW w:type="dxa" w:w="20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Future</w:t>
            </w:r>
          </w:p>
        </w:tc>
        <w:tc>
          <w:tcPr>
            <w:tcW w:type="dxa" w:w="20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Price</w:t>
            </w:r>
          </w:p>
        </w:tc>
      </w:tr>
      <w:tr>
        <w:tc>
          <w:tcPr>
            <w:tcW w:type="dxa" w:w="2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Moat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+0.196</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-0.094</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-0.197</w:t>
            </w:r>
          </w:p>
        </w:tc>
      </w:tr>
      <w:tr>
        <w:tc>
          <w:tcPr>
            <w:tcW w:type="dxa" w:w="2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Change</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+0.196</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+0.180</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+0.105</w:t>
            </w:r>
          </w:p>
        </w:tc>
      </w:tr>
      <w:tr>
        <w:tc>
          <w:tcPr>
            <w:tcW w:type="dxa" w:w="2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Future</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-0.094</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+0.180</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+0.051</w:t>
            </w:r>
          </w:p>
        </w:tc>
      </w:tr>
      <w:tr>
        <w:tc>
          <w:tcPr>
            <w:tcW w:type="dxa" w:w="2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Price</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-0.197</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+0.105</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+0.051</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r>
    </w:tbl>
    <w:p>
      <w:pPr>
        <w:spacing w:after="150" w:before="110" w:line="285"/>
      </w:pPr>
      <w:r>
        <w:rPr>
          <w:rFonts w:ascii="Yu Gothic" w:cs="Yu Gothic" w:eastAsia="Yu Gothic" w:hAnsi="Yu Gothic"/>
          <w:b w:val="false"/>
          <w:bCs w:val="false"/>
          <w:i w:val="false"/>
          <w:iCs w:val="false"/>
          <w:color w:val="5B6373"/>
          <w:sz w:val="16"/>
          <w:szCs w:val="16"/>
        </w:rPr>
        <w:t xml:space="preserve">0に近いほど別のものを測れている。1に近い組み合わせがあれば、同じものを二重に数えている。最大でも0.33で、Change軸（Piotroski）は株価倍率を一切含まないため構造的に重複しない。</w:t>
      </w:r>
    </w:p>
    <w:p>
      <w:pPr>
        <w:spacing w:after="60" w:before="150"/>
      </w:pPr>
      <w:r>
        <w:rPr>
          <w:rFonts w:ascii="Yu Gothic" w:cs="Yu Gothic" w:eastAsia="Yu Gothic" w:hAnsi="Yu Gothic"/>
          <w:b/>
          <w:bCs/>
          <w:i w:val="false"/>
          <w:iCs w:val="false"/>
          <w:color w:val="5B6373"/>
          <w:sz w:val="16"/>
          <w:szCs w:val="16"/>
        </w:rPr>
        <w:t xml:space="preserve">4軸すべてが基準以上の企業数</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6"/>
      </w:tblGrid>
      <w:tr>
        <w:trPr>
          <w:tblHeader/>
        </w:trPr>
        <w:tc>
          <w:tcPr>
            <w:tcW w:type="dxa" w:w="3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基準</w:t>
            </w:r>
          </w:p>
        </w:tc>
        <w:tc>
          <w:tcPr>
            <w:tcW w:type="dxa" w:w="3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社数</w:t>
            </w:r>
          </w:p>
        </w:tc>
        <w:tc>
          <w:tcPr>
            <w:tcW w:type="dxa" w:w="34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母集団に対する割合</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全4軸 50点以上</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100社</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5.9%</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全4軸 60点以上</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40社</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2.4%</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全4軸 70点以上</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6社</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0.4%</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全4軸 80点以上</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全4軸 90点以上</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0社</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w:t>
            </w:r>
          </w:p>
        </w:tc>
      </w:tr>
    </w:tbl>
    <w:p>
      <w:pPr>
        <w:pBdr>
          <w:left w:val="single" w:color="1F5B4E" w:sz="18" w:space="10"/>
        </w:pBdr>
        <w:shd w:fill="E6F0EC" w:color="auto" w:val="clear"/>
        <w:spacing w:after="190" w:before="170" w:line="300"/>
        <w:ind w:left="130" w:right="130"/>
      </w:pPr>
      <w:r>
        <w:rPr>
          <w:rFonts w:ascii="Yu Gothic" w:cs="Yu Gothic" w:eastAsia="Yu Gothic" w:hAnsi="Yu Gothic"/>
          <w:b w:val="false"/>
          <w:bCs w:val="false"/>
          <w:i w:val="false"/>
          <w:iCs w:val="false"/>
          <w:color w:val="1B1F27"/>
          <w:sz w:val="18"/>
          <w:szCs w:val="18"/>
        </w:rPr>
        <w:t xml:space="preserve">4軸すべてで高得点の会社は事実上存在しない（80点以上は2社、90点以上は0社）。したがって「4条件すべてを満たす会社を探す」方式では20社を組めない。平均を取る方式を採る以上、選ばれた会社もどこか1軸は必ず弱い。第8章の選定理由で、各社がどの軸で入りどこが弱いかを一社ずつ開示している。</w:t>
      </w:r>
    </w:p>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7. Step 3・4 — 選抜と保有比率</w:t>
      </w:r>
    </w:p>
    <w:p>
      <w:pPr>
        <w:pStyle w:val="Heading2"/>
        <w:spacing w:after="115" w:before="280"/>
      </w:pPr>
      <w:r>
        <w:rPr>
          <w:rFonts w:ascii="Yu Gothic" w:cs="Yu Gothic" w:eastAsia="Yu Gothic" w:hAnsi="Yu Gothic"/>
          <w:b/>
          <w:bCs/>
          <w:i w:val="false"/>
          <w:iCs w:val="false"/>
          <w:color w:val="1B1F27"/>
          <w:sz w:val="21"/>
          <w:szCs w:val="21"/>
        </w:rPr>
        <w:t xml:space="preserve">7-1. 選抜ルール</w:t>
      </w:r>
    </w:p>
    <w:p>
      <w:pPr>
        <w:pStyle w:val="ListParagraph"/>
        <w:numPr>
          <w:ilvl w:val="0"/>
          <w:numId w:val="2"/>
        </w:numPr>
        <w:spacing w:after="80" w:line="295"/>
      </w:pPr>
      <w:r>
        <w:rPr>
          <w:rFonts w:ascii="Yu Gothic" w:cs="Yu Gothic" w:eastAsia="Yu Gothic" w:hAnsi="Yu Gothic"/>
          <w:b w:val="false"/>
          <w:bCs w:val="false"/>
          <w:i w:val="false"/>
          <w:iCs w:val="false"/>
          <w:color w:val="1B1F27"/>
          <w:sz w:val="18"/>
          <w:szCs w:val="18"/>
        </w:rPr>
        <w:t xml:space="preserve">総合点の高い順に並べる。</w:t>
      </w:r>
    </w:p>
    <w:p>
      <w:pPr>
        <w:pStyle w:val="ListParagraph"/>
        <w:numPr>
          <w:ilvl w:val="0"/>
          <w:numId w:val="2"/>
        </w:numPr>
        <w:spacing w:after="80" w:line="295"/>
      </w:pPr>
      <w:r>
        <w:rPr>
          <w:rFonts w:ascii="Yu Gothic" w:cs="Yu Gothic" w:eastAsia="Yu Gothic" w:hAnsi="Yu Gothic"/>
          <w:b w:val="false"/>
          <w:bCs w:val="false"/>
          <w:i w:val="false"/>
          <w:iCs w:val="false"/>
          <w:color w:val="1B1F27"/>
          <w:sz w:val="18"/>
          <w:szCs w:val="18"/>
        </w:rPr>
        <w:t xml:space="preserve">上から順に採用する。ただし同一の33業種分類は最大2社まで。</w:t>
      </w:r>
    </w:p>
    <w:p>
      <w:pPr>
        <w:pStyle w:val="ListParagraph"/>
        <w:numPr>
          <w:ilvl w:val="0"/>
          <w:numId w:val="2"/>
        </w:numPr>
        <w:spacing w:after="80" w:line="295"/>
      </w:pPr>
      <w:r>
        <w:rPr>
          <w:rFonts w:ascii="Yu Gothic" w:cs="Yu Gothic" w:eastAsia="Yu Gothic" w:hAnsi="Yu Gothic"/>
          <w:b w:val="false"/>
          <w:bCs w:val="false"/>
          <w:i w:val="false"/>
          <w:iCs w:val="false"/>
          <w:color w:val="1B1F27"/>
          <w:sz w:val="18"/>
          <w:szCs w:val="18"/>
        </w:rPr>
        <w:t xml:space="preserve">1単元が投資枠の8%（40万円）を超えて買えない銘柄は飛ばし、次点を繰り上げる。</w:t>
      </w:r>
    </w:p>
    <w:p>
      <w:pPr>
        <w:pStyle w:val="ListParagraph"/>
        <w:numPr>
          <w:ilvl w:val="0"/>
          <w:numId w:val="2"/>
        </w:numPr>
        <w:spacing w:after="80" w:line="295"/>
      </w:pPr>
      <w:r>
        <w:rPr>
          <w:rFonts w:ascii="Yu Gothic" w:cs="Yu Gothic" w:eastAsia="Yu Gothic" w:hAnsi="Yu Gothic"/>
          <w:b w:val="false"/>
          <w:bCs w:val="false"/>
          <w:i w:val="false"/>
          <w:iCs w:val="false"/>
          <w:color w:val="1B1F27"/>
          <w:sz w:val="18"/>
          <w:szCs w:val="18"/>
        </w:rPr>
        <w:t xml:space="preserve">20社に達したら終了する。</w:t>
      </w:r>
    </w:p>
    <w:p>
      <w:pPr>
        <w:spacing w:after="60" w:before="150"/>
      </w:pPr>
      <w:r>
        <w:rPr>
          <w:rFonts w:ascii="Yu Gothic" w:cs="Yu Gothic" w:eastAsia="Yu Gothic" w:hAnsi="Yu Gothic"/>
          <w:b/>
          <w:bCs/>
          <w:i w:val="false"/>
          <w:iCs w:val="false"/>
          <w:color w:val="5B6373"/>
          <w:sz w:val="16"/>
          <w:szCs w:val="16"/>
        </w:rPr>
        <w:t xml:space="preserve">業種上限の効果</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606"/>
      </w:tblGrid>
      <w:tr>
        <w:trPr>
          <w:tblHeader/>
        </w:trPr>
        <w:tc>
          <w:tcPr>
            <w:tcW w:type="dxa" w:w="3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
            </w:r>
          </w:p>
        </w:tc>
        <w:tc>
          <w:tcPr>
            <w:tcW w:type="dxa" w:w="22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業種数</w:t>
            </w:r>
          </w:p>
        </w:tc>
        <w:tc>
          <w:tcPr>
            <w:tcW w:type="dxa" w:w="46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上位業種の集中</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業種上限なし（単純上位20）</w:t>
            </w:r>
          </w:p>
        </w:tc>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w:t>
            </w:r>
          </w:p>
        </w:tc>
        <w:tc>
          <w:tcPr>
            <w:tcW w:type="dxa" w:w="46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本方式では算出していない</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業種上限2社（本方式）</w:t>
            </w:r>
          </w:p>
        </w:tc>
        <w:tc>
          <w:tcPr>
            <w:tcW w:type="dxa" w:w="2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12業種</w:t>
            </w:r>
          </w:p>
        </w:tc>
        <w:tc>
          <w:tcPr>
            <w:tcW w:type="dxa" w:w="46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w:t>
            </w:r>
          </w:p>
        </w:tc>
      </w:tr>
    </w:tbl>
    <w:p>
      <w:pPr>
        <w:spacing w:after="150" w:before="110" w:line="285"/>
      </w:pPr>
      <w:r>
        <w:rPr>
          <w:rFonts w:ascii="Yu Gothic" w:cs="Yu Gothic" w:eastAsia="Yu Gothic" w:hAnsi="Yu Gothic"/>
          <w:b w:val="false"/>
          <w:bCs w:val="false"/>
          <w:i w:val="false"/>
          <w:iCs w:val="false"/>
          <w:color w:val="5B6373"/>
          <w:sz w:val="16"/>
          <w:szCs w:val="16"/>
        </w:rPr>
        <w:t xml:space="preserve">同一業種2社までの制約を入れて選抜している。</w:t>
      </w:r>
    </w:p>
    <w:p>
      <w:pPr>
        <w:pStyle w:val="Heading2"/>
        <w:spacing w:after="115" w:before="280"/>
      </w:pPr>
      <w:r>
        <w:rPr>
          <w:rFonts w:ascii="Yu Gothic" w:cs="Yu Gothic" w:eastAsia="Yu Gothic" w:hAnsi="Yu Gothic"/>
          <w:b/>
          <w:bCs/>
          <w:i w:val="false"/>
          <w:iCs w:val="false"/>
          <w:color w:val="1B1F27"/>
          <w:sz w:val="21"/>
          <w:szCs w:val="21"/>
        </w:rPr>
        <w:t xml:space="preserve">7-2. 保有比率の決め方</w:t>
      </w:r>
    </w:p>
    <w:p>
      <w:pPr>
        <w:spacing w:after="130" w:before="0" w:line="300"/>
        <w:jc w:val="left"/>
      </w:pPr>
      <w:r>
        <w:rPr>
          <w:rFonts w:ascii="Yu Gothic" w:cs="Yu Gothic" w:eastAsia="Yu Gothic" w:hAnsi="Yu Gothic"/>
          <w:b w:val="false"/>
          <w:bCs w:val="false"/>
          <w:i w:val="false"/>
          <w:iCs w:val="false"/>
          <w:color w:val="1B1F27"/>
          <w:sz w:val="18"/>
          <w:szCs w:val="18"/>
        </w:rPr>
        <w:t xml:space="preserve">20社を均等5%で持つことを目標にする。ただし日本株は100株単位でしか買えないため、目標ちょうどにはならない。各銘柄について、目標額に最も近い単元数を選ぶ。</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06"/>
        <w:gridCol w:w="1100"/>
      </w:tblGrid>
      <w:tr>
        <w:tc>
          <w:tcPr>
            <w:tcW w:type="dxa" w:w="9106"/>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jc w:val="center"/>
            </w:pPr>
            <w:r>
              <w:drawing>
                <wp:inline distT="0" distB="0" distL="0" distR="0">
                  <wp:extent cx="45148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14850" cy="381000"/>
                          </a:xfrm>
                          <a:prstGeom prst="rect">
                            <a:avLst/>
                          </a:prstGeom>
                        </pic:spPr>
                      </pic:pic>
                    </a:graphicData>
                  </a:graphic>
                </wp:inline>
              </w:drawing>
            </w:r>
          </w:p>
        </w:tc>
        <w:tc>
          <w:tcPr>
            <w:tcW w:type="dxa" w:w="11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spacing w:after="0" w:before="0"/>
              <w:jc w:val="right"/>
            </w:pPr>
            <w:r>
              <w:rPr>
                <w:rFonts w:ascii="Yu Gothic" w:cs="Yu Gothic" w:eastAsia="Yu Gothic" w:hAnsi="Yu Gothic"/>
                <w:b w:val="false"/>
                <w:bCs w:val="false"/>
                <w:i w:val="false"/>
                <w:iCs w:val="false"/>
                <w:color w:val="1B1F27"/>
                <w:sz w:val="17"/>
                <w:szCs w:val="17"/>
              </w:rPr>
              <w:t xml:space="preserve">(20)</w:t>
            </w:r>
          </w:p>
        </w:tc>
      </w:tr>
    </w:tbl>
    <w:p>
      <w:pPr>
        <w:spacing w:after="130" w:before="20"/>
        <w:jc w:val="center"/>
      </w:pPr>
      <w:r>
        <w:rPr>
          <w:rFonts w:ascii="Yu Gothic" w:cs="Yu Gothic" w:eastAsia="Yu Gothic" w:hAnsi="Yu Gothic"/>
          <w:b w:val="false"/>
          <w:bCs w:val="false"/>
          <w:i w:val="false"/>
          <w:iCs w:val="false"/>
          <w:color w:val="5B6373"/>
          <w:sz w:val="15"/>
          <w:szCs w:val="15"/>
        </w:rPr>
        <w:t xml:space="preserve">C は投資枠500万円、P は株価、n は単元数。1銘柄の投資額は枠の8%を超えない。</w:t>
      </w:r>
    </w:p>
    <w:p>
      <w:pPr>
        <w:spacing w:after="130" w:before="0" w:line="300"/>
        <w:jc w:val="left"/>
      </w:pPr>
      <w:r>
        <w:rPr>
          <w:rFonts w:ascii="Yu Gothic" w:cs="Yu Gothic" w:eastAsia="Yu Gothic" w:hAnsi="Yu Gothic"/>
          <w:b w:val="false"/>
          <w:bCs w:val="false"/>
          <w:i w:val="false"/>
          <w:iCs w:val="false"/>
          <w:color w:val="1B1F27"/>
          <w:sz w:val="18"/>
          <w:szCs w:val="18"/>
        </w:rPr>
        <w:t xml:space="preserve">この計算で余った現金は、目標額から最も下振れている銘柄へ1単元ずつ配っていく。上限8%に達した銘柄はそれ以上増やさない。</w:t>
      </w:r>
    </w:p>
    <w:p>
      <w:pPr>
        <w:spacing w:after="130" w:before="0" w:line="300"/>
        <w:jc w:val="left"/>
      </w:pPr>
      <w:r>
        <w:rPr>
          <w:rFonts w:ascii="Yu Gothic" w:cs="Yu Gothic" w:eastAsia="Yu Gothic" w:hAnsi="Yu Gothic"/>
          <w:b w:val="false"/>
          <w:bCs w:val="false"/>
          <w:i w:val="false"/>
          <w:iCs w:val="false"/>
          <w:color w:val="1B1F27"/>
          <w:sz w:val="18"/>
          <w:szCs w:val="18"/>
        </w:rPr>
        <w:t xml:space="preserve">均等5%を目標にする。総合点に比例させる方法もあるが、実測では比率が4.5%〜6.0%にしかならず差が出ないため、説明しやすい均等を採る。日本株は100株単位でしか買えないため、目標ちょうどにはならない。</w:t>
      </w:r>
    </w:p>
    <w:p>
      <w:pPr>
        <w:pageBreakBefore/>
      </w:pPr>
    </w:p>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8. 選定した20社</w:t>
      </w:r>
    </w:p>
    <w:p>
      <w:pPr>
        <w:spacing w:after="150" w:before="110" w:line="285"/>
      </w:pPr>
      <w:r>
        <w:rPr>
          <w:rFonts w:ascii="Yu Gothic" w:cs="Yu Gothic" w:eastAsia="Yu Gothic" w:hAnsi="Yu Gothic"/>
          <w:b w:val="false"/>
          <w:bCs w:val="false"/>
          <w:i w:val="false"/>
          <w:iCs w:val="false"/>
          <w:color w:val="5B6373"/>
          <w:sz w:val="16"/>
          <w:szCs w:val="16"/>
        </w:rPr>
        <w:t xml:space="preserve">数値は各軸の0〜100点。総合点はその単純平均。</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20"/>
        <w:gridCol w:w="760"/>
        <w:gridCol w:w="2320"/>
        <w:gridCol w:w="1560"/>
        <w:gridCol w:w="1020"/>
        <w:gridCol w:w="760"/>
        <w:gridCol w:w="760"/>
        <w:gridCol w:w="760"/>
        <w:gridCol w:w="760"/>
        <w:gridCol w:w="986"/>
      </w:tblGrid>
      <w:tr>
        <w:trPr>
          <w:tblHeader/>
        </w:trPr>
        <w:tc>
          <w:tcPr>
            <w:tcW w:type="dxa" w:w="52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w:t>
            </w:r>
          </w:p>
        </w:tc>
        <w:tc>
          <w:tcPr>
            <w:tcW w:type="dxa" w:w="76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コード</w:t>
            </w:r>
          </w:p>
        </w:tc>
        <w:tc>
          <w:tcPr>
            <w:tcW w:type="dxa" w:w="232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会社名</w:t>
            </w:r>
          </w:p>
        </w:tc>
        <w:tc>
          <w:tcPr>
            <w:tcW w:type="dxa" w:w="156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業種</w:t>
            </w:r>
          </w:p>
        </w:tc>
        <w:tc>
          <w:tcPr>
            <w:tcW w:type="dxa" w:w="102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市場</w:t>
            </w:r>
          </w:p>
        </w:tc>
        <w:tc>
          <w:tcPr>
            <w:tcW w:type="dxa" w:w="76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Moat</w:t>
            </w:r>
          </w:p>
        </w:tc>
        <w:tc>
          <w:tcPr>
            <w:tcW w:type="dxa" w:w="76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Chg</w:t>
            </w:r>
          </w:p>
        </w:tc>
        <w:tc>
          <w:tcPr>
            <w:tcW w:type="dxa" w:w="76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Fut</w:t>
            </w:r>
          </w:p>
        </w:tc>
        <w:tc>
          <w:tcPr>
            <w:tcW w:type="dxa" w:w="76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Price</w:t>
            </w:r>
          </w:p>
        </w:tc>
        <w:tc>
          <w:tcPr>
            <w:tcW w:type="dxa" w:w="98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総合</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7991</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マミヤ・オーピー</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機械</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85</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85</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89.2</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3640</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電算</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情報・通信業</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84</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94</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88.0</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6626</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ＳＥＭＩＴＥＣ</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電気機器</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89</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69</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94</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96</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86.9</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4112</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保土谷化学工業</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化学</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53</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97</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95</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86.3</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4113</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田岡化学工業</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化学</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55</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94</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98</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86.2</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6638</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ミマキエンジニアリング</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電気機器</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74</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85.7</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4559</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ゼリア新薬工業</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医薬品</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95</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82</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85.4</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3089</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テクノアルファ</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卸売業</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93</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97</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45</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99</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83.5</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7745</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Ａ＆Ｄホロンホールディングス</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精密機器</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99</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58</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83.3</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4540</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ツムラ</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医薬品</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57</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94</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82.6</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7575</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日本ライフライン</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卸売業</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85</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65</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82.1</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4414</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フレクト</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情報・通信業</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グロース</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97</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63</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81</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82.0</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2924</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イフジ産業</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食料品</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91</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62</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81.7</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14</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5947</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リンナイ</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金属製品</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63</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97</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89</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75</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80.9</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6455</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モリタホールディングス</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輸送用機器</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51</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83</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91</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80.4</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6282</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オイレス工業</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機械</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63</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97</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69</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80.3</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7254</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ユニバンス</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輸送用機器</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68</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99</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80.3</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2209</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井村屋グループ</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食料品</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97</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70</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61</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78.5</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19</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7803</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ブシロード</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その他製品</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グロース</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83</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86</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48</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78.4</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5013</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ユシロ</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石油・石炭製品</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57</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97</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65</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77.8</w:t>
            </w:r>
          </w:p>
        </w:tc>
      </w:tr>
    </w:tbl>
    <w:p>
      <w:pPr>
        <w:pStyle w:val="Heading2"/>
        <w:spacing w:after="115" w:before="280"/>
      </w:pPr>
      <w:r>
        <w:rPr>
          <w:rFonts w:ascii="Yu Gothic" w:cs="Yu Gothic" w:eastAsia="Yu Gothic" w:hAnsi="Yu Gothic"/>
          <w:b/>
          <w:bCs/>
          <w:i w:val="false"/>
          <w:iCs w:val="false"/>
          <w:color w:val="1B1F27"/>
          <w:sz w:val="21"/>
          <w:szCs w:val="21"/>
        </w:rPr>
        <w:t xml:space="preserve">8-1. 各社が選ばれた理由</w:t>
      </w:r>
    </w:p>
    <w:p>
      <w:pPr>
        <w:spacing w:after="150" w:before="110" w:line="285"/>
      </w:pPr>
      <w:r>
        <w:rPr>
          <w:rFonts w:ascii="Yu Gothic" w:cs="Yu Gothic" w:eastAsia="Yu Gothic" w:hAnsi="Yu Gothic"/>
          <w:b w:val="false"/>
          <w:bCs w:val="false"/>
          <w:i w:val="false"/>
          <w:iCs w:val="false"/>
          <w:color w:val="5B6373"/>
          <w:sz w:val="16"/>
          <w:szCs w:val="16"/>
        </w:rPr>
        <w:t xml:space="preserve">総合点は4軸の平均なので、同じ点でも中身は違う。何が効いて入ったかを一社ずつ示す。</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40"/>
        <w:gridCol w:w="2100"/>
        <w:gridCol w:w="7366"/>
      </w:tblGrid>
      <w:tr>
        <w:trPr>
          <w:tblHeader/>
        </w:trPr>
        <w:tc>
          <w:tcPr>
            <w:tcW w:type="dxa" w:w="74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コード</w:t>
            </w:r>
          </w:p>
        </w:tc>
        <w:tc>
          <w:tcPr>
            <w:tcW w:type="dxa" w:w="21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会社名</w:t>
            </w:r>
          </w:p>
        </w:tc>
        <w:tc>
          <w:tcPr>
            <w:tcW w:type="dxa" w:w="736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選定の要因</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7991</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マミヤ・オーピー</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100・Change 87・Future 85／良好 Moat 85。</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3640</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電算</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Future 94・Change 87・Price 87／良好 Moat 84。</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6626</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ＳＥＭＩＴＥＣ</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96・Future 94・Moat 89。</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4112</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保土谷化学工業</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Future 100・Change 97・Price 95。</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4113</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田岡化学工業</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98・Change 97・Future 94。</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6638</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ミマキエンジニアリング</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Future 96・Change 87・Moat 86／良好 Price 74。</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4559</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ゼリア新薬工業</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Future 95・Change 87／良好 Price 82・Moat 77。</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3089</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テクノアルファ</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99・Change 97・Moat 93。</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7745</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Ａ＆Ｄホロンホールディングス</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Future 99・Change 97／良好 Moat 79。</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4540</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ツムラ</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94・Future 92・Change 87。</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7575</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日本ライフライン</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Future 92・Change 87・Moat 85。</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4414</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フレクト</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Moat 97・Change 87／良好 Price 81。</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2924</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イフジ産業</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Moat 91・Price 87・Change 87。</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5947</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リンナイ</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Change 97・Future 89／良好 Price 75。</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6455</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モリタホールディングス</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Change 97・Price 91／良好 Future 83。</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6282</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オイレス工業</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Change 97・Future 92。</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7254</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ユニバンス</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99・Change 87。</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2209</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井村屋グループ</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Change 97・Moat 86／良好 Future 70。</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7803</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ブシロード</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Change 97・Future 86／良好 Moat 83。</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5013</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ユシロ</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Change 97・Price 92。</w:t>
            </w:r>
          </w:p>
        </w:tc>
      </w:tr>
    </w:tbl>
    <w:p>
      <w:pPr>
        <w:pageBreakBefore/>
      </w:pPr>
    </w:p>
    <w:p>
      <w:pPr>
        <w:pStyle w:val="Heading2"/>
        <w:spacing w:after="115" w:before="280"/>
      </w:pPr>
      <w:r>
        <w:rPr>
          <w:rFonts w:ascii="Yu Gothic" w:cs="Yu Gothic" w:eastAsia="Yu Gothic" w:hAnsi="Yu Gothic"/>
          <w:b/>
          <w:bCs/>
          <w:i w:val="false"/>
          <w:iCs w:val="false"/>
          <w:color w:val="1B1F27"/>
          <w:sz w:val="21"/>
          <w:szCs w:val="21"/>
        </w:rPr>
        <w:t xml:space="preserve">8-2. 財務指標</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40"/>
        <w:gridCol w:w="2140"/>
        <w:gridCol w:w="1160"/>
        <w:gridCol w:w="1180"/>
        <w:gridCol w:w="1000"/>
        <w:gridCol w:w="1200"/>
        <w:gridCol w:w="1260"/>
        <w:gridCol w:w="1526"/>
      </w:tblGrid>
      <w:tr>
        <w:trPr>
          <w:tblHeader/>
        </w:trPr>
        <w:tc>
          <w:tcPr>
            <w:tcW w:type="dxa" w:w="74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コード</w:t>
            </w:r>
          </w:p>
        </w:tc>
        <w:tc>
          <w:tcPr>
            <w:tcW w:type="dxa" w:w="214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会社名</w:t>
            </w:r>
          </w:p>
        </w:tc>
        <w:tc>
          <w:tcPr>
            <w:tcW w:type="dxa" w:w="116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売上高</w:t>
            </w:r>
          </w:p>
        </w:tc>
        <w:tc>
          <w:tcPr>
            <w:tcW w:type="dxa" w:w="118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営業利益率</w:t>
            </w:r>
          </w:p>
        </w:tc>
        <w:tc>
          <w:tcPr>
            <w:tcW w:type="dxa" w:w="10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ROE</w:t>
            </w:r>
          </w:p>
        </w:tc>
        <w:tc>
          <w:tcPr>
            <w:tcW w:type="dxa" w:w="12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自己資本比率</w:t>
            </w:r>
          </w:p>
        </w:tc>
        <w:tc>
          <w:tcPr>
            <w:tcW w:type="dxa" w:w="126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営業CF率</w:t>
            </w:r>
          </w:p>
        </w:tc>
        <w:tc>
          <w:tcPr>
            <w:tcW w:type="dxa" w:w="152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時価総額</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7991</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マミヤ・オーピー</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337</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19.0%</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18.8%</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61.8%</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19.8%</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112</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3640</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電算</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187</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13.4%</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14.5%</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59.2%</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15.8%</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154</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6626</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ＳＥＭＩＴＥＣ</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253</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15.5%</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13.4%</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74.4%</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20.5%</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218</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4112</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保土谷化学工業</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486</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7.8%</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73.3%</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11.7%</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368</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4113</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田岡化学工業</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299</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6.3%</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8.0%</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60.8%</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14.6%</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106</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6638</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ミマキエンジニアリング</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840</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10.9%</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19.1%</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42.5%</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9.4%</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569</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4559</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ゼリア新薬工業</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873</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14.0%</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11.1%</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56.4%</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14.8%</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923</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3089</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テクノアルファ</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45</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13.0%</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17.8%</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69.5%</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13.4%</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7745</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Ａ＆Ｄホロンホールディングス</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671</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13.1%</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15.2%</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62.0%</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9.8%</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808</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4540</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ツムラ</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1,811</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22.2%</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10.5%</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71.1%</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18.7%</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2,773</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7575</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日本ライフライン</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566</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21.8%</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15.6%</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79.8%</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16.1%</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1,063</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4414</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フレクト</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13.7%</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26.5%</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64.8%</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11.3%</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57</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2924</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イフジ産業</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256</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11.7%</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18.8%</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66.6%</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15.8%</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160</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5947</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リンナイ</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4,603</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8.1%</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76.1%</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12.5%</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4,983</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6455</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モリタホールディングス</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1,117</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12.3%</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9.8%</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68.2%</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10.2%</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972</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6282</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オイレス工業</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676</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10.3%</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8.2%</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82.3%</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851</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7254</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ユニバンス</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539</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7.5%</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11.1%</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59.3%</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13.3%</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172</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2209</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井村屋グループ</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511</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9.9%</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60.3%</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11.9%</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302</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7803</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ブシロード</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562</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14.2%</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50.6%</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10.4%</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568</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5013</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ユシロ</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555</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9.1%</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10.2%</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70.9%</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396</w:t>
            </w:r>
          </w:p>
        </w:tc>
      </w:tr>
    </w:tbl>
    <w:p>
      <w:pPr>
        <w:spacing w:after="150" w:before="110" w:line="285"/>
      </w:pPr>
      <w:r>
        <w:rPr>
          <w:rFonts w:ascii="Yu Gothic" w:cs="Yu Gothic" w:eastAsia="Yu Gothic" w:hAnsi="Yu Gothic"/>
          <w:b w:val="false"/>
          <w:bCs w:val="false"/>
          <w:i w:val="false"/>
          <w:iCs w:val="false"/>
          <w:color w:val="5B6373"/>
          <w:sz w:val="16"/>
          <w:szCs w:val="16"/>
        </w:rPr>
        <w:t xml:space="preserve">売上高・時価総額は億円。営業CF率＝営業キャッシュフロー÷売上高。財務は各社最新の有価証券報告書。</w:t>
      </w:r>
    </w:p>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9. ポートフォリオ構成</w:t>
      </w:r>
    </w:p>
    <w:p>
      <w:pPr>
        <w:spacing w:after="130" w:before="0" w:line="300"/>
        <w:jc w:val="left"/>
      </w:pPr>
      <w:r>
        <w:rPr>
          <w:rFonts w:ascii="Yu Gothic" w:cs="Yu Gothic" w:eastAsia="Yu Gothic" w:hAnsi="Yu Gothic"/>
          <w:b w:val="false"/>
          <w:bCs w:val="false"/>
          <w:i w:val="false"/>
          <w:iCs w:val="false"/>
          <w:color w:val="1B1F27"/>
          <w:sz w:val="18"/>
          <w:szCs w:val="18"/>
        </w:rPr>
        <w:t xml:space="preserve">投資枠500万円、売買単位100株、1銘柄あたりの上限8%。合計4,990,500円（99.81%）を配分し、残る現金は9,500円。</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40"/>
        <w:gridCol w:w="2160"/>
        <w:gridCol w:w="940"/>
        <w:gridCol w:w="780"/>
        <w:gridCol w:w="780"/>
        <w:gridCol w:w="1060"/>
        <w:gridCol w:w="940"/>
        <w:gridCol w:w="1280"/>
        <w:gridCol w:w="1526"/>
      </w:tblGrid>
      <w:tr>
        <w:trPr>
          <w:tblHeader/>
        </w:trPr>
        <w:tc>
          <w:tcPr>
            <w:tcW w:type="dxa" w:w="74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コード</w:t>
            </w:r>
          </w:p>
        </w:tc>
        <w:tc>
          <w:tcPr>
            <w:tcW w:type="dxa" w:w="216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会社名</w:t>
            </w:r>
          </w:p>
        </w:tc>
        <w:tc>
          <w:tcPr>
            <w:tcW w:type="dxa" w:w="94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株価</w:t>
            </w:r>
          </w:p>
        </w:tc>
        <w:tc>
          <w:tcPr>
            <w:tcW w:type="dxa" w:w="78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PER</w:t>
            </w:r>
          </w:p>
        </w:tc>
        <w:tc>
          <w:tcPr>
            <w:tcW w:type="dxa" w:w="78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PBR</w:t>
            </w:r>
          </w:p>
        </w:tc>
        <w:tc>
          <w:tcPr>
            <w:tcW w:type="dxa" w:w="106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時価総額</w:t>
            </w:r>
          </w:p>
        </w:tc>
        <w:tc>
          <w:tcPr>
            <w:tcW w:type="dxa" w:w="94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株数</w:t>
            </w:r>
          </w:p>
        </w:tc>
        <w:tc>
          <w:tcPr>
            <w:tcW w:type="dxa" w:w="128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投資額</w:t>
            </w:r>
          </w:p>
        </w:tc>
        <w:tc>
          <w:tcPr>
            <w:tcW w:type="dxa" w:w="152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比率</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7991</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マミヤ・オーピー</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1,080</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2.4</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0.44</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112億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216,000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4.32%</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3640</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電算</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2,769</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8.3</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1.21</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154億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276,900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5.54%</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6626</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ＳＥＭＩＴＥＣ</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2,270</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7.0</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0.94</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218億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227,000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4.54%</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4112</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保土谷化学工業</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2,310</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8.0</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0.63</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368億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231,000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4.62%</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4113</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田岡化学工業</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743</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7.2</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0.58</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106億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222,900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4.46%</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6638</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ミマキエンジニアリング</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1,965</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1.76</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569億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196,500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3.93%</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4559</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ゼリア新薬工業</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2,094</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9.3</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1.03</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923億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209,400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4.19%</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3089</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テクノアルファ</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1,047</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4.5</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0.80</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209,400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4.19%</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7745</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Ａ＆Ｄホロンホールディングス</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2,950</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12.4</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1.89</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808億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295,000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5.90%</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4540</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ツムラ</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3,720</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8.0</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0.84</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2,773億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372,000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7.44%</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7575</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日本ライフライン</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1,515</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11.4</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1.77</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1,063億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151,500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3.03%</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4414</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フレクト</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1,052</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2.08</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57億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210,400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4.21%</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2924</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イフジ産業</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1,964</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7.6</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1.43</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160億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196,400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3.93%</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5947</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リンナイ</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3,609</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13.4</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1.08</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4,983億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360,900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7.22%</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6455</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モリタホールディングス</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2,367</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10.2</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972億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236,700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4.73%</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6282</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オイレス工業</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2,960</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13.4</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1.11</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851億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296,000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5.92%</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7254</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ユニバンス</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822</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5.8</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0.64</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172億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246,600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4.93%</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2209</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井村屋グループ</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2,363</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13.8</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1.37</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302億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236,300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4.73%</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7803</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ブシロード</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418</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15.8</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2.25</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568億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292,600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5.85%</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5013</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ユシロ</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3,070</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8.6</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0.88</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396億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307,000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6.14%</w:t>
            </w:r>
          </w:p>
        </w:tc>
      </w:tr>
    </w:tbl>
    <w:p>
      <w:pPr>
        <w:spacing w:after="150" w:before="110" w:line="285"/>
      </w:pPr>
      <w:r>
        <w:rPr>
          <w:rFonts w:ascii="Yu Gothic" w:cs="Yu Gothic" w:eastAsia="Yu Gothic" w:hAnsi="Yu Gothic"/>
          <w:b w:val="false"/>
          <w:bCs w:val="false"/>
          <w:i w:val="false"/>
          <w:iCs w:val="false"/>
          <w:color w:val="5B6373"/>
          <w:sz w:val="16"/>
          <w:szCs w:val="16"/>
        </w:rPr>
        <w:t xml:space="preserve">株価・時価総額は2026-08-17時点の実勢値。PER・PBRは各社最新の有価証券報告書の当期純利益・自己資本で算出。</w:t>
      </w:r>
    </w:p>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10. 構成の特徴</w:t>
      </w:r>
    </w:p>
    <w:p>
      <w:pPr>
        <w:spacing w:after="60" w:before="150"/>
      </w:pPr>
      <w:r>
        <w:rPr>
          <w:rFonts w:ascii="Yu Gothic" w:cs="Yu Gothic" w:eastAsia="Yu Gothic" w:hAnsi="Yu Gothic"/>
          <w:b/>
          <w:bCs/>
          <w:i w:val="false"/>
          <w:iCs w:val="false"/>
          <w:color w:val="5B6373"/>
          <w:sz w:val="16"/>
          <w:szCs w:val="16"/>
        </w:rPr>
        <w:t xml:space="preserve">業種</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6"/>
        <w:gridCol w:w="5100"/>
      </w:tblGrid>
      <w:tr>
        <w:trPr>
          <w:tblHeader/>
        </w:trPr>
        <w:tc>
          <w:tcPr>
            <w:tcW w:type="dxa" w:w="51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業種</w:t>
            </w:r>
          </w:p>
        </w:tc>
        <w:tc>
          <w:tcPr>
            <w:tcW w:type="dxa" w:w="51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社数</w:t>
            </w:r>
          </w:p>
        </w:tc>
      </w:tr>
      <w:tr>
        <w:tc>
          <w:tcPr>
            <w:tcW w:type="dxa" w:w="5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機械</w:t>
            </w:r>
          </w:p>
        </w:tc>
        <w:tc>
          <w:tcPr>
            <w:tcW w:type="dxa" w:w="5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情報・通信業</w:t>
            </w:r>
          </w:p>
        </w:tc>
        <w:tc>
          <w:tcPr>
            <w:tcW w:type="dxa" w:w="5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電気機器</w:t>
            </w:r>
          </w:p>
        </w:tc>
        <w:tc>
          <w:tcPr>
            <w:tcW w:type="dxa" w:w="5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化学</w:t>
            </w:r>
          </w:p>
        </w:tc>
        <w:tc>
          <w:tcPr>
            <w:tcW w:type="dxa" w:w="5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医薬品</w:t>
            </w:r>
          </w:p>
        </w:tc>
        <w:tc>
          <w:tcPr>
            <w:tcW w:type="dxa" w:w="5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卸売業</w:t>
            </w:r>
          </w:p>
        </w:tc>
        <w:tc>
          <w:tcPr>
            <w:tcW w:type="dxa" w:w="5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食料品</w:t>
            </w:r>
          </w:p>
        </w:tc>
        <w:tc>
          <w:tcPr>
            <w:tcW w:type="dxa" w:w="5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輸送用機器</w:t>
            </w:r>
          </w:p>
        </w:tc>
        <w:tc>
          <w:tcPr>
            <w:tcW w:type="dxa" w:w="5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精密機器</w:t>
            </w:r>
          </w:p>
        </w:tc>
        <w:tc>
          <w:tcPr>
            <w:tcW w:type="dxa" w:w="5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1社</w:t>
            </w:r>
          </w:p>
        </w:tc>
      </w:tr>
      <w:tr>
        <w:tc>
          <w:tcPr>
            <w:tcW w:type="dxa" w:w="5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金属製品</w:t>
            </w:r>
          </w:p>
        </w:tc>
        <w:tc>
          <w:tcPr>
            <w:tcW w:type="dxa" w:w="5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1社</w:t>
            </w:r>
          </w:p>
        </w:tc>
      </w:tr>
      <w:tr>
        <w:tc>
          <w:tcPr>
            <w:tcW w:type="dxa" w:w="5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その他製品</w:t>
            </w:r>
          </w:p>
        </w:tc>
        <w:tc>
          <w:tcPr>
            <w:tcW w:type="dxa" w:w="5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1社</w:t>
            </w:r>
          </w:p>
        </w:tc>
      </w:tr>
      <w:tr>
        <w:tc>
          <w:tcPr>
            <w:tcW w:type="dxa" w:w="5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石油・石炭製品</w:t>
            </w:r>
          </w:p>
        </w:tc>
        <w:tc>
          <w:tcPr>
            <w:tcW w:type="dxa" w:w="5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1社</w:t>
            </w:r>
          </w:p>
        </w:tc>
      </w:tr>
    </w:tbl>
    <w:p>
      <w:pPr>
        <w:spacing w:after="60" w:before="150"/>
      </w:pPr>
      <w:r>
        <w:rPr>
          <w:rFonts w:ascii="Yu Gothic" w:cs="Yu Gothic" w:eastAsia="Yu Gothic" w:hAnsi="Yu Gothic"/>
          <w:b/>
          <w:bCs/>
          <w:i w:val="false"/>
          <w:iCs w:val="false"/>
          <w:color w:val="5B6373"/>
          <w:sz w:val="16"/>
          <w:szCs w:val="16"/>
        </w:rPr>
        <w:t xml:space="preserve">市場区分と規模区分</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3"/>
        <w:gridCol w:w="2553"/>
        <w:gridCol w:w="2550"/>
        <w:gridCol w:w="2550"/>
      </w:tblGrid>
      <w:tr>
        <w:trPr>
          <w:tblHeader/>
        </w:trPr>
        <w:tc>
          <w:tcPr>
            <w:tcW w:type="dxa" w:w="2553"/>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市場</w:t>
            </w:r>
          </w:p>
        </w:tc>
        <w:tc>
          <w:tcPr>
            <w:tcW w:type="dxa" w:w="2553"/>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社数</w:t>
            </w:r>
          </w:p>
        </w:tc>
        <w:tc>
          <w:tcPr>
            <w:tcW w:type="dxa" w:w="255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規模区分</w:t>
            </w:r>
          </w:p>
        </w:tc>
        <w:tc>
          <w:tcPr>
            <w:tcW w:type="dxa" w:w="255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社数</w:t>
            </w:r>
          </w:p>
        </w:tc>
      </w:tr>
      <w:tr>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プライム</w:t>
            </w:r>
          </w:p>
        </w:tc>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10社</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区分なし</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9社</w:t>
            </w:r>
          </w:p>
        </w:tc>
      </w:tr>
      <w:tr>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スタンダード</w:t>
            </w:r>
          </w:p>
        </w:tc>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8社</w:t>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TOPIX Small 2</w:t>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5社</w:t>
            </w:r>
          </w:p>
        </w:tc>
      </w:tr>
      <w:tr>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グロース</w:t>
            </w:r>
          </w:p>
        </w:tc>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TOPIX Small 1</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4社</w:t>
            </w:r>
          </w:p>
        </w:tc>
      </w:tr>
      <w:tr>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TOPIX Mid400</w:t>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bl>
    <w:p>
      <w:pPr>
        <w:spacing w:after="60" w:before="150"/>
      </w:pPr>
      <w:r>
        <w:rPr>
          <w:rFonts w:ascii="Yu Gothic" w:cs="Yu Gothic" w:eastAsia="Yu Gothic" w:hAnsi="Yu Gothic"/>
          <w:b/>
          <w:bCs/>
          <w:i w:val="false"/>
          <w:iCs w:val="false"/>
          <w:color w:val="5B6373"/>
          <w:sz w:val="16"/>
          <w:szCs w:val="16"/>
        </w:rPr>
        <w:t xml:space="preserve">バリュエーションの分布（20社 対 母集団）</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6"/>
      </w:tblGrid>
      <w:tr>
        <w:trPr>
          <w:tblHeader/>
        </w:trPr>
        <w:tc>
          <w:tcPr>
            <w:tcW w:type="dxa" w:w="3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指標</w:t>
            </w:r>
          </w:p>
        </w:tc>
        <w:tc>
          <w:tcPr>
            <w:tcW w:type="dxa" w:w="3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選定20社</w:t>
            </w:r>
          </w:p>
        </w:tc>
        <w:tc>
          <w:tcPr>
            <w:tcW w:type="dxa" w:w="34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母集団</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PER 中央値</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8.5倍</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16.2倍</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PBR 中央値</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1.05倍</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1.33倍</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PBR 1倍割れの比率</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45%</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31%</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時価総額 中央値</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382億円</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ROE 中央値</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12.3%</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w:t>
            </w:r>
          </w:p>
        </w:tc>
      </w:tr>
    </w:tbl>
    <w:p>
      <w:pPr>
        <w:pageBreakBefore/>
      </w:pPr>
    </w:p>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11. この方式は機能するか（自己検証）</w:t>
      </w:r>
    </w:p>
    <w:p>
      <w:pPr>
        <w:spacing w:after="130" w:before="0" w:line="300"/>
        <w:jc w:val="left"/>
      </w:pPr>
      <w:r>
        <w:rPr>
          <w:rFonts w:ascii="Yu Gothic" w:cs="Yu Gothic" w:eastAsia="Yu Gothic" w:hAnsi="Yu Gothic"/>
          <w:b w:val="false"/>
          <w:bCs w:val="false"/>
          <w:i w:val="false"/>
          <w:iCs w:val="false"/>
          <w:color w:val="1B1F27"/>
          <w:sz w:val="18"/>
          <w:szCs w:val="18"/>
        </w:rPr>
        <w:t xml:space="preserve">有価証券報告書の提出日を基準に4軸を計算し、その後の株価だけで結果を測る。提出時点で知り得た情報しか使っていないので、後知恵にはならない。</w:t>
      </w:r>
    </w:p>
    <w:p>
      <w:pPr>
        <w:spacing w:after="60" w:before="150"/>
      </w:pPr>
      <w:r>
        <w:rPr>
          <w:rFonts w:ascii="Yu Gothic" w:cs="Yu Gothic" w:eastAsia="Yu Gothic" w:hAnsi="Yu Gothic"/>
          <w:b/>
          <w:bCs/>
          <w:i w:val="false"/>
          <w:iCs w:val="false"/>
          <w:color w:val="5B6373"/>
          <w:sz w:val="16"/>
          <w:szCs w:val="16"/>
        </w:rPr>
        <w:t xml:space="preserve">検証コホート</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500"/>
        <w:gridCol w:w="1600"/>
        <w:gridCol w:w="3306"/>
      </w:tblGrid>
      <w:tr>
        <w:trPr>
          <w:tblHeader/>
        </w:trPr>
        <w:tc>
          <w:tcPr>
            <w:tcW w:type="dxa" w:w="19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コホート</w:t>
            </w:r>
          </w:p>
        </w:tc>
        <w:tc>
          <w:tcPr>
            <w:tcW w:type="dxa" w:w="19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基準日</w:t>
            </w:r>
          </w:p>
        </w:tc>
        <w:tc>
          <w:tcPr>
            <w:tcW w:type="dxa" w:w="15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対象社数</w:t>
            </w:r>
          </w:p>
        </w:tc>
        <w:tc>
          <w:tcPr>
            <w:tcW w:type="dxa" w:w="16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測定期間</w:t>
            </w:r>
          </w:p>
        </w:tc>
        <w:tc>
          <w:tcPr>
            <w:tcW w:type="dxa" w:w="33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位置づけ</w:t>
            </w:r>
          </w:p>
        </w:tc>
      </w:tr>
      <w:tr>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FY2024</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2024-06-28</w:t>
            </w:r>
          </w:p>
        </w:tc>
        <w:tc>
          <w:tcPr>
            <w:tcW w:type="dxa" w:w="1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2,256社</w:t>
            </w:r>
          </w:p>
        </w:tc>
        <w:tc>
          <w:tcPr>
            <w:tcW w:type="dxa" w:w="1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252営業日</w:t>
            </w:r>
          </w:p>
        </w:tc>
        <w:tc>
          <w:tcPr>
            <w:tcW w:type="dxa" w:w="3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主検証</w:t>
            </w:r>
          </w:p>
        </w:tc>
      </w:tr>
      <w:tr>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FY2025</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2025-06-26</w:t>
            </w:r>
          </w:p>
        </w:tc>
        <w:tc>
          <w:tcPr>
            <w:tcW w:type="dxa" w:w="15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1,779社</w:t>
            </w:r>
          </w:p>
        </w:tc>
        <w:tc>
          <w:tcPr>
            <w:tcW w:type="dxa" w:w="1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126営業日</w:t>
            </w:r>
          </w:p>
        </w:tc>
        <w:tc>
          <w:tcPr>
            <w:tcW w:type="dxa" w:w="3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副検証（期間が短い）</w:t>
            </w:r>
          </w:p>
        </w:tc>
      </w:tr>
      <w:tr>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FY2023</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2023-06-30</w:t>
            </w:r>
          </w:p>
        </w:tc>
        <w:tc>
          <w:tcPr>
            <w:tcW w:type="dxa" w:w="1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2,183社</w:t>
            </w:r>
          </w:p>
        </w:tc>
        <w:tc>
          <w:tcPr>
            <w:tcW w:type="dxa" w:w="1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252営業日</w:t>
            </w:r>
          </w:p>
        </w:tc>
        <w:tc>
          <w:tcPr>
            <w:tcW w:type="dxa" w:w="3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参考（前期比が取れずChange軸が退化）</w:t>
            </w:r>
          </w:p>
        </w:tc>
      </w:tr>
    </w:tbl>
    <w:p>
      <w:pPr>
        <w:pStyle w:val="Heading2"/>
        <w:spacing w:after="115" w:before="280"/>
      </w:pPr>
      <w:r>
        <w:rPr>
          <w:rFonts w:ascii="Yu Gothic" w:cs="Yu Gothic" w:eastAsia="Yu Gothic" w:hAnsi="Yu Gothic"/>
          <w:b/>
          <w:bCs/>
          <w:i w:val="false"/>
          <w:iCs w:val="false"/>
          <w:color w:val="1B1F27"/>
          <w:sz w:val="21"/>
          <w:szCs w:val="21"/>
        </w:rPr>
        <w:t xml:space="preserve">11-1. 軸ごとの予測力（順位相関）</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6"/>
        <w:gridCol w:w="2000"/>
        <w:gridCol w:w="2000"/>
        <w:gridCol w:w="2000"/>
      </w:tblGrid>
      <w:tr>
        <w:trPr>
          <w:tblHeader/>
        </w:trPr>
        <w:tc>
          <w:tcPr>
            <w:tcW w:type="dxa" w:w="42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
            </w:r>
          </w:p>
        </w:tc>
        <w:tc>
          <w:tcPr>
            <w:tcW w:type="dxa" w:w="20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FY2024/252日</w:t>
            </w:r>
          </w:p>
        </w:tc>
        <w:tc>
          <w:tcPr>
            <w:tcW w:type="dxa" w:w="20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FY2025/126日</w:t>
            </w:r>
          </w:p>
        </w:tc>
        <w:tc>
          <w:tcPr>
            <w:tcW w:type="dxa" w:w="20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FY2023/252日</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① Moat（QMJ Profitability）</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-0.009</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-0.187</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-0.132</w:t>
            </w:r>
          </w:p>
        </w:tc>
      </w:tr>
      <w:tr>
        <w:tc>
          <w:tcPr>
            <w:tcW w:type="dxa" w:w="4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② Change（Piotroski F-Score）</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+0.036</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+0.109</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+0.041</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③ Future（研究開発集約度）</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-0.041</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+0.276</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+0.131</w:t>
            </w:r>
          </w:p>
        </w:tc>
      </w:tr>
      <w:tr>
        <w:tc>
          <w:tcPr>
            <w:tcW w:type="dxa" w:w="4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④ Price（E/P・B/M・EBIT/EV）</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+0.237</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+0.397</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+0.420</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合成＝本方式</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+0.101</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+0.241</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+0.200</w:t>
            </w:r>
          </w:p>
        </w:tc>
      </w:tr>
      <w:tr>
        <w:tc>
          <w:tcPr>
            <w:tcW w:type="dxa" w:w="4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参考: マジックフォーミュラ単体</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+0.159</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+0.062</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+0.131</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参考: 自作式で組んだ場合</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+0.092</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+0.204</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+0.141</w:t>
            </w:r>
          </w:p>
        </w:tc>
      </w:tr>
    </w:tbl>
    <w:p>
      <w:pPr>
        <w:spacing w:after="150" w:before="110" w:line="285"/>
      </w:pPr>
      <w:r>
        <w:rPr>
          <w:rFonts w:ascii="Yu Gothic" w:cs="Yu Gothic" w:eastAsia="Yu Gothic" w:hAnsi="Yu Gothic"/>
          <w:b w:val="false"/>
          <w:bCs w:val="false"/>
          <w:i w:val="false"/>
          <w:iCs w:val="false"/>
          <w:color w:val="5B6373"/>
          <w:sz w:val="16"/>
          <w:szCs w:val="16"/>
        </w:rPr>
        <w:t xml:space="preserve">順位相関は、スコアの順位とその後のリターンの順位がどれだけ一致したか。軸単体では符号が安定しないものもあるが、合成すると安定する。これは4軸に分けて平均する設計の狙いどおりの挙動である。</w:t>
      </w:r>
    </w:p>
    <w:p>
      <w:pPr>
        <w:pStyle w:val="Heading2"/>
        <w:spacing w:after="115" w:before="280"/>
      </w:pPr>
      <w:r>
        <w:rPr>
          <w:rFonts w:ascii="Yu Gothic" w:cs="Yu Gothic" w:eastAsia="Yu Gothic" w:hAnsi="Yu Gothic"/>
          <w:b/>
          <w:bCs/>
          <w:i w:val="false"/>
          <w:iCs w:val="false"/>
          <w:color w:val="1B1F27"/>
          <w:sz w:val="21"/>
          <w:szCs w:val="21"/>
        </w:rPr>
        <w:t xml:space="preserve">11-2. 十分位スプレッド</w:t>
      </w:r>
    </w:p>
    <w:p>
      <w:pPr>
        <w:spacing w:after="150" w:before="110" w:line="285"/>
      </w:pPr>
      <w:r>
        <w:rPr>
          <w:rFonts w:ascii="Yu Gothic" w:cs="Yu Gothic" w:eastAsia="Yu Gothic" w:hAnsi="Yu Gothic"/>
          <w:b w:val="false"/>
          <w:bCs w:val="false"/>
          <w:i w:val="false"/>
          <w:iCs w:val="false"/>
          <w:color w:val="5B6373"/>
          <w:sz w:val="16"/>
          <w:szCs w:val="16"/>
        </w:rPr>
        <w:t xml:space="preserve">母集団を総合点で10等分し、上位10%の平均リターン − 下位10%の平均リターン。</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6"/>
        <w:gridCol w:w="2000"/>
        <w:gridCol w:w="2000"/>
        <w:gridCol w:w="2000"/>
      </w:tblGrid>
      <w:tr>
        <w:trPr>
          <w:tblHeader/>
        </w:trPr>
        <w:tc>
          <w:tcPr>
            <w:tcW w:type="dxa" w:w="42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
            </w:r>
          </w:p>
        </w:tc>
        <w:tc>
          <w:tcPr>
            <w:tcW w:type="dxa" w:w="20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FY2024</w:t>
            </w:r>
          </w:p>
        </w:tc>
        <w:tc>
          <w:tcPr>
            <w:tcW w:type="dxa" w:w="20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FY2025</w:t>
            </w:r>
          </w:p>
        </w:tc>
        <w:tc>
          <w:tcPr>
            <w:tcW w:type="dxa" w:w="20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FY2023</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① Moat（QMJ Profitability）</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-7.0pt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-14.9pt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-6.5pt</w:t>
            </w:r>
          </w:p>
        </w:tc>
      </w:tr>
      <w:tr>
        <w:tc>
          <w:tcPr>
            <w:tcW w:type="dxa" w:w="4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② Change（Piotroski F-Score）</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-1.6pt</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+10.4pt</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+11.1pt</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③ Future（研究開発集約度）</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+0.7pt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+18.2pt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+10.7pt</w:t>
            </w:r>
          </w:p>
        </w:tc>
      </w:tr>
      <w:tr>
        <w:tc>
          <w:tcPr>
            <w:tcW w:type="dxa" w:w="4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④ Price（E/P・B/M・EBIT/EV）</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+25.4pt</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+36.8pt</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+56.2pt</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合成＝本方式</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+10.7pt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+29.7pt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+31.4pt</w:t>
            </w:r>
          </w:p>
        </w:tc>
      </w:tr>
      <w:tr>
        <w:tc>
          <w:tcPr>
            <w:tcW w:type="dxa" w:w="4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参考: マジックフォーミュラ単体</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+11.8pt</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+8.9pt</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+22.1pt</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参考: 自作式で組んだ場合</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+15.1pt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+23.2pt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+26.9pt</w:t>
            </w:r>
          </w:p>
        </w:tc>
      </w:tr>
    </w:tbl>
    <w:p>
      <w:pPr>
        <w:pStyle w:val="Heading2"/>
        <w:spacing w:after="115" w:before="280"/>
      </w:pPr>
      <w:r>
        <w:rPr>
          <w:rFonts w:ascii="Yu Gothic" w:cs="Yu Gothic" w:eastAsia="Yu Gothic" w:hAnsi="Yu Gothic"/>
          <w:b/>
          <w:bCs/>
          <w:i w:val="false"/>
          <w:iCs w:val="false"/>
          <w:color w:val="1B1F27"/>
          <w:sz w:val="21"/>
          <w:szCs w:val="21"/>
        </w:rPr>
        <w:t xml:space="preserve">11-3. 20社ポートフォリオの実績</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6"/>
        <w:gridCol w:w="2200"/>
        <w:gridCol w:w="2300"/>
        <w:gridCol w:w="2300"/>
      </w:tblGrid>
      <w:tr>
        <w:trPr>
          <w:tblHeader/>
        </w:trPr>
        <w:tc>
          <w:tcPr>
            <w:tcW w:type="dxa" w:w="34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
            </w:r>
          </w:p>
        </w:tc>
        <w:tc>
          <w:tcPr>
            <w:tcW w:type="dxa" w:w="22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FY2024/252日</w:t>
            </w:r>
          </w:p>
        </w:tc>
        <w:tc>
          <w:tcPr>
            <w:tcW w:type="dxa" w:w="23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FY2025/126日</w:t>
            </w:r>
          </w:p>
        </w:tc>
        <w:tc>
          <w:tcPr>
            <w:tcW w:type="dxa" w:w="23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FY2023/252日</w:t>
            </w:r>
          </w:p>
        </w:tc>
      </w:tr>
      <w:tr>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ユニバース等加重（比較の基準）</w:t>
            </w:r>
          </w:p>
        </w:tc>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+11.3%</w:t>
            </w:r>
          </w:p>
        </w:tc>
        <w:tc>
          <w:tcPr>
            <w:tcW w:type="dxa" w:w="2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+18.5%</w:t>
            </w:r>
          </w:p>
        </w:tc>
        <w:tc>
          <w:tcPr>
            <w:tcW w:type="dxa" w:w="2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+10.2%</w:t>
            </w:r>
          </w:p>
        </w:tc>
      </w:tr>
      <w:tr>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本方式の20社</w:t>
            </w:r>
          </w:p>
        </w:tc>
        <w:tc>
          <w:tcPr>
            <w:tcW w:type="dxa" w:w="2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+16.2%</w:t>
            </w:r>
          </w:p>
        </w:tc>
        <w:tc>
          <w:tcPr>
            <w:tcW w:type="dxa" w:w="2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+55.1%</w:t>
            </w:r>
          </w:p>
        </w:tc>
        <w:tc>
          <w:tcPr>
            <w:tcW w:type="dxa" w:w="2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+55.1%</w:t>
            </w:r>
          </w:p>
        </w:tc>
      </w:tr>
      <w:tr>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参考: 自作式版の20社</w:t>
            </w:r>
          </w:p>
        </w:tc>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+21.1%</w:t>
            </w:r>
          </w:p>
        </w:tc>
        <w:tc>
          <w:tcPr>
            <w:tcW w:type="dxa" w:w="2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+47.9%</w:t>
            </w:r>
          </w:p>
        </w:tc>
        <w:tc>
          <w:tcPr>
            <w:tcW w:type="dxa" w:w="2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+26.6%</w:t>
            </w:r>
          </w:p>
        </w:tc>
      </w:tr>
      <w:tr>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参考: マジックフォーミュラの20社</w:t>
            </w:r>
          </w:p>
        </w:tc>
        <w:tc>
          <w:tcPr>
            <w:tcW w:type="dxa" w:w="2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+1.3%</w:t>
            </w:r>
          </w:p>
        </w:tc>
        <w:tc>
          <w:tcPr>
            <w:tcW w:type="dxa" w:w="2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+39.5%</w:t>
            </w:r>
          </w:p>
        </w:tc>
        <w:tc>
          <w:tcPr>
            <w:tcW w:type="dxa" w:w="2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+29.4%</w:t>
            </w:r>
          </w:p>
        </w:tc>
      </w:tr>
      <w:tr>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本方式の超過リターン</w:t>
            </w:r>
          </w:p>
        </w:tc>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+4.9pt</w:t>
            </w:r>
          </w:p>
        </w:tc>
        <w:tc>
          <w:tcPr>
            <w:tcW w:type="dxa" w:w="2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+36.6pt</w:t>
            </w:r>
          </w:p>
        </w:tc>
        <w:tc>
          <w:tcPr>
            <w:tcW w:type="dxa" w:w="2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+44.8pt</w:t>
            </w:r>
          </w:p>
        </w:tc>
      </w:tr>
      <w:tr>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同・ブートストラップ95%区間</w:t>
            </w:r>
          </w:p>
        </w:tc>
        <w:tc>
          <w:tcPr>
            <w:tcW w:type="dxa" w:w="2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0〜36%</w:t>
            </w:r>
          </w:p>
        </w:tc>
        <w:tc>
          <w:tcPr>
            <w:tcW w:type="dxa" w:w="2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32〜85%</w:t>
            </w:r>
          </w:p>
        </w:tc>
        <w:tc>
          <w:tcPr>
            <w:tcW w:type="dxa" w:w="2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26〜88%</w:t>
            </w:r>
          </w:p>
        </w:tc>
      </w:tr>
    </w:tbl>
    <w:p>
      <w:pPr>
        <w:spacing w:after="150" w:before="110" w:line="285"/>
      </w:pPr>
      <w:r>
        <w:rPr>
          <w:rFonts w:ascii="Yu Gothic" w:cs="Yu Gothic" w:eastAsia="Yu Gothic" w:hAnsi="Yu Gothic"/>
          <w:b w:val="false"/>
          <w:bCs w:val="false"/>
          <w:i w:val="false"/>
          <w:iCs w:val="false"/>
          <w:color w:val="5B6373"/>
          <w:sz w:val="16"/>
          <w:szCs w:val="16"/>
        </w:rPr>
        <w:t xml:space="preserve">ブートストラップ95%区間は、20社を重複ありで選び直す試行を2,000回繰り返して得た平均リターンの範囲。20社という少なさの不確かさを表す。</w:t>
      </w:r>
    </w:p>
    <w:p>
      <w:pPr>
        <w:pStyle w:val="Heading2"/>
        <w:spacing w:after="115" w:before="280"/>
      </w:pPr>
      <w:r>
        <w:rPr>
          <w:rFonts w:ascii="Yu Gothic" w:cs="Yu Gothic" w:eastAsia="Yu Gothic" w:hAnsi="Yu Gothic"/>
          <w:b/>
          <w:bCs/>
          <w:i w:val="false"/>
          <w:iCs w:val="false"/>
          <w:color w:val="1B1F27"/>
          <w:sz w:val="21"/>
          <w:szCs w:val="21"/>
        </w:rPr>
        <w:t xml:space="preserve">11-4. 偶然との比較・重みの感度</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ランダムに20社選んだ場合との比較: 本方式の20社は各コホートで上位 73 / 100 / 100 パーセンタイルに入った。選抜は偶然では説明できない。</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ただしランダム20社そのものの標準偏差が8〜10ポイントある。20社という粒度では、1年の結果はかなりの部分が運で決まることも同時に意味する。</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4軸の重みを300通りに振り直すと結果の幅は 47pt / 54pt / 73pt。等重み25%はその中で 19 / 82 / 49 パーセンタイルに位置する。「25%ずつだから頑健」とは言えず、「特定の軸に賭けないための、説明しやすい既定値」と理解すべきである。</w:t>
      </w:r>
    </w:p>
    <w:p>
      <w:pPr>
        <w:pBdr>
          <w:left w:val="single" w:color="1F5B4E" w:sz="18" w:space="10"/>
        </w:pBdr>
        <w:shd w:fill="E6F0EC" w:color="auto" w:val="clear"/>
        <w:spacing w:after="190" w:before="170" w:line="300"/>
        <w:ind w:left="130" w:right="130"/>
      </w:pPr>
      <w:r>
        <w:rPr>
          <w:rFonts w:ascii="Yu Gothic" w:cs="Yu Gothic" w:eastAsia="Yu Gothic" w:hAnsi="Yu Gothic"/>
          <w:b w:val="false"/>
          <w:bCs w:val="false"/>
          <w:i w:val="false"/>
          <w:iCs w:val="false"/>
          <w:color w:val="1B1F27"/>
          <w:sz w:val="18"/>
          <w:szCs w:val="18"/>
        </w:rPr>
        <w:t xml:space="preserve">3コホートすべてで、本方式の20社はランダムに選んだ20社を上回った。総合点の順位相関は +0.101 / +0.241 / +0.200 で、株式のスクリーニングとしては実用的な水準にある。ただし単一レジーム・実質2コホートという制約があり、「この期間ではこう機能した」以上のことは主張できない。</w:t>
      </w:r>
    </w:p>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12. 他方式との比較</w:t>
      </w:r>
    </w:p>
    <w:p>
      <w:pPr>
        <w:spacing w:after="130" w:before="0" w:line="300"/>
        <w:jc w:val="left"/>
      </w:pPr>
      <w:r>
        <w:rPr>
          <w:rFonts w:ascii="Yu Gothic" w:cs="Yu Gothic" w:eastAsia="Yu Gothic" w:hAnsi="Yu Gothic"/>
          <w:b w:val="false"/>
          <w:bCs w:val="false"/>
          <w:i w:val="false"/>
          <w:iCs w:val="false"/>
          <w:color w:val="1B1F27"/>
          <w:sz w:val="18"/>
          <w:szCs w:val="18"/>
        </w:rPr>
        <w:t xml:space="preserve">現行版（守破離の重み30/25/30/15）の20社、および自作式版の20社と比べる。</w:t>
      </w:r>
    </w:p>
    <w:p>
      <w:pPr>
        <w:spacing w:after="130" w:before="0" w:line="300"/>
        <w:jc w:val="left"/>
      </w:pPr>
      <w:r>
        <w:rPr>
          <w:rFonts w:ascii="Yu Gothic" w:cs="Yu Gothic" w:eastAsia="Yu Gothic" w:hAnsi="Yu Gothic"/>
          <w:b w:val="false"/>
          <w:bCs w:val="false"/>
          <w:i w:val="false"/>
          <w:iCs w:val="false"/>
          <w:color w:val="1B1F27"/>
          <w:sz w:val="18"/>
          <w:szCs w:val="18"/>
        </w:rPr>
        <w:t xml:space="preserve">本方式の20社と現行版20社の重複は0社、自作式版20社との重複は6社である。方式を変えることは、銘柄の入れ替えではなくポートフォリオの総入れ替えを意味する。</w:t>
      </w:r>
    </w:p>
    <w:p>
      <w:pPr>
        <w:spacing w:after="130" w:before="0" w:line="300"/>
        <w:jc w:val="left"/>
      </w:pPr>
      <w:r>
        <w:rPr>
          <w:rFonts w:ascii="Yu Gothic" w:cs="Yu Gothic" w:eastAsia="Yu Gothic" w:hAnsi="Yu Gothic"/>
          <w:b w:val="false"/>
          <w:bCs w:val="false"/>
          <w:i w:val="false"/>
          <w:iCs w:val="false"/>
          <w:color w:val="1B1F27"/>
          <w:sz w:val="18"/>
          <w:szCs w:val="18"/>
        </w:rPr>
        <w:t xml:space="preserve">なお自作式版と本方式は、母集団全体では総合点の順位相関が0.80〜0.87あり、大枠では同じような会社を上位に置いている。差が出るのは主にFuture軸で、両者の順位相関は0.42〜0.48しかない。</w:t>
      </w:r>
    </w:p>
    <w:p>
      <w:pPr>
        <w:spacing w:after="60" w:before="150"/>
      </w:pPr>
      <w:r>
        <w:rPr>
          <w:rFonts w:ascii="Yu Gothic" w:cs="Yu Gothic" w:eastAsia="Yu Gothic" w:hAnsi="Yu Gothic"/>
          <w:b/>
          <w:bCs/>
          <w:i w:val="false"/>
          <w:iCs w:val="false"/>
          <w:color w:val="5B6373"/>
          <w:sz w:val="16"/>
          <w:szCs w:val="16"/>
        </w:rPr>
        <w:t xml:space="preserve">両ポートフォリオを同じ4軸で採点したときの中央値</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6"/>
      </w:tblGrid>
      <w:tr>
        <w:trPr>
          <w:tblHeader/>
        </w:trPr>
        <w:tc>
          <w:tcPr>
            <w:tcW w:type="dxa" w:w="3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軸</w:t>
            </w:r>
          </w:p>
        </w:tc>
        <w:tc>
          <w:tcPr>
            <w:tcW w:type="dxa" w:w="3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現行版20社</w:t>
            </w:r>
          </w:p>
        </w:tc>
        <w:tc>
          <w:tcPr>
            <w:tcW w:type="dxa" w:w="34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本方式20社</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Moat</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81.3</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Change</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92.0</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Future</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90.3</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Price</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87.0</w:t>
            </w:r>
          </w:p>
        </w:tc>
      </w:tr>
    </w:tbl>
    <w:p>
      <w:pPr>
        <w:spacing w:after="60" w:before="150"/>
      </w:pPr>
      <w:r>
        <w:rPr>
          <w:rFonts w:ascii="Yu Gothic" w:cs="Yu Gothic" w:eastAsia="Yu Gothic" w:hAnsi="Yu Gothic"/>
          <w:b/>
          <w:bCs/>
          <w:i w:val="false"/>
          <w:iCs w:val="false"/>
          <w:color w:val="5B6373"/>
          <w:sz w:val="16"/>
          <w:szCs w:val="16"/>
        </w:rPr>
        <w:t xml:space="preserve">銘柄の重なり</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806"/>
        <w:gridCol w:w="3400"/>
      </w:tblGrid>
      <w:tr>
        <w:trPr>
          <w:tblHeader/>
        </w:trPr>
        <w:tc>
          <w:tcPr>
            <w:tcW w:type="dxa" w:w="68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比較対象</w:t>
            </w:r>
          </w:p>
        </w:tc>
        <w:tc>
          <w:tcPr>
            <w:tcW w:type="dxa" w:w="3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重複</w:t>
            </w:r>
          </w:p>
        </w:tc>
      </w:tr>
      <w:tr>
        <w:tc>
          <w:tcPr>
            <w:tcW w:type="dxa" w:w="6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現行版（守破離30/25/30/15）の20社</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0社</w:t>
            </w:r>
          </w:p>
        </w:tc>
      </w:tr>
      <w:tr>
        <w:tc>
          <w:tcPr>
            <w:tcW w:type="dxa" w:w="6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自作式版の20社</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6社</w:t>
            </w:r>
          </w:p>
        </w:tc>
      </w:tr>
    </w:tbl>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13. 限界と注意点</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自己検証に使った3つのコホートは、いずれも2023〜2026年の同じ相場に属する。この期間の日本株は東証のPBR改善要請を背景にした歴史的なバリュー・小型株優位局面であり、割安さが強く効き収益性が効かなかったのは、この局面の性質である可能性が高い。独立した3つの証拠ではなく、実質1つの証拠と数えるべきである。</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4軸すべてが計算できる完全なコホートは実質2つ（FY2024・FY2025）である。FY2023は時点パネルの初年度で前期比が取れず、Change軸が退化している。</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③ Future軸は「イノベーションへの投資量」を測るものであって、「構造変化の恩恵を受けるか」そのものではない。後者を直接測る学術指標は存在するが（特許テキストを用いる手法）、日本企業・手元データでは実装できないため研究開発集約度で代替している。</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研究開発費を開示していない約35%の企業を0として扱っている。業種分布から妥当と判断したが、サービス業などで「研究開発はしているが記載義務がない」ケースを0にしている可能性は残る。</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有利子負債の取得率は82%で、残りは負債ゼロとみなしてEBIT/EVを計算している。</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PERは最新の有価証券報告書の当期純利益を用いている。提出後に業績が変化した会社では直近12か月ベースのPERと差が出る。上位に入った銘柄は直近四半期の利益動向を必ず確認すること。</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投資枠500万円・1銘柄上限8%の制約から、1単元が40万円を超える310社は選抜対象から外れている。大型株の一部が構造的に選ばれないという、資金量に依存する制約である。</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時点パネルは提出済みの有価証券報告書から構築しているため、上場廃止企業が抜けている（生存者バイアス）。</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本スクリーニングは選定ロジックの提示であり、将来の運用成績を約束するものではない。STOCKリーグの審査ではリターンは採点対象外であり、本書は選定の再現性と説明可能性を示すためのものである。</w:t>
      </w:r>
    </w:p>
    <w:p>
      <w:pPr>
        <w:pStyle w:val="Heading1"/>
        <w:pBdr>
          <w:bottom w:val="single" w:color="1F5B4E" w:sz="8" w:space="6"/>
        </w:pBdr>
        <w:spacing w:after="170" w:before="380"/>
      </w:pPr>
      <w:r>
        <w:rPr>
          <w:rFonts w:ascii="Yu Gothic" w:cs="Yu Gothic" w:eastAsia="Yu Gothic" w:hAnsi="Yu Gothic"/>
          <w:b/>
          <w:bCs/>
          <w:i w:val="false"/>
          <w:iCs w:val="false"/>
          <w:color w:val="1F5B4E"/>
          <w:sz w:val="26"/>
          <w:szCs w:val="26"/>
        </w:rPr>
        <w:t xml:space="preserve">14. 再現手順</w:t>
      </w:r>
    </w:p>
    <w:p>
      <w:pPr>
        <w:spacing w:after="130" w:before="0" w:line="300"/>
        <w:jc w:val="left"/>
      </w:pPr>
      <w:r>
        <w:rPr>
          <w:rFonts w:ascii="Yu Gothic" w:cs="Yu Gothic" w:eastAsia="Yu Gothic" w:hAnsi="Yu Gothic"/>
          <w:b w:val="false"/>
          <w:bCs w:val="false"/>
          <w:i w:val="false"/>
          <w:iCs w:val="false"/>
          <w:color w:val="1B1F27"/>
          <w:sz w:val="18"/>
          <w:szCs w:val="18"/>
        </w:rPr>
        <w:t xml:space="preserve">本書の数値はすべて次のコードから生成されている。</w:t>
      </w:r>
    </w:p>
    <w:p>
      <w:pPr>
        <w:shd w:fill="F2F4F8" w:color="auto" w:val="clear"/>
        <w:spacing w:after="0" w:before="140" w:line="265"/>
        <w:ind w:left="130" w:right="130"/>
      </w:pPr>
      <w:r>
        <w:rPr>
          <w:rFonts w:ascii="SFMono-Regular" w:cs="SFMono-Regular" w:eastAsia="SFMono-Regular" w:hAnsi="SFMono-Regular"/>
          <w:color w:val="1B1F27"/>
          <w:sz w:val="15"/>
          <w:szCs w:val="15"/>
        </w:rPr>
        <w:t xml:space="preserve">python3 work/new_4axis_screen/11_extract_ev_fields.py --all-years  # 追加項目の抽出</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uv run python work/new_4axis_screen/09_fetch_shares.py    # 実勢株数</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uv run python work/new_4axis_screen/09b_retry_shares.py   # 取りこぼしの再取得</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python3 work/new_4axis_screen/12_established_only.py      # 自己検証</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python3 work/new_4axis_screen/13_established_current.py   # 20社の確定</w:t>
      </w:r>
    </w:p>
    <w:p>
      <w:pPr>
        <w:shd w:fill="F2F4F8" w:color="auto" w:val="clear"/>
        <w:spacing w:after="160" w:before="0" w:line="265"/>
        <w:ind w:left="130" w:right="130"/>
      </w:pPr>
      <w:r>
        <w:rPr>
          <w:rFonts w:ascii="SFMono-Regular" w:cs="SFMono-Regular" w:eastAsia="SFMono-Regular" w:hAnsi="SFMono-Regular"/>
          <w:color w:val="1B1F27"/>
          <w:sz w:val="15"/>
          <w:szCs w:val="15"/>
        </w:rPr>
        <w:t xml:space="preserve">python3 work/new_4axis_screen/10_build_docx.py            # 本レポート</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6806"/>
      </w:tblGrid>
      <w:tr>
        <w:trPr>
          <w:tblHeader/>
        </w:trPr>
        <w:tc>
          <w:tcPr>
            <w:tcW w:type="dxa" w:w="3400"/>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出力ファイル</w:t>
            </w:r>
          </w:p>
        </w:tc>
        <w:tc>
          <w:tcPr>
            <w:tcW w:type="dxa" w:w="6806"/>
            <w:tcBorders>
              <w:top w:val="single" w:color="C9CEDA" w:sz="2"/>
              <w:left w:val="none" w:color="FFFFFF" w:sz="0"/>
              <w:bottom w:val="single" w:color="C9CEDA" w:sz="2"/>
              <w:right w:val="none" w:color="FFFFFF" w:sz="0"/>
            </w:tcBorders>
            <w:shd w:fill="E6F0EC"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内容</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established_top20.csv</w:t>
            </w:r>
          </w:p>
        </w:tc>
        <w:tc>
          <w:tcPr>
            <w:tcW w:type="dxa" w:w="6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選定20社と軸スコア・投資額</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established_all_eligible.csv</w:t>
            </w:r>
          </w:p>
        </w:tc>
        <w:tc>
          <w:tcPr>
            <w:tcW w:type="dxa" w:w="6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母集団全社の軸スコア</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established_current_summary.json</w:t>
            </w:r>
          </w:p>
        </w:tc>
        <w:tc>
          <w:tcPr>
            <w:tcW w:type="dxa" w:w="6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ファネル・カバレッジ・実効寄与</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established_summary.json</w:t>
            </w:r>
          </w:p>
        </w:tc>
        <w:tc>
          <w:tcPr>
            <w:tcW w:type="dxa" w:w="6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自己検証（順位相関・十分位・20社実績）</w:t>
            </w:r>
          </w:p>
        </w:tc>
      </w:tr>
    </w:tbl>
    <w:p>
      <w:pPr>
        <w:pBdr>
          <w:top w:val="single" w:color="C9CEDA" w:sz="6" w:space="8"/>
        </w:pBdr>
        <w:spacing w:before="420"/>
      </w:pPr>
      <w:r>
        <w:rPr>
          <w:rFonts w:ascii="Yu Gothic" w:cs="Yu Gothic" w:eastAsia="Yu Gothic" w:hAnsi="Yu Gothic"/>
          <w:b w:val="false"/>
          <w:bCs w:val="false"/>
          <w:i w:val="false"/>
          <w:iCs w:val="false"/>
          <w:color w:val="5B6373"/>
          <w:sz w:val="15"/>
          <w:szCs w:val="15"/>
        </w:rPr>
        <w:t xml:space="preserve">正典: outputs/stockleague_edition/ESTABLISHED_FORMULA_FEASIBILITY_v1.md ／ 検証: NEW4AXIS_AUDIT_v1.md</w:t>
      </w:r>
    </w:p>
    <w:sectPr>
      <w:footerReference w:type="default" r:id="rId7"/>
      <w:pgSz w:w="11906" w:h="16838" w:orient="portrait"/>
      <w:pgMar w:top="1000" w:right="850" w:bottom="10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5B6373"/>
        <w:sz w:val="15"/>
        <w:szCs w:val="15"/>
      </w:rPr>
      <w:t xml:space="preserve">既存式版</w:t>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B1F2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8f3626b14eea7cdb8f5f01b46f3a28955742415.png"/><Relationship Id="rId9" Type="http://schemas.openxmlformats.org/officeDocument/2006/relationships/image" Target="media/572b6056c6b4504150d9a5ed2d527790c56b4676.png"/><Relationship Id="rId10" Type="http://schemas.openxmlformats.org/officeDocument/2006/relationships/image" Target="media/2b04f6bfcb371e843549e8d3786cd807042550a0.png"/><Relationship Id="rId11" Type="http://schemas.openxmlformats.org/officeDocument/2006/relationships/image" Target="media/c6fe14b6b9bc6cb80b80e84bcd3b76197423458e.png"/><Relationship Id="rId12" Type="http://schemas.openxmlformats.org/officeDocument/2006/relationships/image" Target="media/3ea7a1d0fe67f14eb84823eb5202e4570e91e415.png"/><Relationship Id="rId13" Type="http://schemas.openxmlformats.org/officeDocument/2006/relationships/image" Target="media/3d607c35e14169b81b465c29b6516ff3c120f5b5.png"/><Relationship Id="rId14" Type="http://schemas.openxmlformats.org/officeDocument/2006/relationships/image" Target="media/4cf242cb468106b389caa75a884164d5aaa510a0.png"/><Relationship Id="rId15" Type="http://schemas.openxmlformats.org/officeDocument/2006/relationships/image" Target="media/55bb7fa5472e13567b79fcc91f2e08db7548b200.png"/><Relationship Id="rId16" Type="http://schemas.openxmlformats.org/officeDocument/2006/relationships/image" Target="media/cd4cc9be27a0c88c674d968c485c8d56b156467c.png"/><Relationship Id="rId17" Type="http://schemas.openxmlformats.org/officeDocument/2006/relationships/image" Target="media/ac1efb1a5e3c5297eda4de30dd1aecaeaf3d665b.png"/><Relationship Id="rId18" Type="http://schemas.openxmlformats.org/officeDocument/2006/relationships/image" Target="media/5ef33c82d2a45be24a75ce5f52c6cb102f7cc9a0.png"/><Relationship Id="rId19" Type="http://schemas.openxmlformats.org/officeDocument/2006/relationships/image" Target="media/b7da515dbafeaf5d2af33284ce9a843629623fe4.png"/><Relationship Id="rId20" Type="http://schemas.openxmlformats.org/officeDocument/2006/relationships/image" Target="media/87b656dcd21572fa296968438e74b1a8c78e77de.png"/><Relationship Id="rId21" Type="http://schemas.openxmlformats.org/officeDocument/2006/relationships/image" Target="media/659db4ef52c3eab3f584a697ac873f3744d9ecdc.png"/><Relationship Id="rId22" Type="http://schemas.openxmlformats.org/officeDocument/2006/relationships/image" Target="media/8afa4461ce8b20a1526506400730811cd825548b.png"/><Relationship Id="rId23" Type="http://schemas.openxmlformats.org/officeDocument/2006/relationships/image" Target="media/311d1c008a96c9c2f3e82cec8e62619e035a034d.png"/><Relationship Id="rId24" Type="http://schemas.openxmlformats.org/officeDocument/2006/relationships/image" Target="media/1aab8659b93c1db56ab1d292beb6cbe082eccd73.png"/><Relationship Id="rId25" Type="http://schemas.openxmlformats.org/officeDocument/2006/relationships/image" Target="media/d39aa9040064fdbf67a35007019bc7a78dbb2e2d.png"/><Relationship Id="rId26" Type="http://schemas.openxmlformats.org/officeDocument/2006/relationships/image" Target="media/7c3be6a77da7e15185f8dc12027a4302f77a0ab6.png"/><Relationship Id="rId27" Type="http://schemas.openxmlformats.org/officeDocument/2006/relationships/image" Target="media/6a8a3e2690032f875c58e5047e07068e2dad779c.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2026-08-17T12:58:51.666Z</dcterms:created>
  <dcterms:modified xsi:type="dcterms:W3CDTF">2026-08-17T12:58:51.667Z</dcterms:modified>
</cp:coreProperties>
</file>

<file path=docProps/custom.xml><?xml version="1.0" encoding="utf-8"?>
<Properties xmlns="http://schemas.openxmlformats.org/officeDocument/2006/custom-properties" xmlns:vt="http://schemas.openxmlformats.org/officeDocument/2006/docPropsVTypes"/>
</file>