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BD66D" w14:textId="77777777" w:rsidR="00C61272" w:rsidRDefault="00F71778">
      <w:pPr>
        <w:spacing w:before="200" w:after="400"/>
      </w:pPr>
      <w:r>
        <w:rPr>
          <w:noProof/>
        </w:rPr>
        <w:drawing>
          <wp:inline distT="0" distB="0" distL="0" distR="0" wp14:anchorId="3FF7601E" wp14:editId="102F293B">
            <wp:extent cx="1333500" cy="323850"/>
            <wp:effectExtent l="0" t="0" r="0" b="0"/>
            <wp:docPr id="1" name="kota-logo" descr="Kota company logo" title="Ko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323850"/>
                    </a:xfrm>
                    <a:prstGeom prst="rect">
                      <a:avLst/>
                    </a:prstGeom>
                  </pic:spPr>
                </pic:pic>
              </a:graphicData>
            </a:graphic>
          </wp:inline>
        </w:drawing>
      </w:r>
    </w:p>
    <w:p w14:paraId="2E7DCAAC" w14:textId="77777777" w:rsidR="00C61272" w:rsidRDefault="00C61272">
      <w:pPr>
        <w:spacing w:before="200"/>
      </w:pPr>
    </w:p>
    <w:p w14:paraId="2AD4EF5E" w14:textId="1DEC249E" w:rsidR="00C61272" w:rsidRDefault="004E0896">
      <w:pPr>
        <w:spacing w:after="300"/>
        <w:jc w:val="center"/>
      </w:pPr>
      <w:r>
        <w:rPr>
          <w:noProof/>
        </w:rPr>
        <w:drawing>
          <wp:inline distT="0" distB="0" distL="0" distR="0" wp14:anchorId="07457314" wp14:editId="1DE1F0CC">
            <wp:extent cx="2997200" cy="2997200"/>
            <wp:effectExtent l="0" t="0" r="0" b="0"/>
            <wp:docPr id="16544111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11109" name="Graphic 1654411109"/>
                    <pic:cNvPicPr/>
                  </pic:nvPicPr>
                  <pic:blipFill>
                    <a:blip r:embed="rId8">
                      <a:extLst>
                        <a:ext uri="{96DAC541-7B7A-43D3-8B79-37D633B846F1}">
                          <asvg:svgBlip xmlns:asvg="http://schemas.microsoft.com/office/drawing/2016/SVG/main" r:embed="rId9"/>
                        </a:ext>
                      </a:extLst>
                    </a:blip>
                    <a:stretch>
                      <a:fillRect/>
                    </a:stretch>
                  </pic:blipFill>
                  <pic:spPr>
                    <a:xfrm>
                      <a:off x="0" y="0"/>
                      <a:ext cx="2998392" cy="2998392"/>
                    </a:xfrm>
                    <a:prstGeom prst="rect">
                      <a:avLst/>
                    </a:prstGeom>
                  </pic:spPr>
                </pic:pic>
              </a:graphicData>
            </a:graphic>
          </wp:inline>
        </w:drawing>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C61272" w14:paraId="192100B5" w14:textId="77777777" w:rsidTr="0059594E">
        <w:tblPrEx>
          <w:tblCellMar>
            <w:top w:w="0" w:type="dxa"/>
            <w:bottom w:w="0" w:type="dxa"/>
          </w:tblCellMar>
        </w:tblPrEx>
        <w:tc>
          <w:tcPr>
            <w:tcW w:w="10466" w:type="dxa"/>
            <w:tcBorders>
              <w:top w:val="none" w:sz="0" w:space="0" w:color="FFFFFF"/>
              <w:left w:val="none" w:sz="0" w:space="0" w:color="FFFFFF"/>
              <w:bottom w:val="none" w:sz="0" w:space="0" w:color="FFFFFF"/>
              <w:right w:val="none" w:sz="0" w:space="0" w:color="FFFFFF"/>
            </w:tcBorders>
            <w:shd w:val="clear" w:color="auto" w:fill="672CDD"/>
            <w:tcMar>
              <w:top w:w="300" w:type="dxa"/>
              <w:left w:w="400" w:type="dxa"/>
              <w:bottom w:w="300" w:type="dxa"/>
              <w:right w:w="400" w:type="dxa"/>
            </w:tcMar>
          </w:tcPr>
          <w:p w14:paraId="45EFBC8B" w14:textId="33792D7B" w:rsidR="00C61272" w:rsidRDefault="00F71778">
            <w:r>
              <w:rPr>
                <w:b/>
                <w:bCs/>
                <w:color w:val="FFFFFF"/>
                <w:sz w:val="36"/>
                <w:szCs w:val="36"/>
              </w:rPr>
              <w:t xml:space="preserve">Compliance Review of </w:t>
            </w:r>
            <w:r w:rsidR="00277191">
              <w:rPr>
                <w:b/>
                <w:bCs/>
                <w:color w:val="FFFFFF"/>
                <w:sz w:val="36"/>
                <w:szCs w:val="36"/>
              </w:rPr>
              <w:t>Embed Hubs</w:t>
            </w:r>
          </w:p>
        </w:tc>
      </w:tr>
    </w:tbl>
    <w:p w14:paraId="2224DBEC" w14:textId="77777777" w:rsidR="00C61272" w:rsidRDefault="00C61272">
      <w:pPr>
        <w:spacing w:before="3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C61272" w14:paraId="14FDC7A9" w14:textId="77777777">
        <w:tblPrEx>
          <w:tblCellMar>
            <w:top w:w="0" w:type="dxa"/>
            <w:bottom w:w="0" w:type="dxa"/>
          </w:tblCellMar>
        </w:tblPrEx>
        <w:tc>
          <w:tcPr>
            <w:tcW w:w="10466" w:type="dxa"/>
            <w:tcBorders>
              <w:top w:val="none" w:sz="0" w:space="0" w:color="FFFFFF"/>
              <w:left w:val="none" w:sz="0" w:space="0" w:color="FFFFFF"/>
              <w:bottom w:val="none" w:sz="0" w:space="0" w:color="FFFFFF"/>
              <w:right w:val="none" w:sz="0" w:space="0" w:color="FFFFFF"/>
            </w:tcBorders>
            <w:shd w:val="clear" w:color="auto" w:fill="F3F1F9"/>
            <w:tcMar>
              <w:top w:w="300" w:type="dxa"/>
              <w:left w:w="400" w:type="dxa"/>
              <w:bottom w:w="300" w:type="dxa"/>
              <w:right w:w="400" w:type="dxa"/>
            </w:tcMar>
          </w:tcPr>
          <w:p w14:paraId="7B15C11A" w14:textId="77777777" w:rsidR="00C61272" w:rsidRDefault="00F71778">
            <w:pPr>
              <w:spacing w:after="160"/>
            </w:pPr>
            <w:r>
              <w:rPr>
                <w:b/>
                <w:bCs/>
                <w:color w:val="2D2B3D"/>
                <w:sz w:val="36"/>
                <w:szCs w:val="36"/>
              </w:rPr>
              <w:t>DETAILS</w:t>
            </w:r>
          </w:p>
          <w:p w14:paraId="0C9DF085" w14:textId="3D5472D0" w:rsidR="00C61272" w:rsidRDefault="00F71778">
            <w:pPr>
              <w:spacing w:before="60" w:after="60" w:line="320" w:lineRule="auto"/>
            </w:pPr>
            <w:r>
              <w:rPr>
                <w:b/>
                <w:bCs/>
                <w:color w:val="2D2B3D"/>
                <w:sz w:val="24"/>
                <w:szCs w:val="24"/>
              </w:rPr>
              <w:t xml:space="preserve">Period: </w:t>
            </w:r>
            <w:r>
              <w:rPr>
                <w:color w:val="2D2B3D"/>
                <w:sz w:val="24"/>
                <w:szCs w:val="24"/>
              </w:rPr>
              <w:t>Q</w:t>
            </w:r>
            <w:r w:rsidR="00277191">
              <w:rPr>
                <w:color w:val="2D2B3D"/>
                <w:sz w:val="24"/>
                <w:szCs w:val="24"/>
              </w:rPr>
              <w:t>1</w:t>
            </w:r>
            <w:r>
              <w:rPr>
                <w:color w:val="2D2B3D"/>
                <w:sz w:val="24"/>
                <w:szCs w:val="24"/>
              </w:rPr>
              <w:t xml:space="preserve"> 202</w:t>
            </w:r>
            <w:r w:rsidR="00277191">
              <w:rPr>
                <w:color w:val="2D2B3D"/>
                <w:sz w:val="24"/>
                <w:szCs w:val="24"/>
              </w:rPr>
              <w:t>6</w:t>
            </w:r>
          </w:p>
          <w:p w14:paraId="2220CB5A" w14:textId="3DAC873B" w:rsidR="00C61272" w:rsidRDefault="00F71778">
            <w:pPr>
              <w:spacing w:before="60" w:after="60" w:line="320" w:lineRule="auto"/>
            </w:pPr>
            <w:r>
              <w:rPr>
                <w:b/>
                <w:bCs/>
                <w:color w:val="2D2B3D"/>
                <w:sz w:val="24"/>
                <w:szCs w:val="24"/>
              </w:rPr>
              <w:t>Topic</w:t>
            </w:r>
            <w:r w:rsidR="00277191">
              <w:rPr>
                <w:b/>
                <w:bCs/>
                <w:color w:val="2D2B3D"/>
                <w:sz w:val="24"/>
                <w:szCs w:val="24"/>
              </w:rPr>
              <w:t>s</w:t>
            </w:r>
            <w:r>
              <w:rPr>
                <w:b/>
                <w:bCs/>
                <w:color w:val="2D2B3D"/>
                <w:sz w:val="24"/>
                <w:szCs w:val="24"/>
              </w:rPr>
              <w:t xml:space="preserve">: </w:t>
            </w:r>
            <w:r>
              <w:rPr>
                <w:color w:val="2D2B3D"/>
                <w:sz w:val="24"/>
                <w:szCs w:val="24"/>
              </w:rPr>
              <w:t>Consumer Protectio</w:t>
            </w:r>
            <w:r>
              <w:rPr>
                <w:color w:val="2D2B3D"/>
                <w:sz w:val="24"/>
                <w:szCs w:val="24"/>
              </w:rPr>
              <w:t>n</w:t>
            </w:r>
            <w:r w:rsidR="00277191">
              <w:rPr>
                <w:color w:val="2D2B3D"/>
                <w:sz w:val="24"/>
                <w:szCs w:val="24"/>
              </w:rPr>
              <w:t>, Insurance Distribution, Data Protection</w:t>
            </w:r>
          </w:p>
          <w:p w14:paraId="5F25F58A" w14:textId="77777777" w:rsidR="00C61272" w:rsidRDefault="00F71778">
            <w:pPr>
              <w:spacing w:before="120" w:after="60"/>
            </w:pPr>
            <w:r>
              <w:rPr>
                <w:b/>
                <w:bCs/>
                <w:color w:val="2D2B3D"/>
                <w:sz w:val="24"/>
                <w:szCs w:val="24"/>
              </w:rPr>
              <w:t>To:</w:t>
            </w:r>
          </w:p>
          <w:p w14:paraId="4E4991AA" w14:textId="7AA2499C" w:rsidR="00C61272" w:rsidRDefault="00277191">
            <w:pPr>
              <w:spacing w:before="40" w:after="40" w:line="320" w:lineRule="auto"/>
              <w:ind w:left="360"/>
            </w:pPr>
            <w:r>
              <w:rPr>
                <w:color w:val="2D2B3D"/>
                <w:sz w:val="22"/>
                <w:szCs w:val="22"/>
              </w:rPr>
              <w:t>Kate Fullen</w:t>
            </w:r>
            <w:r w:rsidR="00F71778">
              <w:rPr>
                <w:color w:val="2D2B3D"/>
                <w:sz w:val="22"/>
                <w:szCs w:val="22"/>
              </w:rPr>
              <w:t xml:space="preserve">, </w:t>
            </w:r>
            <w:r>
              <w:rPr>
                <w:color w:val="2D2B3D"/>
                <w:sz w:val="22"/>
                <w:szCs w:val="22"/>
              </w:rPr>
              <w:t>General Manager – Kota Embed</w:t>
            </w:r>
          </w:p>
          <w:p w14:paraId="7765FB20" w14:textId="3B5B30E4" w:rsidR="00C61272" w:rsidRDefault="00277191">
            <w:pPr>
              <w:spacing w:before="40" w:after="40" w:line="320" w:lineRule="auto"/>
              <w:ind w:left="360"/>
            </w:pPr>
            <w:r>
              <w:rPr>
                <w:color w:val="2D2B3D"/>
                <w:sz w:val="22"/>
                <w:szCs w:val="22"/>
              </w:rPr>
              <w:t>Joshua Ellwood</w:t>
            </w:r>
            <w:r w:rsidR="00F71778">
              <w:rPr>
                <w:color w:val="2D2B3D"/>
                <w:sz w:val="22"/>
                <w:szCs w:val="22"/>
              </w:rPr>
              <w:t xml:space="preserve">, </w:t>
            </w:r>
            <w:r>
              <w:rPr>
                <w:color w:val="2D2B3D"/>
                <w:sz w:val="22"/>
                <w:szCs w:val="22"/>
              </w:rPr>
              <w:t>Embed Operations Associate</w:t>
            </w:r>
          </w:p>
          <w:p w14:paraId="1E5FE8B2" w14:textId="77777777" w:rsidR="00C61272" w:rsidRDefault="00F71778">
            <w:pPr>
              <w:spacing w:before="120" w:after="60"/>
            </w:pPr>
            <w:r>
              <w:rPr>
                <w:b/>
                <w:bCs/>
                <w:color w:val="2D2B3D"/>
                <w:sz w:val="24"/>
                <w:szCs w:val="24"/>
              </w:rPr>
              <w:t>CC:</w:t>
            </w:r>
          </w:p>
          <w:p w14:paraId="606EC80F" w14:textId="77777777" w:rsidR="00C61272" w:rsidRDefault="00F71778">
            <w:pPr>
              <w:spacing w:before="40" w:after="40" w:line="320" w:lineRule="auto"/>
              <w:ind w:left="360"/>
            </w:pPr>
            <w:r>
              <w:rPr>
                <w:color w:val="2D2B3D"/>
                <w:sz w:val="22"/>
                <w:szCs w:val="22"/>
              </w:rPr>
              <w:t>Luke Mackey, CEO</w:t>
            </w:r>
          </w:p>
        </w:tc>
      </w:tr>
    </w:tbl>
    <w:p w14:paraId="66E15A8F" w14:textId="77777777" w:rsidR="00C61272" w:rsidRDefault="00C61272">
      <w:pPr>
        <w:sectPr w:rsidR="00C61272">
          <w:pgSz w:w="11906" w:h="16838"/>
          <w:pgMar w:top="720" w:right="720" w:bottom="720" w:left="720" w:header="708" w:footer="708" w:gutter="0"/>
          <w:cols w:space="720"/>
          <w:docGrid w:linePitch="360"/>
        </w:sectPr>
      </w:pPr>
    </w:p>
    <w:p w14:paraId="6E5C1AAE" w14:textId="77777777" w:rsidR="00C61272" w:rsidRDefault="00F71778">
      <w:pPr>
        <w:pBdr>
          <w:left w:val="single" w:sz="12" w:space="8" w:color="6729DD"/>
        </w:pBdr>
        <w:spacing w:before="360" w:after="200"/>
        <w:ind w:left="120"/>
      </w:pPr>
      <w:r>
        <w:rPr>
          <w:b/>
          <w:bCs/>
          <w:color w:val="2D2B3D"/>
          <w:sz w:val="28"/>
          <w:szCs w:val="28"/>
        </w:rPr>
        <w:lastRenderedPageBreak/>
        <w:t>INTRODUCTION</w:t>
      </w:r>
    </w:p>
    <w:p w14:paraId="5E787347" w14:textId="2EAF256E" w:rsidR="00C61272" w:rsidRDefault="00F71778">
      <w:pPr>
        <w:spacing w:before="80" w:after="80" w:line="300" w:lineRule="auto"/>
        <w:jc w:val="both"/>
      </w:pPr>
      <w:r>
        <w:rPr>
          <w:color w:val="2D2B3D"/>
        </w:rPr>
        <w:t>This Terms of Reference (</w:t>
      </w:r>
      <w:proofErr w:type="spellStart"/>
      <w:r>
        <w:rPr>
          <w:color w:val="2D2B3D"/>
        </w:rPr>
        <w:t>ToR</w:t>
      </w:r>
      <w:proofErr w:type="spellEnd"/>
      <w:r>
        <w:rPr>
          <w:color w:val="2D2B3D"/>
        </w:rPr>
        <w:t xml:space="preserve">) outlines the scope, objectives, and methodology for a compliance audit of </w:t>
      </w:r>
      <w:r w:rsidR="003D7E57">
        <w:rPr>
          <w:color w:val="2D2B3D"/>
        </w:rPr>
        <w:t>Embed Hubs</w:t>
      </w:r>
      <w:r>
        <w:rPr>
          <w:color w:val="2D2B3D"/>
        </w:rPr>
        <w:t xml:space="preserve"> in Kota. </w:t>
      </w:r>
      <w:r w:rsidR="003D7E57">
        <w:rPr>
          <w:color w:val="2D2B3D"/>
        </w:rPr>
        <w:t xml:space="preserve">Embed Hubs are customer facing information portals hosted on a subdomain. The hubs serve as a resource centers </w:t>
      </w:r>
      <w:r w:rsidR="00A20A18">
        <w:rPr>
          <w:color w:val="2D2B3D"/>
        </w:rPr>
        <w:t>employers and employe</w:t>
      </w:r>
      <w:r w:rsidR="00FD1376">
        <w:rPr>
          <w:color w:val="2D2B3D"/>
        </w:rPr>
        <w:t>es</w:t>
      </w:r>
      <w:r w:rsidR="00A20A18">
        <w:rPr>
          <w:color w:val="2D2B3D"/>
        </w:rPr>
        <w:t xml:space="preserve"> of Embed customers</w:t>
      </w:r>
      <w:r w:rsidR="00FD1376">
        <w:rPr>
          <w:color w:val="2D2B3D"/>
        </w:rPr>
        <w:t xml:space="preserve"> can use to learn about available insurance plans, p</w:t>
      </w:r>
      <w:r w:rsidR="00300C92">
        <w:rPr>
          <w:color w:val="2D2B3D"/>
        </w:rPr>
        <w:t>ricing</w:t>
      </w:r>
      <w:r w:rsidR="00FD1376">
        <w:rPr>
          <w:color w:val="2D2B3D"/>
        </w:rPr>
        <w:t xml:space="preserve">, provider details and benefits content. Content on embed hubs is currently managed by Embed Ops, with Josh Ellwood building dedicated hubs for each client. </w:t>
      </w:r>
      <w:r>
        <w:rPr>
          <w:color w:val="2D2B3D"/>
        </w:rPr>
        <w:t xml:space="preserve"> </w:t>
      </w:r>
      <w:r>
        <w:rPr>
          <w:color w:val="2D2B3D"/>
        </w:rPr>
        <w:t>The audit will assess compliance with relevant UK and Irish regulatory requirements, including the Financial Conduct Authority (FCA) in the UK and the Central Bank of Ireland (CBI) regulations.</w:t>
      </w:r>
    </w:p>
    <w:p w14:paraId="4DEB648D" w14:textId="77777777" w:rsidR="00C61272" w:rsidRDefault="00F71778">
      <w:pPr>
        <w:pBdr>
          <w:left w:val="single" w:sz="12" w:space="8" w:color="6729DD"/>
        </w:pBdr>
        <w:spacing w:before="360" w:after="200"/>
        <w:ind w:left="120"/>
      </w:pPr>
      <w:r>
        <w:rPr>
          <w:b/>
          <w:bCs/>
          <w:color w:val="2D2B3D"/>
          <w:sz w:val="28"/>
          <w:szCs w:val="28"/>
        </w:rPr>
        <w:t>REQUIREMENTS</w:t>
      </w:r>
    </w:p>
    <w:p w14:paraId="5A7D556E" w14:textId="0A5523B9" w:rsidR="00C61272" w:rsidRDefault="00F71778">
      <w:pPr>
        <w:spacing w:before="80" w:after="80" w:line="300" w:lineRule="auto"/>
        <w:jc w:val="both"/>
      </w:pPr>
      <w:r>
        <w:rPr>
          <w:color w:val="2D2B3D"/>
        </w:rPr>
        <w:t xml:space="preserve">Kota is required to comply with relevant regulatory requirements in relation to </w:t>
      </w:r>
      <w:r w:rsidR="00300C92">
        <w:rPr>
          <w:color w:val="2D2B3D"/>
        </w:rPr>
        <w:t>embed hubs</w:t>
      </w:r>
      <w:r>
        <w:rPr>
          <w:color w:val="2D2B3D"/>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1272" w14:paraId="4FE79924" w14:textId="77777777">
        <w:tblPrEx>
          <w:tblCellMar>
            <w:top w:w="0" w:type="dxa"/>
            <w:bottom w:w="0" w:type="dxa"/>
          </w:tblCellMar>
        </w:tblPrEx>
        <w:tc>
          <w:tcPr>
            <w:tcW w:w="9746" w:type="dxa"/>
            <w:tcBorders>
              <w:top w:val="single" w:sz="1" w:space="0" w:color="D4D0E0"/>
              <w:left w:val="single" w:sz="4" w:space="0" w:color="8B5CF6"/>
              <w:bottom w:val="none" w:sz="0" w:space="0" w:color="FFFFFF"/>
              <w:right w:val="none" w:sz="0" w:space="0" w:color="FFFFFF"/>
            </w:tcBorders>
            <w:shd w:val="clear" w:color="auto" w:fill="F3F1F9"/>
            <w:tcMar>
              <w:top w:w="60" w:type="dxa"/>
              <w:left w:w="200" w:type="dxa"/>
              <w:bottom w:w="60" w:type="dxa"/>
              <w:right w:w="120" w:type="dxa"/>
            </w:tcMar>
          </w:tcPr>
          <w:p w14:paraId="15433F7F" w14:textId="5130E982" w:rsidR="00C61272" w:rsidRPr="00300C92" w:rsidRDefault="00FD1376">
            <w:pPr>
              <w:rPr>
                <w:b/>
                <w:bCs/>
              </w:rPr>
            </w:pPr>
            <w:r w:rsidRPr="00300C92">
              <w:rPr>
                <w:b/>
                <w:bCs/>
                <w:color w:val="2D2B3D"/>
                <w:sz w:val="20"/>
                <w:szCs w:val="20"/>
              </w:rPr>
              <w:t>Revised Consumer Protection Code</w:t>
            </w:r>
          </w:p>
        </w:tc>
      </w:tr>
      <w:tr w:rsidR="00FD1376" w14:paraId="08D8CD21" w14:textId="77777777">
        <w:tblPrEx>
          <w:tblCellMar>
            <w:top w:w="0" w:type="dxa"/>
            <w:bottom w:w="0" w:type="dxa"/>
          </w:tblCellMar>
        </w:tblPrEx>
        <w:tc>
          <w:tcPr>
            <w:tcW w:w="9746" w:type="dxa"/>
            <w:tcBorders>
              <w:top w:val="none" w:sz="0" w:space="0" w:color="FFFFFF"/>
              <w:left w:val="single" w:sz="4" w:space="0" w:color="8B5CF6"/>
              <w:bottom w:val="none" w:sz="0" w:space="0" w:color="FFFFFF"/>
              <w:right w:val="none" w:sz="0" w:space="0" w:color="FFFFFF"/>
            </w:tcBorders>
            <w:shd w:val="clear" w:color="auto" w:fill="F3F1F9"/>
            <w:tcMar>
              <w:top w:w="60" w:type="dxa"/>
              <w:left w:w="200" w:type="dxa"/>
              <w:bottom w:w="60" w:type="dxa"/>
              <w:right w:w="120" w:type="dxa"/>
            </w:tcMar>
          </w:tcPr>
          <w:p w14:paraId="02EAE827" w14:textId="6F8F8704" w:rsidR="00FD1376" w:rsidRDefault="00FD1376" w:rsidP="00FD1376">
            <w:r>
              <w:rPr>
                <w:b/>
                <w:bCs/>
                <w:color w:val="2D2B3D"/>
                <w:sz w:val="20"/>
                <w:szCs w:val="20"/>
              </w:rPr>
              <w:t>CBI Guidance on Securing Customers’ Interests</w:t>
            </w:r>
          </w:p>
        </w:tc>
      </w:tr>
      <w:tr w:rsidR="00C61272" w14:paraId="0380A4EF" w14:textId="77777777">
        <w:tblPrEx>
          <w:tblCellMar>
            <w:top w:w="0" w:type="dxa"/>
            <w:bottom w:w="0" w:type="dxa"/>
          </w:tblCellMar>
        </w:tblPrEx>
        <w:tc>
          <w:tcPr>
            <w:tcW w:w="9746" w:type="dxa"/>
            <w:tcBorders>
              <w:top w:val="none" w:sz="0" w:space="0" w:color="FFFFFF"/>
              <w:left w:val="single" w:sz="4" w:space="0" w:color="8B5CF6"/>
              <w:bottom w:val="none" w:sz="0" w:space="0" w:color="FFFFFF"/>
              <w:right w:val="none" w:sz="0" w:space="0" w:color="FFFFFF"/>
            </w:tcBorders>
            <w:shd w:val="clear" w:color="auto" w:fill="F3F1F9"/>
            <w:tcMar>
              <w:top w:w="60" w:type="dxa"/>
              <w:left w:w="200" w:type="dxa"/>
              <w:bottom w:w="60" w:type="dxa"/>
              <w:right w:w="120" w:type="dxa"/>
            </w:tcMar>
          </w:tcPr>
          <w:p w14:paraId="00421DDF" w14:textId="0219337A" w:rsidR="00C61272" w:rsidRPr="00E2091D" w:rsidRDefault="00E2091D">
            <w:pPr>
              <w:rPr>
                <w:b/>
                <w:bCs/>
              </w:rPr>
            </w:pPr>
            <w:r w:rsidRPr="00E2091D">
              <w:rPr>
                <w:b/>
                <w:bCs/>
              </w:rPr>
              <w:t>Insurance Distribution Regulations 2018</w:t>
            </w:r>
          </w:p>
        </w:tc>
      </w:tr>
      <w:tr w:rsidR="00C61272" w14:paraId="03CF268F" w14:textId="77777777" w:rsidTr="00BA0E30">
        <w:tblPrEx>
          <w:tblCellMar>
            <w:top w:w="0" w:type="dxa"/>
            <w:bottom w:w="0" w:type="dxa"/>
          </w:tblCellMar>
        </w:tblPrEx>
        <w:tc>
          <w:tcPr>
            <w:tcW w:w="9746" w:type="dxa"/>
            <w:tcBorders>
              <w:top w:val="none" w:sz="0" w:space="0" w:color="FFFFFF"/>
              <w:left w:val="single" w:sz="4" w:space="0" w:color="8B5CF6"/>
              <w:bottom w:val="none" w:sz="0" w:space="0" w:color="FFFFFF"/>
              <w:right w:val="none" w:sz="0" w:space="0" w:color="FFFFFF"/>
            </w:tcBorders>
            <w:shd w:val="clear" w:color="auto" w:fill="F3F1F9"/>
            <w:tcMar>
              <w:top w:w="60" w:type="dxa"/>
              <w:left w:w="200" w:type="dxa"/>
              <w:bottom w:w="60" w:type="dxa"/>
              <w:right w:w="120" w:type="dxa"/>
            </w:tcMar>
          </w:tcPr>
          <w:p w14:paraId="142C5540" w14:textId="77777777" w:rsidR="00C61272" w:rsidRDefault="00F71778">
            <w:r>
              <w:rPr>
                <w:b/>
                <w:bCs/>
                <w:color w:val="2D2B3D"/>
                <w:sz w:val="20"/>
                <w:szCs w:val="20"/>
              </w:rPr>
              <w:t>FCA Consumer Duty</w:t>
            </w:r>
          </w:p>
        </w:tc>
      </w:tr>
      <w:tr w:rsidR="00BA0E30" w14:paraId="72A38656" w14:textId="77777777" w:rsidTr="00BA0E30">
        <w:tblPrEx>
          <w:tblCellMar>
            <w:top w:w="0" w:type="dxa"/>
            <w:bottom w:w="0" w:type="dxa"/>
          </w:tblCellMar>
        </w:tblPrEx>
        <w:tc>
          <w:tcPr>
            <w:tcW w:w="9746" w:type="dxa"/>
            <w:tcBorders>
              <w:top w:val="none" w:sz="0" w:space="0" w:color="FFFFFF"/>
              <w:left w:val="single" w:sz="4" w:space="0" w:color="8B5CF6"/>
              <w:bottom w:val="none" w:sz="0" w:space="0" w:color="FFFFFF"/>
              <w:right w:val="none" w:sz="0" w:space="0" w:color="FFFFFF"/>
            </w:tcBorders>
            <w:shd w:val="clear" w:color="auto" w:fill="F3F1F9"/>
            <w:tcMar>
              <w:top w:w="60" w:type="dxa"/>
              <w:left w:w="200" w:type="dxa"/>
              <w:bottom w:w="60" w:type="dxa"/>
              <w:right w:w="120" w:type="dxa"/>
            </w:tcMar>
          </w:tcPr>
          <w:p w14:paraId="17C4C418" w14:textId="0295C468" w:rsidR="00BA0E30" w:rsidRDefault="00BA0E30">
            <w:pPr>
              <w:rPr>
                <w:b/>
                <w:bCs/>
                <w:color w:val="2D2B3D"/>
                <w:sz w:val="20"/>
                <w:szCs w:val="20"/>
              </w:rPr>
            </w:pPr>
            <w:r>
              <w:rPr>
                <w:b/>
                <w:bCs/>
                <w:color w:val="2D2B3D"/>
                <w:sz w:val="20"/>
                <w:szCs w:val="20"/>
              </w:rPr>
              <w:t>EU &amp; UK General Data Protection Regulation</w:t>
            </w:r>
          </w:p>
        </w:tc>
      </w:tr>
      <w:tr w:rsidR="00BA0E30" w14:paraId="39650F3E" w14:textId="77777777" w:rsidTr="00BA0E30">
        <w:tblPrEx>
          <w:tblCellMar>
            <w:top w:w="0" w:type="dxa"/>
            <w:bottom w:w="0" w:type="dxa"/>
          </w:tblCellMar>
        </w:tblPrEx>
        <w:tc>
          <w:tcPr>
            <w:tcW w:w="9746" w:type="dxa"/>
            <w:tcBorders>
              <w:top w:val="none" w:sz="0" w:space="0" w:color="FFFFFF"/>
              <w:left w:val="single" w:sz="4" w:space="0" w:color="8B5CF6"/>
              <w:bottom w:val="none" w:sz="0" w:space="0" w:color="FFFFFF"/>
              <w:right w:val="none" w:sz="0" w:space="0" w:color="FFFFFF"/>
            </w:tcBorders>
            <w:shd w:val="clear" w:color="auto" w:fill="F3F1F9"/>
            <w:tcMar>
              <w:top w:w="60" w:type="dxa"/>
              <w:left w:w="200" w:type="dxa"/>
              <w:bottom w:w="60" w:type="dxa"/>
              <w:right w:w="120" w:type="dxa"/>
            </w:tcMar>
          </w:tcPr>
          <w:p w14:paraId="15DC2430" w14:textId="54832EA0" w:rsidR="00BA0E30" w:rsidRDefault="00BA0E30">
            <w:pPr>
              <w:rPr>
                <w:b/>
                <w:bCs/>
                <w:color w:val="2D2B3D"/>
                <w:sz w:val="20"/>
                <w:szCs w:val="20"/>
              </w:rPr>
            </w:pPr>
            <w:r>
              <w:rPr>
                <w:b/>
                <w:bCs/>
                <w:color w:val="2D2B3D"/>
                <w:sz w:val="20"/>
                <w:szCs w:val="20"/>
              </w:rPr>
              <w:t>FCA Handbook</w:t>
            </w:r>
          </w:p>
        </w:tc>
      </w:tr>
    </w:tbl>
    <w:p w14:paraId="3D06F92B" w14:textId="77777777" w:rsidR="00C61272" w:rsidRDefault="00C61272">
      <w:pPr>
        <w:spacing w:before="120" w:after="80"/>
      </w:pPr>
    </w:p>
    <w:p w14:paraId="4F91A975" w14:textId="77777777" w:rsidR="00C61272" w:rsidRDefault="00F71778">
      <w:pPr>
        <w:spacing w:before="80" w:after="80" w:line="300" w:lineRule="auto"/>
        <w:jc w:val="both"/>
      </w:pPr>
      <w:r>
        <w:rPr>
          <w:color w:val="2D2B3D"/>
        </w:rPr>
        <w:t>The Central Bank of Ireland (the “Central Bank”) is the competent authority in Ireland for regulated entities. The Financial Conduct Authority is the competent authority in the UK for regulated entities.</w:t>
      </w:r>
    </w:p>
    <w:p w14:paraId="221EC83F" w14:textId="77777777" w:rsidR="00C61272" w:rsidRDefault="00F71778">
      <w:pPr>
        <w:pBdr>
          <w:left w:val="single" w:sz="12" w:space="8" w:color="6729DD"/>
        </w:pBdr>
        <w:spacing w:before="360" w:after="200"/>
        <w:ind w:left="120"/>
      </w:pPr>
      <w:r>
        <w:rPr>
          <w:b/>
          <w:bCs/>
          <w:color w:val="2D2B3D"/>
          <w:sz w:val="28"/>
          <w:szCs w:val="28"/>
        </w:rPr>
        <w:t>KOTA REQUIREMENTS &amp; REGULATORY EXPECTATIONS</w:t>
      </w:r>
    </w:p>
    <w:p w14:paraId="11F4CB18" w14:textId="65EE516B" w:rsidR="00C61272" w:rsidRDefault="00F71778">
      <w:pPr>
        <w:pStyle w:val="ListParagraph"/>
        <w:numPr>
          <w:ilvl w:val="0"/>
          <w:numId w:val="2"/>
        </w:numPr>
        <w:spacing w:before="60" w:after="60" w:line="300" w:lineRule="auto"/>
      </w:pPr>
      <w:r>
        <w:rPr>
          <w:color w:val="2D2B3D"/>
        </w:rPr>
        <w:t xml:space="preserve">Kota must ensure that all </w:t>
      </w:r>
      <w:r w:rsidR="00FD1376">
        <w:rPr>
          <w:color w:val="2D2B3D"/>
        </w:rPr>
        <w:t>embed hubs</w:t>
      </w:r>
      <w:r>
        <w:rPr>
          <w:color w:val="2D2B3D"/>
        </w:rPr>
        <w:t xml:space="preserve"> </w:t>
      </w:r>
      <w:r>
        <w:rPr>
          <w:color w:val="2D2B3D"/>
        </w:rPr>
        <w:t>are presented in a way that informs them effectively.</w:t>
      </w:r>
    </w:p>
    <w:p w14:paraId="771FFFA7" w14:textId="0E29A0D1" w:rsidR="00C61272" w:rsidRDefault="00F71778">
      <w:pPr>
        <w:pStyle w:val="ListParagraph"/>
        <w:numPr>
          <w:ilvl w:val="0"/>
          <w:numId w:val="2"/>
        </w:numPr>
        <w:spacing w:before="60" w:after="60" w:line="300" w:lineRule="auto"/>
      </w:pPr>
      <w:r>
        <w:rPr>
          <w:color w:val="2D2B3D"/>
        </w:rPr>
        <w:t xml:space="preserve">Appropriate disclosures and risk warnings must be in a prominent position </w:t>
      </w:r>
      <w:r w:rsidR="00FD1376">
        <w:rPr>
          <w:color w:val="2D2B3D"/>
        </w:rPr>
        <w:t>in all embed hubs</w:t>
      </w:r>
      <w:r>
        <w:rPr>
          <w:color w:val="2D2B3D"/>
        </w:rPr>
        <w:t>.</w:t>
      </w:r>
    </w:p>
    <w:p w14:paraId="5CFC77AF" w14:textId="14A5CFAD" w:rsidR="00300C92" w:rsidRPr="00300C92" w:rsidRDefault="00300C92">
      <w:pPr>
        <w:pStyle w:val="ListParagraph"/>
        <w:numPr>
          <w:ilvl w:val="0"/>
          <w:numId w:val="2"/>
        </w:numPr>
        <w:spacing w:before="60" w:after="60" w:line="300" w:lineRule="auto"/>
      </w:pPr>
      <w:r>
        <w:t>All claims made in the embed hubs must be accurate and not misleading.</w:t>
      </w:r>
    </w:p>
    <w:p w14:paraId="04338DF9" w14:textId="48F5EA34" w:rsidR="00C61272" w:rsidRDefault="00F71778">
      <w:pPr>
        <w:pStyle w:val="ListParagraph"/>
        <w:numPr>
          <w:ilvl w:val="0"/>
          <w:numId w:val="2"/>
        </w:numPr>
        <w:spacing w:before="60" w:after="60" w:line="300" w:lineRule="auto"/>
      </w:pPr>
      <w:r>
        <w:rPr>
          <w:color w:val="2D2B3D"/>
        </w:rPr>
        <w:t xml:space="preserve">Kota must describe the main features of </w:t>
      </w:r>
      <w:r w:rsidR="004F20F4">
        <w:rPr>
          <w:color w:val="2D2B3D"/>
        </w:rPr>
        <w:t xml:space="preserve">insurance </w:t>
      </w:r>
      <w:r>
        <w:rPr>
          <w:color w:val="2D2B3D"/>
        </w:rPr>
        <w:t>product</w:t>
      </w:r>
      <w:r w:rsidR="004F20F4">
        <w:rPr>
          <w:color w:val="2D2B3D"/>
        </w:rPr>
        <w:t>s</w:t>
      </w:r>
      <w:r>
        <w:rPr>
          <w:color w:val="2D2B3D"/>
        </w:rPr>
        <w:t xml:space="preserve"> in a way </w:t>
      </w:r>
      <w:r w:rsidR="004F20F4">
        <w:rPr>
          <w:color w:val="2D2B3D"/>
        </w:rPr>
        <w:t xml:space="preserve">employers and employees </w:t>
      </w:r>
      <w:r>
        <w:rPr>
          <w:color w:val="2D2B3D"/>
        </w:rPr>
        <w:t>can reasonably understand.</w:t>
      </w:r>
    </w:p>
    <w:p w14:paraId="48DA445A" w14:textId="299D36F5" w:rsidR="00C61272" w:rsidRDefault="004F20F4">
      <w:pPr>
        <w:pStyle w:val="ListParagraph"/>
        <w:numPr>
          <w:ilvl w:val="0"/>
          <w:numId w:val="2"/>
        </w:numPr>
        <w:spacing w:before="60" w:after="60" w:line="300" w:lineRule="auto"/>
      </w:pPr>
      <w:r>
        <w:rPr>
          <w:color w:val="2D2B3D"/>
        </w:rPr>
        <w:t>Embed hubs</w:t>
      </w:r>
      <w:r w:rsidR="00F71778">
        <w:rPr>
          <w:color w:val="2D2B3D"/>
        </w:rPr>
        <w:t xml:space="preserve"> should be in plain language and avoid the use of technical jargon.</w:t>
      </w:r>
    </w:p>
    <w:p w14:paraId="787D01B1" w14:textId="47EFA543" w:rsidR="00C61272" w:rsidRPr="00BA0E30" w:rsidRDefault="004F20F4">
      <w:pPr>
        <w:pStyle w:val="ListParagraph"/>
        <w:numPr>
          <w:ilvl w:val="0"/>
          <w:numId w:val="2"/>
        </w:numPr>
        <w:spacing w:before="60" w:after="60" w:line="300" w:lineRule="auto"/>
      </w:pPr>
      <w:r>
        <w:rPr>
          <w:color w:val="2D2B3D"/>
        </w:rPr>
        <w:t>Embed hubs</w:t>
      </w:r>
      <w:r w:rsidR="00F71778">
        <w:rPr>
          <w:color w:val="2D2B3D"/>
        </w:rPr>
        <w:t xml:space="preserve"> must provide all key information in good time.</w:t>
      </w:r>
    </w:p>
    <w:p w14:paraId="7995A025" w14:textId="1E7E974C" w:rsidR="00BA0E30" w:rsidRPr="00300C92" w:rsidRDefault="00BA0E30">
      <w:pPr>
        <w:pStyle w:val="ListParagraph"/>
        <w:numPr>
          <w:ilvl w:val="0"/>
          <w:numId w:val="2"/>
        </w:numPr>
        <w:spacing w:before="60" w:after="60" w:line="300" w:lineRule="auto"/>
      </w:pPr>
      <w:r>
        <w:rPr>
          <w:color w:val="2D2B3D"/>
        </w:rPr>
        <w:t>IPIDs must be easily accessible to customer</w:t>
      </w:r>
      <w:r w:rsidR="004F20F4">
        <w:rPr>
          <w:color w:val="2D2B3D"/>
        </w:rPr>
        <w:t>s at the reasonable point in the flow.</w:t>
      </w:r>
    </w:p>
    <w:p w14:paraId="4548844C" w14:textId="3F2B85C4" w:rsidR="00300C92" w:rsidRPr="00300C92" w:rsidRDefault="00300C92">
      <w:pPr>
        <w:pStyle w:val="ListParagraph"/>
        <w:numPr>
          <w:ilvl w:val="0"/>
          <w:numId w:val="2"/>
        </w:numPr>
        <w:spacing w:before="60" w:after="60" w:line="300" w:lineRule="auto"/>
      </w:pPr>
      <w:r>
        <w:rPr>
          <w:color w:val="2D2B3D"/>
        </w:rPr>
        <w:t>Embed hubs must include a link to Kota’s privacy notice.</w:t>
      </w:r>
    </w:p>
    <w:p w14:paraId="33151B39" w14:textId="7446A2CE" w:rsidR="004F20F4" w:rsidRDefault="00300C92">
      <w:pPr>
        <w:pStyle w:val="ListParagraph"/>
        <w:numPr>
          <w:ilvl w:val="0"/>
          <w:numId w:val="2"/>
        </w:numPr>
        <w:spacing w:before="60" w:after="60" w:line="300" w:lineRule="auto"/>
        <w:rPr>
          <w:color w:val="2D2B3D"/>
        </w:rPr>
      </w:pPr>
      <w:r>
        <w:rPr>
          <w:color w:val="2D2B3D"/>
        </w:rPr>
        <w:t>Embed hubs must maintain consistent quality standards across.</w:t>
      </w:r>
    </w:p>
    <w:p w14:paraId="5C278C85" w14:textId="69E8A208" w:rsidR="00300C92" w:rsidRPr="004F20F4" w:rsidRDefault="004F20F4" w:rsidP="004F20F4">
      <w:pPr>
        <w:rPr>
          <w:color w:val="2D2B3D"/>
        </w:rPr>
      </w:pPr>
      <w:r>
        <w:rPr>
          <w:color w:val="2D2B3D"/>
        </w:rPr>
        <w:br w:type="page"/>
      </w:r>
    </w:p>
    <w:p w14:paraId="6EB6CAB3" w14:textId="77777777" w:rsidR="00C61272" w:rsidRDefault="00F71778">
      <w:pPr>
        <w:pBdr>
          <w:left w:val="single" w:sz="12" w:space="8" w:color="6729DD"/>
        </w:pBdr>
        <w:spacing w:before="360" w:after="200"/>
        <w:ind w:left="120"/>
      </w:pPr>
      <w:r>
        <w:rPr>
          <w:b/>
          <w:bCs/>
          <w:color w:val="2D2B3D"/>
          <w:sz w:val="28"/>
          <w:szCs w:val="28"/>
        </w:rPr>
        <w:lastRenderedPageBreak/>
        <w:t>I</w:t>
      </w:r>
      <w:r>
        <w:rPr>
          <w:b/>
          <w:bCs/>
          <w:color w:val="2D2B3D"/>
          <w:sz w:val="28"/>
          <w:szCs w:val="28"/>
        </w:rPr>
        <w:t>NTERNAL PROCESS</w:t>
      </w:r>
    </w:p>
    <w:p w14:paraId="63CA675C" w14:textId="1FBC3119" w:rsidR="00C61272" w:rsidRDefault="004F20F4" w:rsidP="004F20F4">
      <w:pPr>
        <w:spacing w:before="80" w:after="120" w:line="300" w:lineRule="auto"/>
        <w:jc w:val="both"/>
        <w:rPr>
          <w:color w:val="2D2B3D"/>
        </w:rPr>
      </w:pPr>
      <w:r>
        <w:rPr>
          <w:color w:val="2D2B3D"/>
        </w:rPr>
        <w:t>Each embed hub will following launch process:</w:t>
      </w:r>
    </w:p>
    <w:p w14:paraId="4D8C44E0" w14:textId="7D4DAF1C" w:rsidR="004F20F4" w:rsidRDefault="004F20F4" w:rsidP="004F20F4">
      <w:pPr>
        <w:pStyle w:val="ListParagraph"/>
        <w:numPr>
          <w:ilvl w:val="0"/>
          <w:numId w:val="8"/>
        </w:numPr>
        <w:spacing w:before="80" w:after="120" w:line="300" w:lineRule="auto"/>
        <w:jc w:val="both"/>
      </w:pPr>
      <w:r>
        <w:rPr>
          <w:b/>
          <w:bCs/>
        </w:rPr>
        <w:t xml:space="preserve">Confirm Plan Set Up: </w:t>
      </w:r>
      <w:r>
        <w:t>Benefits will decide which providers and plans will be available on embed customer platforms.</w:t>
      </w:r>
    </w:p>
    <w:p w14:paraId="4B45620E" w14:textId="3E56CBD3" w:rsidR="004F20F4" w:rsidRDefault="00E60BCD" w:rsidP="004F20F4">
      <w:pPr>
        <w:pStyle w:val="ListParagraph"/>
        <w:numPr>
          <w:ilvl w:val="0"/>
          <w:numId w:val="8"/>
        </w:numPr>
        <w:spacing w:before="80" w:after="120" w:line="300" w:lineRule="auto"/>
        <w:jc w:val="both"/>
      </w:pPr>
      <w:r w:rsidRPr="00E60BCD">
        <w:rPr>
          <w:b/>
          <w:bCs/>
        </w:rPr>
        <w:t>Notion Content</w:t>
      </w:r>
      <w:r>
        <w:t>: The benefits team will draft a provider draft the provider descriptions, plan details, pricing and other relevant information. This content will serve as the content the embed hub is based on.</w:t>
      </w:r>
    </w:p>
    <w:p w14:paraId="282CE5FF" w14:textId="5D15B015" w:rsidR="00E60BCD" w:rsidRDefault="00E60BCD" w:rsidP="004F20F4">
      <w:pPr>
        <w:pStyle w:val="ListParagraph"/>
        <w:numPr>
          <w:ilvl w:val="0"/>
          <w:numId w:val="8"/>
        </w:numPr>
        <w:spacing w:before="80" w:after="120" w:line="300" w:lineRule="auto"/>
        <w:jc w:val="both"/>
      </w:pPr>
      <w:r>
        <w:rPr>
          <w:b/>
          <w:bCs/>
        </w:rPr>
        <w:t xml:space="preserve">Hub Build: </w:t>
      </w:r>
      <w:r>
        <w:t>Josh Ellwood will build the embed hub using Lovable, turning the approved Notion content into a webpage that us client facing.</w:t>
      </w:r>
    </w:p>
    <w:p w14:paraId="3D968887" w14:textId="3474AA0B" w:rsidR="00E60BCD" w:rsidRDefault="00E60BCD" w:rsidP="004F20F4">
      <w:pPr>
        <w:pStyle w:val="ListParagraph"/>
        <w:numPr>
          <w:ilvl w:val="0"/>
          <w:numId w:val="8"/>
        </w:numPr>
        <w:spacing w:before="80" w:after="120" w:line="300" w:lineRule="auto"/>
        <w:jc w:val="both"/>
      </w:pPr>
      <w:r w:rsidRPr="00E60BCD">
        <w:rPr>
          <w:b/>
          <w:bCs/>
        </w:rPr>
        <w:t>Request Subdomain</w:t>
      </w:r>
      <w:r>
        <w:t>:</w:t>
      </w:r>
      <w:r w:rsidR="00D6588C">
        <w:t xml:space="preserve"> Josh will submit a request into engineering to connect the Hub created on Lovable to a kota.io subdomain. </w:t>
      </w:r>
    </w:p>
    <w:p w14:paraId="179274BE" w14:textId="7179A091" w:rsidR="00F427F9" w:rsidRPr="00F427F9" w:rsidRDefault="00F427F9" w:rsidP="004F20F4">
      <w:pPr>
        <w:pStyle w:val="ListParagraph"/>
        <w:numPr>
          <w:ilvl w:val="0"/>
          <w:numId w:val="8"/>
        </w:numPr>
        <w:spacing w:before="80" w:after="120" w:line="300" w:lineRule="auto"/>
        <w:jc w:val="both"/>
        <w:rPr>
          <w:b/>
          <w:bCs/>
        </w:rPr>
      </w:pPr>
      <w:r w:rsidRPr="00F427F9">
        <w:rPr>
          <w:b/>
          <w:bCs/>
        </w:rPr>
        <w:t>Launch the embed hub</w:t>
      </w:r>
    </w:p>
    <w:p w14:paraId="0DB47AEC" w14:textId="77777777" w:rsidR="00C61272" w:rsidRDefault="00F71778">
      <w:pPr>
        <w:pBdr>
          <w:left w:val="single" w:sz="12" w:space="8" w:color="6729DD"/>
        </w:pBdr>
        <w:spacing w:before="360" w:after="200"/>
        <w:ind w:left="120"/>
      </w:pPr>
      <w:r>
        <w:rPr>
          <w:b/>
          <w:bCs/>
          <w:color w:val="2D2B3D"/>
          <w:sz w:val="28"/>
          <w:szCs w:val="28"/>
        </w:rPr>
        <w:t>REVIEW STEPS</w:t>
      </w:r>
    </w:p>
    <w:p w14:paraId="5FDC6BE6" w14:textId="77777777" w:rsidR="00C61272" w:rsidRDefault="00F71778">
      <w:pPr>
        <w:spacing w:before="80" w:after="80" w:line="300" w:lineRule="auto"/>
        <w:jc w:val="both"/>
      </w:pPr>
      <w:r>
        <w:rPr>
          <w:color w:val="2D2B3D"/>
        </w:rPr>
        <w:t>The audit will be conducted using the following approach:</w:t>
      </w:r>
    </w:p>
    <w:p w14:paraId="2624514A" w14:textId="77777777" w:rsidR="00C61272" w:rsidRDefault="00F71778">
      <w:pPr>
        <w:pStyle w:val="ListParagraph"/>
        <w:numPr>
          <w:ilvl w:val="0"/>
          <w:numId w:val="3"/>
        </w:numPr>
        <w:spacing w:before="60" w:after="60" w:line="300" w:lineRule="auto"/>
      </w:pPr>
      <w:r>
        <w:rPr>
          <w:b/>
          <w:bCs/>
          <w:color w:val="2D2B3D"/>
        </w:rPr>
        <w:t xml:space="preserve">Governance and Oversight: </w:t>
      </w:r>
      <w:r>
        <w:rPr>
          <w:color w:val="2D2B3D"/>
        </w:rPr>
        <w:t>Compliance will review whether policies, roles, and responsibilities in the creation of written communications to customers are being followed.</w:t>
      </w:r>
    </w:p>
    <w:p w14:paraId="5A4F4B97" w14:textId="0F35763C" w:rsidR="00C61272" w:rsidRDefault="00EB0BAC">
      <w:pPr>
        <w:pStyle w:val="ListParagraph"/>
        <w:numPr>
          <w:ilvl w:val="0"/>
          <w:numId w:val="3"/>
        </w:numPr>
        <w:spacing w:before="60" w:after="60" w:line="300" w:lineRule="auto"/>
      </w:pPr>
      <w:r>
        <w:rPr>
          <w:b/>
          <w:bCs/>
          <w:color w:val="2D2B3D"/>
        </w:rPr>
        <w:t>Lovable Embed Hub Review</w:t>
      </w:r>
      <w:r w:rsidR="00F71778">
        <w:rPr>
          <w:b/>
          <w:bCs/>
          <w:color w:val="2D2B3D"/>
        </w:rPr>
        <w:t xml:space="preserve">: </w:t>
      </w:r>
      <w:r w:rsidR="00F71778">
        <w:rPr>
          <w:color w:val="2D2B3D"/>
        </w:rPr>
        <w:t xml:space="preserve">Compliance will collect a sample of </w:t>
      </w:r>
      <w:r w:rsidR="00531153">
        <w:rPr>
          <w:color w:val="2D2B3D"/>
        </w:rPr>
        <w:t xml:space="preserve">Embed Hubs in public circulation and assess compliance with </w:t>
      </w:r>
      <w:r w:rsidR="00E204E6">
        <w:rPr>
          <w:color w:val="2D2B3D"/>
        </w:rPr>
        <w:t>the standards identified in the requirements section of this Terms of Reference.</w:t>
      </w:r>
    </w:p>
    <w:p w14:paraId="258B7292" w14:textId="77777777" w:rsidR="00C61272" w:rsidRDefault="00F71778">
      <w:pPr>
        <w:spacing w:before="200" w:after="80"/>
      </w:pPr>
      <w:r>
        <w:rPr>
          <w:b/>
          <w:bCs/>
          <w:color w:val="2D2B3D"/>
        </w:rPr>
        <w:t>Steps to be taken:</w:t>
      </w:r>
    </w:p>
    <w:p w14:paraId="16C1836F" w14:textId="72756C9C" w:rsidR="00C61272" w:rsidRDefault="00F71778">
      <w:pPr>
        <w:pStyle w:val="ListParagraph"/>
        <w:numPr>
          <w:ilvl w:val="0"/>
          <w:numId w:val="4"/>
        </w:numPr>
        <w:spacing w:before="60" w:after="60" w:line="300" w:lineRule="auto"/>
      </w:pPr>
      <w:r>
        <w:rPr>
          <w:b/>
          <w:bCs/>
          <w:color w:val="2D2B3D"/>
        </w:rPr>
        <w:t xml:space="preserve">Interviews: </w:t>
      </w:r>
      <w:r>
        <w:rPr>
          <w:color w:val="2D2B3D"/>
        </w:rPr>
        <w:t>Discussions with key personnel</w:t>
      </w:r>
      <w:r w:rsidR="00C378FB">
        <w:rPr>
          <w:color w:val="2D2B3D"/>
        </w:rPr>
        <w:t xml:space="preserve"> within the Embed function.</w:t>
      </w:r>
    </w:p>
    <w:p w14:paraId="77D70B78" w14:textId="5BE2438E" w:rsidR="00C61272" w:rsidRDefault="00DD5879" w:rsidP="00DD5879">
      <w:pPr>
        <w:pStyle w:val="ListParagraph"/>
        <w:numPr>
          <w:ilvl w:val="0"/>
          <w:numId w:val="4"/>
        </w:numPr>
        <w:spacing w:before="60" w:after="60" w:line="300" w:lineRule="auto"/>
      </w:pPr>
      <w:r>
        <w:rPr>
          <w:b/>
          <w:bCs/>
          <w:color w:val="2D2B3D"/>
        </w:rPr>
        <w:t xml:space="preserve">Embed Hub Review: </w:t>
      </w:r>
      <w:r>
        <w:rPr>
          <w:color w:val="2D2B3D"/>
        </w:rPr>
        <w:t>Examination of existing Embed hubs in public circulation.</w:t>
      </w:r>
    </w:p>
    <w:p w14:paraId="0FDFE55F" w14:textId="77777777" w:rsidR="00C61272" w:rsidRDefault="00F71778">
      <w:pPr>
        <w:pStyle w:val="ListParagraph"/>
        <w:numPr>
          <w:ilvl w:val="0"/>
          <w:numId w:val="4"/>
        </w:numPr>
        <w:spacing w:before="60" w:after="60" w:line="300" w:lineRule="auto"/>
      </w:pPr>
      <w:r>
        <w:rPr>
          <w:b/>
          <w:bCs/>
          <w:color w:val="2D2B3D"/>
        </w:rPr>
        <w:t>T</w:t>
      </w:r>
      <w:r>
        <w:rPr>
          <w:b/>
          <w:bCs/>
          <w:color w:val="2D2B3D"/>
        </w:rPr>
        <w:t xml:space="preserve">esting and Validation: </w:t>
      </w:r>
      <w:r>
        <w:rPr>
          <w:color w:val="2D2B3D"/>
        </w:rPr>
        <w:t>Verification of processes through walkthroughs and evidence checks.</w:t>
      </w:r>
    </w:p>
    <w:p w14:paraId="1B6F1AD9" w14:textId="77777777" w:rsidR="00C61272" w:rsidRDefault="00F71778">
      <w:pPr>
        <w:pBdr>
          <w:left w:val="single" w:sz="12" w:space="8" w:color="6729DD"/>
        </w:pBdr>
        <w:spacing w:before="360" w:after="200"/>
        <w:ind w:left="120"/>
      </w:pPr>
      <w:r>
        <w:rPr>
          <w:b/>
          <w:bCs/>
          <w:color w:val="2D2B3D"/>
          <w:sz w:val="28"/>
          <w:szCs w:val="28"/>
        </w:rPr>
        <w:t>KEY DELIVERABLES</w:t>
      </w:r>
    </w:p>
    <w:p w14:paraId="1065A631" w14:textId="77777777" w:rsidR="00C61272" w:rsidRDefault="00F71778">
      <w:pPr>
        <w:spacing w:before="80" w:after="80" w:line="300" w:lineRule="auto"/>
        <w:jc w:val="both"/>
      </w:pPr>
      <w:r>
        <w:rPr>
          <w:color w:val="2D2B3D"/>
        </w:rPr>
        <w:t>The audit will result in the following outputs:</w:t>
      </w:r>
    </w:p>
    <w:p w14:paraId="26A5517C" w14:textId="77777777" w:rsidR="00C61272" w:rsidRDefault="00F71778">
      <w:pPr>
        <w:pStyle w:val="ListParagraph"/>
        <w:numPr>
          <w:ilvl w:val="0"/>
          <w:numId w:val="6"/>
        </w:numPr>
        <w:spacing w:before="60" w:after="60" w:line="300" w:lineRule="auto"/>
      </w:pPr>
      <w:r>
        <w:rPr>
          <w:b/>
          <w:bCs/>
          <w:color w:val="2D2B3D"/>
        </w:rPr>
        <w:t xml:space="preserve">Audit Report: </w:t>
      </w:r>
      <w:r>
        <w:rPr>
          <w:color w:val="2D2B3D"/>
        </w:rPr>
        <w:t>Summary of findings, compliance gaps, and recommendations.</w:t>
      </w:r>
    </w:p>
    <w:p w14:paraId="57ABDCE6" w14:textId="77777777" w:rsidR="00C61272" w:rsidRDefault="00F71778">
      <w:pPr>
        <w:pBdr>
          <w:left w:val="single" w:sz="12" w:space="8" w:color="6729DD"/>
        </w:pBdr>
        <w:spacing w:before="360" w:after="200"/>
        <w:ind w:left="120"/>
      </w:pPr>
      <w:r>
        <w:rPr>
          <w:b/>
          <w:bCs/>
          <w:color w:val="2D2B3D"/>
          <w:sz w:val="28"/>
          <w:szCs w:val="28"/>
        </w:rPr>
        <w:t>REPORTING AND GOVERNANCE</w:t>
      </w:r>
    </w:p>
    <w:p w14:paraId="77464449" w14:textId="77777777" w:rsidR="00C61272" w:rsidRDefault="00F71778">
      <w:pPr>
        <w:pStyle w:val="ListParagraph"/>
        <w:numPr>
          <w:ilvl w:val="0"/>
          <w:numId w:val="7"/>
        </w:numPr>
        <w:spacing w:before="60" w:after="60" w:line="300" w:lineRule="auto"/>
      </w:pPr>
      <w:r>
        <w:rPr>
          <w:color w:val="2D2B3D"/>
        </w:rPr>
        <w:t>The audit findings will be presented to senior management and the board of directors.</w:t>
      </w:r>
    </w:p>
    <w:p w14:paraId="5DB69177" w14:textId="77777777" w:rsidR="00C61272" w:rsidRDefault="00F71778">
      <w:pPr>
        <w:pStyle w:val="ListParagraph"/>
        <w:numPr>
          <w:ilvl w:val="0"/>
          <w:numId w:val="7"/>
        </w:numPr>
        <w:spacing w:before="60" w:after="60" w:line="300" w:lineRule="auto"/>
      </w:pPr>
      <w:r>
        <w:rPr>
          <w:color w:val="2D2B3D"/>
        </w:rPr>
        <w:t>Issues and actions will be added to the issues and actions log and monitored to conclusion by the Compliance Manager.</w:t>
      </w:r>
    </w:p>
    <w:sectPr w:rsidR="00C61272">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C81A9" w14:textId="77777777" w:rsidR="00F71778" w:rsidRDefault="00F71778">
      <w:r>
        <w:separator/>
      </w:r>
    </w:p>
  </w:endnote>
  <w:endnote w:type="continuationSeparator" w:id="0">
    <w:p w14:paraId="13049091" w14:textId="77777777" w:rsidR="00F71778" w:rsidRDefault="00F71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9BE48" w14:textId="1BD4CCFE" w:rsidR="00C61272" w:rsidRDefault="00F71778">
    <w:pPr>
      <w:pBdr>
        <w:top w:val="single" w:sz="2" w:space="6" w:color="EDE9F7"/>
      </w:pBdr>
      <w:tabs>
        <w:tab w:val="right" w:pos="9026"/>
      </w:tabs>
    </w:pP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77191">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C72B3" w14:textId="77777777" w:rsidR="00F71778" w:rsidRDefault="00F71778">
      <w:r>
        <w:separator/>
      </w:r>
    </w:p>
  </w:footnote>
  <w:footnote w:type="continuationSeparator" w:id="0">
    <w:p w14:paraId="7B308B5B" w14:textId="77777777" w:rsidR="00F71778" w:rsidRDefault="00F71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51C1E" w14:textId="77777777" w:rsidR="00C61272" w:rsidRDefault="00F71778">
    <w:pPr>
      <w:pBdr>
        <w:bottom w:val="single" w:sz="4" w:space="6" w:color="8B5CF6"/>
      </w:pBdr>
      <w:tabs>
        <w:tab w:val="right" w:pos="9026"/>
      </w:tabs>
      <w:spacing w:after="120"/>
    </w:pPr>
    <w:r>
      <w:rPr>
        <w:noProof/>
      </w:rPr>
      <w:drawing>
        <wp:inline distT="0" distB="0" distL="0" distR="0" wp14:anchorId="2632F8BE" wp14:editId="0C7D4673">
          <wp:extent cx="762000" cy="190500"/>
          <wp:effectExtent l="0" t="0" r="0" b="0"/>
          <wp:docPr id="1480213959" name="header-logo" descr="Kota logo" title="K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190500"/>
                  </a:xfrm>
                  <a:prstGeom prst="rect">
                    <a:avLst/>
                  </a:prstGeom>
                </pic:spPr>
              </pic:pic>
            </a:graphicData>
          </a:graphic>
        </wp:inline>
      </w:drawing>
    </w:r>
    <w:r>
      <w:rPr>
        <w:color w:val="888888"/>
        <w:sz w:val="16"/>
        <w:szCs w:val="16"/>
      </w:rPr>
      <w:tab/>
      <w:t>Q4 2025 Compliance Review — Terms of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D7B8B"/>
    <w:multiLevelType w:val="hybridMultilevel"/>
    <w:tmpl w:val="A81CC0BA"/>
    <w:lvl w:ilvl="0" w:tplc="51E88F26">
      <w:start w:val="1"/>
      <w:numFmt w:val="bullet"/>
      <w:lvlText w:val="•"/>
      <w:lvlJc w:val="left"/>
      <w:pPr>
        <w:ind w:left="720" w:hanging="360"/>
      </w:pPr>
    </w:lvl>
    <w:lvl w:ilvl="1" w:tplc="0650668C">
      <w:numFmt w:val="decimal"/>
      <w:lvlText w:val=""/>
      <w:lvlJc w:val="left"/>
    </w:lvl>
    <w:lvl w:ilvl="2" w:tplc="9DD68BBE">
      <w:numFmt w:val="decimal"/>
      <w:lvlText w:val=""/>
      <w:lvlJc w:val="left"/>
    </w:lvl>
    <w:lvl w:ilvl="3" w:tplc="7C08E4BE">
      <w:numFmt w:val="decimal"/>
      <w:lvlText w:val=""/>
      <w:lvlJc w:val="left"/>
    </w:lvl>
    <w:lvl w:ilvl="4" w:tplc="F432CC0A">
      <w:numFmt w:val="decimal"/>
      <w:lvlText w:val=""/>
      <w:lvlJc w:val="left"/>
    </w:lvl>
    <w:lvl w:ilvl="5" w:tplc="3F52A5E2">
      <w:numFmt w:val="decimal"/>
      <w:lvlText w:val=""/>
      <w:lvlJc w:val="left"/>
    </w:lvl>
    <w:lvl w:ilvl="6" w:tplc="6A6C4B24">
      <w:numFmt w:val="decimal"/>
      <w:lvlText w:val=""/>
      <w:lvlJc w:val="left"/>
    </w:lvl>
    <w:lvl w:ilvl="7" w:tplc="1D1AD5D0">
      <w:numFmt w:val="decimal"/>
      <w:lvlText w:val=""/>
      <w:lvlJc w:val="left"/>
    </w:lvl>
    <w:lvl w:ilvl="8" w:tplc="06125776">
      <w:numFmt w:val="decimal"/>
      <w:lvlText w:val=""/>
      <w:lvlJc w:val="left"/>
    </w:lvl>
  </w:abstractNum>
  <w:abstractNum w:abstractNumId="1" w15:restartNumberingAfterBreak="0">
    <w:nsid w:val="1F9A0769"/>
    <w:multiLevelType w:val="hybridMultilevel"/>
    <w:tmpl w:val="28884FAA"/>
    <w:lvl w:ilvl="0" w:tplc="C8B8B60A">
      <w:start w:val="1"/>
      <w:numFmt w:val="decimal"/>
      <w:lvlText w:val="%1."/>
      <w:lvlJc w:val="left"/>
      <w:pPr>
        <w:ind w:left="720" w:hanging="360"/>
      </w:pPr>
      <w:rPr>
        <w:rFonts w:hint="default"/>
        <w:color w:val="2D2B3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F61A1C"/>
    <w:multiLevelType w:val="hybridMultilevel"/>
    <w:tmpl w:val="C8E44E78"/>
    <w:lvl w:ilvl="0" w:tplc="E0FE2E24">
      <w:start w:val="1"/>
      <w:numFmt w:val="decimal"/>
      <w:lvlText w:val="%1."/>
      <w:lvlJc w:val="left"/>
      <w:pPr>
        <w:ind w:left="720" w:hanging="360"/>
      </w:pPr>
    </w:lvl>
    <w:lvl w:ilvl="1" w:tplc="68C0FC54">
      <w:numFmt w:val="decimal"/>
      <w:lvlText w:val=""/>
      <w:lvlJc w:val="left"/>
    </w:lvl>
    <w:lvl w:ilvl="2" w:tplc="CCCC2992">
      <w:numFmt w:val="decimal"/>
      <w:lvlText w:val=""/>
      <w:lvlJc w:val="left"/>
    </w:lvl>
    <w:lvl w:ilvl="3" w:tplc="4AE252A6">
      <w:numFmt w:val="decimal"/>
      <w:lvlText w:val=""/>
      <w:lvlJc w:val="left"/>
    </w:lvl>
    <w:lvl w:ilvl="4" w:tplc="0E8C6384">
      <w:numFmt w:val="decimal"/>
      <w:lvlText w:val=""/>
      <w:lvlJc w:val="left"/>
    </w:lvl>
    <w:lvl w:ilvl="5" w:tplc="5DEEF590">
      <w:numFmt w:val="decimal"/>
      <w:lvlText w:val=""/>
      <w:lvlJc w:val="left"/>
    </w:lvl>
    <w:lvl w:ilvl="6" w:tplc="19703092">
      <w:numFmt w:val="decimal"/>
      <w:lvlText w:val=""/>
      <w:lvlJc w:val="left"/>
    </w:lvl>
    <w:lvl w:ilvl="7" w:tplc="D99E00AC">
      <w:numFmt w:val="decimal"/>
      <w:lvlText w:val=""/>
      <w:lvlJc w:val="left"/>
    </w:lvl>
    <w:lvl w:ilvl="8" w:tplc="FF04D754">
      <w:numFmt w:val="decimal"/>
      <w:lvlText w:val=""/>
      <w:lvlJc w:val="left"/>
    </w:lvl>
  </w:abstractNum>
  <w:abstractNum w:abstractNumId="3" w15:restartNumberingAfterBreak="0">
    <w:nsid w:val="361879B8"/>
    <w:multiLevelType w:val="hybridMultilevel"/>
    <w:tmpl w:val="A014A808"/>
    <w:lvl w:ilvl="0" w:tplc="D4C2C846">
      <w:start w:val="1"/>
      <w:numFmt w:val="bullet"/>
      <w:lvlText w:val="•"/>
      <w:lvlJc w:val="left"/>
      <w:pPr>
        <w:ind w:left="720" w:hanging="360"/>
      </w:pPr>
    </w:lvl>
    <w:lvl w:ilvl="1" w:tplc="A42EFEF4">
      <w:numFmt w:val="decimal"/>
      <w:lvlText w:val=""/>
      <w:lvlJc w:val="left"/>
    </w:lvl>
    <w:lvl w:ilvl="2" w:tplc="6550262C">
      <w:numFmt w:val="decimal"/>
      <w:lvlText w:val=""/>
      <w:lvlJc w:val="left"/>
    </w:lvl>
    <w:lvl w:ilvl="3" w:tplc="CD7ECF8C">
      <w:numFmt w:val="decimal"/>
      <w:lvlText w:val=""/>
      <w:lvlJc w:val="left"/>
    </w:lvl>
    <w:lvl w:ilvl="4" w:tplc="A7BEB29E">
      <w:numFmt w:val="decimal"/>
      <w:lvlText w:val=""/>
      <w:lvlJc w:val="left"/>
    </w:lvl>
    <w:lvl w:ilvl="5" w:tplc="017AFA7A">
      <w:numFmt w:val="decimal"/>
      <w:lvlText w:val=""/>
      <w:lvlJc w:val="left"/>
    </w:lvl>
    <w:lvl w:ilvl="6" w:tplc="E1503E92">
      <w:numFmt w:val="decimal"/>
      <w:lvlText w:val=""/>
      <w:lvlJc w:val="left"/>
    </w:lvl>
    <w:lvl w:ilvl="7" w:tplc="D39A54B2">
      <w:numFmt w:val="decimal"/>
      <w:lvlText w:val=""/>
      <w:lvlJc w:val="left"/>
    </w:lvl>
    <w:lvl w:ilvl="8" w:tplc="B03EBE76">
      <w:numFmt w:val="decimal"/>
      <w:lvlText w:val=""/>
      <w:lvlJc w:val="left"/>
    </w:lvl>
  </w:abstractNum>
  <w:abstractNum w:abstractNumId="4" w15:restartNumberingAfterBreak="0">
    <w:nsid w:val="582E1DC3"/>
    <w:multiLevelType w:val="hybridMultilevel"/>
    <w:tmpl w:val="ED241BBE"/>
    <w:lvl w:ilvl="0" w:tplc="D1BCA0F2">
      <w:start w:val="1"/>
      <w:numFmt w:val="bullet"/>
      <w:lvlText w:val="–"/>
      <w:lvlJc w:val="left"/>
      <w:pPr>
        <w:ind w:left="1080" w:hanging="360"/>
      </w:pPr>
    </w:lvl>
    <w:lvl w:ilvl="1" w:tplc="077429E8">
      <w:numFmt w:val="decimal"/>
      <w:lvlText w:val=""/>
      <w:lvlJc w:val="left"/>
    </w:lvl>
    <w:lvl w:ilvl="2" w:tplc="16A89866">
      <w:numFmt w:val="decimal"/>
      <w:lvlText w:val=""/>
      <w:lvlJc w:val="left"/>
    </w:lvl>
    <w:lvl w:ilvl="3" w:tplc="ED100818">
      <w:numFmt w:val="decimal"/>
      <w:lvlText w:val=""/>
      <w:lvlJc w:val="left"/>
    </w:lvl>
    <w:lvl w:ilvl="4" w:tplc="F9DC1A84">
      <w:numFmt w:val="decimal"/>
      <w:lvlText w:val=""/>
      <w:lvlJc w:val="left"/>
    </w:lvl>
    <w:lvl w:ilvl="5" w:tplc="8F6ED980">
      <w:numFmt w:val="decimal"/>
      <w:lvlText w:val=""/>
      <w:lvlJc w:val="left"/>
    </w:lvl>
    <w:lvl w:ilvl="6" w:tplc="C67294B8">
      <w:numFmt w:val="decimal"/>
      <w:lvlText w:val=""/>
      <w:lvlJc w:val="left"/>
    </w:lvl>
    <w:lvl w:ilvl="7" w:tplc="DEDC5A56">
      <w:numFmt w:val="decimal"/>
      <w:lvlText w:val=""/>
      <w:lvlJc w:val="left"/>
    </w:lvl>
    <w:lvl w:ilvl="8" w:tplc="EA72C868">
      <w:numFmt w:val="decimal"/>
      <w:lvlText w:val=""/>
      <w:lvlJc w:val="left"/>
    </w:lvl>
  </w:abstractNum>
  <w:abstractNum w:abstractNumId="5" w15:restartNumberingAfterBreak="0">
    <w:nsid w:val="59915D17"/>
    <w:multiLevelType w:val="hybridMultilevel"/>
    <w:tmpl w:val="18062018"/>
    <w:lvl w:ilvl="0" w:tplc="9AD42200">
      <w:start w:val="1"/>
      <w:numFmt w:val="bullet"/>
      <w:lvlText w:val="•"/>
      <w:lvlJc w:val="left"/>
      <w:pPr>
        <w:ind w:left="720" w:hanging="360"/>
      </w:pPr>
    </w:lvl>
    <w:lvl w:ilvl="1" w:tplc="9AF650BE">
      <w:numFmt w:val="decimal"/>
      <w:lvlText w:val=""/>
      <w:lvlJc w:val="left"/>
    </w:lvl>
    <w:lvl w:ilvl="2" w:tplc="FB6ADAA4">
      <w:numFmt w:val="decimal"/>
      <w:lvlText w:val=""/>
      <w:lvlJc w:val="left"/>
    </w:lvl>
    <w:lvl w:ilvl="3" w:tplc="728AA140">
      <w:numFmt w:val="decimal"/>
      <w:lvlText w:val=""/>
      <w:lvlJc w:val="left"/>
    </w:lvl>
    <w:lvl w:ilvl="4" w:tplc="937228D6">
      <w:numFmt w:val="decimal"/>
      <w:lvlText w:val=""/>
      <w:lvlJc w:val="left"/>
    </w:lvl>
    <w:lvl w:ilvl="5" w:tplc="DC6C94E8">
      <w:numFmt w:val="decimal"/>
      <w:lvlText w:val=""/>
      <w:lvlJc w:val="left"/>
    </w:lvl>
    <w:lvl w:ilvl="6" w:tplc="ED941000">
      <w:numFmt w:val="decimal"/>
      <w:lvlText w:val=""/>
      <w:lvlJc w:val="left"/>
    </w:lvl>
    <w:lvl w:ilvl="7" w:tplc="31782C26">
      <w:numFmt w:val="decimal"/>
      <w:lvlText w:val=""/>
      <w:lvlJc w:val="left"/>
    </w:lvl>
    <w:lvl w:ilvl="8" w:tplc="FE02407E">
      <w:numFmt w:val="decimal"/>
      <w:lvlText w:val=""/>
      <w:lvlJc w:val="left"/>
    </w:lvl>
  </w:abstractNum>
  <w:abstractNum w:abstractNumId="6" w15:restartNumberingAfterBreak="0">
    <w:nsid w:val="609A2FAA"/>
    <w:multiLevelType w:val="hybridMultilevel"/>
    <w:tmpl w:val="92764DBC"/>
    <w:lvl w:ilvl="0" w:tplc="8A9600DE">
      <w:start w:val="1"/>
      <w:numFmt w:val="bullet"/>
      <w:lvlText w:val="•"/>
      <w:lvlJc w:val="left"/>
      <w:pPr>
        <w:ind w:left="720" w:hanging="360"/>
      </w:pPr>
    </w:lvl>
    <w:lvl w:ilvl="1" w:tplc="7F5E9A7E">
      <w:numFmt w:val="decimal"/>
      <w:lvlText w:val=""/>
      <w:lvlJc w:val="left"/>
    </w:lvl>
    <w:lvl w:ilvl="2" w:tplc="494EA2CC">
      <w:numFmt w:val="decimal"/>
      <w:lvlText w:val=""/>
      <w:lvlJc w:val="left"/>
    </w:lvl>
    <w:lvl w:ilvl="3" w:tplc="E6365C9E">
      <w:numFmt w:val="decimal"/>
      <w:lvlText w:val=""/>
      <w:lvlJc w:val="left"/>
    </w:lvl>
    <w:lvl w:ilvl="4" w:tplc="B14E7D8E">
      <w:numFmt w:val="decimal"/>
      <w:lvlText w:val=""/>
      <w:lvlJc w:val="left"/>
    </w:lvl>
    <w:lvl w:ilvl="5" w:tplc="56B4900A">
      <w:numFmt w:val="decimal"/>
      <w:lvlText w:val=""/>
      <w:lvlJc w:val="left"/>
    </w:lvl>
    <w:lvl w:ilvl="6" w:tplc="79F083E8">
      <w:numFmt w:val="decimal"/>
      <w:lvlText w:val=""/>
      <w:lvlJc w:val="left"/>
    </w:lvl>
    <w:lvl w:ilvl="7" w:tplc="C80ACCB8">
      <w:numFmt w:val="decimal"/>
      <w:lvlText w:val=""/>
      <w:lvlJc w:val="left"/>
    </w:lvl>
    <w:lvl w:ilvl="8" w:tplc="5C14CCF8">
      <w:numFmt w:val="decimal"/>
      <w:lvlText w:val=""/>
      <w:lvlJc w:val="left"/>
    </w:lvl>
  </w:abstractNum>
  <w:abstractNum w:abstractNumId="7" w15:restartNumberingAfterBreak="0">
    <w:nsid w:val="686F25E5"/>
    <w:multiLevelType w:val="hybridMultilevel"/>
    <w:tmpl w:val="05086BDC"/>
    <w:lvl w:ilvl="0" w:tplc="49F0022E">
      <w:start w:val="1"/>
      <w:numFmt w:val="bullet"/>
      <w:lvlText w:val="•"/>
      <w:lvlJc w:val="left"/>
      <w:pPr>
        <w:ind w:left="720" w:hanging="360"/>
      </w:pPr>
    </w:lvl>
    <w:lvl w:ilvl="1" w:tplc="13B8F67C">
      <w:numFmt w:val="decimal"/>
      <w:lvlText w:val=""/>
      <w:lvlJc w:val="left"/>
    </w:lvl>
    <w:lvl w:ilvl="2" w:tplc="AA8A0500">
      <w:numFmt w:val="decimal"/>
      <w:lvlText w:val=""/>
      <w:lvlJc w:val="left"/>
    </w:lvl>
    <w:lvl w:ilvl="3" w:tplc="529C7AF0">
      <w:numFmt w:val="decimal"/>
      <w:lvlText w:val=""/>
      <w:lvlJc w:val="left"/>
    </w:lvl>
    <w:lvl w:ilvl="4" w:tplc="B180E870">
      <w:numFmt w:val="decimal"/>
      <w:lvlText w:val=""/>
      <w:lvlJc w:val="left"/>
    </w:lvl>
    <w:lvl w:ilvl="5" w:tplc="9F923876">
      <w:numFmt w:val="decimal"/>
      <w:lvlText w:val=""/>
      <w:lvlJc w:val="left"/>
    </w:lvl>
    <w:lvl w:ilvl="6" w:tplc="78D8922C">
      <w:numFmt w:val="decimal"/>
      <w:lvlText w:val=""/>
      <w:lvlJc w:val="left"/>
    </w:lvl>
    <w:lvl w:ilvl="7" w:tplc="1EFCEEE6">
      <w:numFmt w:val="decimal"/>
      <w:lvlText w:val=""/>
      <w:lvlJc w:val="left"/>
    </w:lvl>
    <w:lvl w:ilvl="8" w:tplc="8292912E">
      <w:numFmt w:val="decimal"/>
      <w:lvlText w:val=""/>
      <w:lvlJc w:val="left"/>
    </w:lvl>
  </w:abstractNum>
  <w:abstractNum w:abstractNumId="8" w15:restartNumberingAfterBreak="0">
    <w:nsid w:val="6C222EF5"/>
    <w:multiLevelType w:val="hybridMultilevel"/>
    <w:tmpl w:val="45EE528C"/>
    <w:lvl w:ilvl="0" w:tplc="251CEF0A">
      <w:start w:val="1"/>
      <w:numFmt w:val="bullet"/>
      <w:lvlText w:val="–"/>
      <w:lvlJc w:val="left"/>
      <w:pPr>
        <w:ind w:left="1080" w:hanging="360"/>
      </w:pPr>
    </w:lvl>
    <w:lvl w:ilvl="1" w:tplc="05AA850A">
      <w:numFmt w:val="decimal"/>
      <w:lvlText w:val=""/>
      <w:lvlJc w:val="left"/>
    </w:lvl>
    <w:lvl w:ilvl="2" w:tplc="5D446A02">
      <w:numFmt w:val="decimal"/>
      <w:lvlText w:val=""/>
      <w:lvlJc w:val="left"/>
    </w:lvl>
    <w:lvl w:ilvl="3" w:tplc="6FC8EE70">
      <w:numFmt w:val="decimal"/>
      <w:lvlText w:val=""/>
      <w:lvlJc w:val="left"/>
    </w:lvl>
    <w:lvl w:ilvl="4" w:tplc="D7E896D2">
      <w:numFmt w:val="decimal"/>
      <w:lvlText w:val=""/>
      <w:lvlJc w:val="left"/>
    </w:lvl>
    <w:lvl w:ilvl="5" w:tplc="65D40E5C">
      <w:numFmt w:val="decimal"/>
      <w:lvlText w:val=""/>
      <w:lvlJc w:val="left"/>
    </w:lvl>
    <w:lvl w:ilvl="6" w:tplc="4642AE76">
      <w:numFmt w:val="decimal"/>
      <w:lvlText w:val=""/>
      <w:lvlJc w:val="left"/>
    </w:lvl>
    <w:lvl w:ilvl="7" w:tplc="8D50D3C6">
      <w:numFmt w:val="decimal"/>
      <w:lvlText w:val=""/>
      <w:lvlJc w:val="left"/>
    </w:lvl>
    <w:lvl w:ilvl="8" w:tplc="CB5CFF68">
      <w:numFmt w:val="decimal"/>
      <w:lvlText w:val=""/>
      <w:lvlJc w:val="left"/>
    </w:lvl>
  </w:abstractNum>
  <w:abstractNum w:abstractNumId="9" w15:restartNumberingAfterBreak="0">
    <w:nsid w:val="75273A1F"/>
    <w:multiLevelType w:val="hybridMultilevel"/>
    <w:tmpl w:val="72547F24"/>
    <w:lvl w:ilvl="0" w:tplc="112624C8">
      <w:start w:val="1"/>
      <w:numFmt w:val="bullet"/>
      <w:lvlText w:val="●"/>
      <w:lvlJc w:val="left"/>
      <w:pPr>
        <w:ind w:left="720" w:hanging="360"/>
      </w:pPr>
    </w:lvl>
    <w:lvl w:ilvl="1" w:tplc="50FC3EFC">
      <w:start w:val="1"/>
      <w:numFmt w:val="bullet"/>
      <w:lvlText w:val="○"/>
      <w:lvlJc w:val="left"/>
      <w:pPr>
        <w:ind w:left="1440" w:hanging="360"/>
      </w:pPr>
    </w:lvl>
    <w:lvl w:ilvl="2" w:tplc="D5FCDB30">
      <w:start w:val="1"/>
      <w:numFmt w:val="bullet"/>
      <w:lvlText w:val="■"/>
      <w:lvlJc w:val="left"/>
      <w:pPr>
        <w:ind w:left="2160" w:hanging="360"/>
      </w:pPr>
    </w:lvl>
    <w:lvl w:ilvl="3" w:tplc="56347B34">
      <w:start w:val="1"/>
      <w:numFmt w:val="bullet"/>
      <w:lvlText w:val="●"/>
      <w:lvlJc w:val="left"/>
      <w:pPr>
        <w:ind w:left="2880" w:hanging="360"/>
      </w:pPr>
    </w:lvl>
    <w:lvl w:ilvl="4" w:tplc="E5625CF6">
      <w:start w:val="1"/>
      <w:numFmt w:val="bullet"/>
      <w:lvlText w:val="○"/>
      <w:lvlJc w:val="left"/>
      <w:pPr>
        <w:ind w:left="3600" w:hanging="360"/>
      </w:pPr>
    </w:lvl>
    <w:lvl w:ilvl="5" w:tplc="C8C01DBA">
      <w:start w:val="1"/>
      <w:numFmt w:val="bullet"/>
      <w:lvlText w:val="■"/>
      <w:lvlJc w:val="left"/>
      <w:pPr>
        <w:ind w:left="4320" w:hanging="360"/>
      </w:pPr>
    </w:lvl>
    <w:lvl w:ilvl="6" w:tplc="EE12F24A">
      <w:start w:val="1"/>
      <w:numFmt w:val="bullet"/>
      <w:lvlText w:val="●"/>
      <w:lvlJc w:val="left"/>
      <w:pPr>
        <w:ind w:left="5040" w:hanging="360"/>
      </w:pPr>
    </w:lvl>
    <w:lvl w:ilvl="7" w:tplc="BD4EF95A">
      <w:start w:val="1"/>
      <w:numFmt w:val="bullet"/>
      <w:lvlText w:val="●"/>
      <w:lvlJc w:val="left"/>
      <w:pPr>
        <w:ind w:left="5760" w:hanging="360"/>
      </w:pPr>
    </w:lvl>
    <w:lvl w:ilvl="8" w:tplc="A9ACCAE4">
      <w:start w:val="1"/>
      <w:numFmt w:val="bullet"/>
      <w:lvlText w:val="●"/>
      <w:lvlJc w:val="left"/>
      <w:pPr>
        <w:ind w:left="6480" w:hanging="360"/>
      </w:pPr>
    </w:lvl>
  </w:abstractNum>
  <w:num w:numId="1" w16cid:durableId="161554531">
    <w:abstractNumId w:val="9"/>
    <w:lvlOverride w:ilvl="0">
      <w:startOverride w:val="1"/>
    </w:lvlOverride>
  </w:num>
  <w:num w:numId="2" w16cid:durableId="561141305">
    <w:abstractNumId w:val="2"/>
    <w:lvlOverride w:ilvl="0">
      <w:startOverride w:val="1"/>
    </w:lvlOverride>
  </w:num>
  <w:num w:numId="3" w16cid:durableId="2110000221">
    <w:abstractNumId w:val="5"/>
    <w:lvlOverride w:ilvl="0">
      <w:startOverride w:val="1"/>
    </w:lvlOverride>
  </w:num>
  <w:num w:numId="4" w16cid:durableId="736365288">
    <w:abstractNumId w:val="7"/>
    <w:lvlOverride w:ilvl="0">
      <w:startOverride w:val="1"/>
    </w:lvlOverride>
  </w:num>
  <w:num w:numId="5" w16cid:durableId="1375694913">
    <w:abstractNumId w:val="8"/>
    <w:lvlOverride w:ilvl="0">
      <w:startOverride w:val="1"/>
    </w:lvlOverride>
  </w:num>
  <w:num w:numId="6" w16cid:durableId="453669912">
    <w:abstractNumId w:val="0"/>
    <w:lvlOverride w:ilvl="0">
      <w:startOverride w:val="1"/>
    </w:lvlOverride>
  </w:num>
  <w:num w:numId="7" w16cid:durableId="65498041">
    <w:abstractNumId w:val="6"/>
    <w:lvlOverride w:ilvl="0">
      <w:startOverride w:val="1"/>
    </w:lvlOverride>
  </w:num>
  <w:num w:numId="8" w16cid:durableId="1763335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272"/>
    <w:rsid w:val="00277191"/>
    <w:rsid w:val="002E3549"/>
    <w:rsid w:val="00300C92"/>
    <w:rsid w:val="003D7E57"/>
    <w:rsid w:val="003F227E"/>
    <w:rsid w:val="004B7422"/>
    <w:rsid w:val="004E0896"/>
    <w:rsid w:val="004F20F4"/>
    <w:rsid w:val="00531153"/>
    <w:rsid w:val="0059594E"/>
    <w:rsid w:val="00703A8F"/>
    <w:rsid w:val="008F7BD2"/>
    <w:rsid w:val="00A20A18"/>
    <w:rsid w:val="00A23584"/>
    <w:rsid w:val="00AA6E3B"/>
    <w:rsid w:val="00BA0E30"/>
    <w:rsid w:val="00C378FB"/>
    <w:rsid w:val="00C61272"/>
    <w:rsid w:val="00C7645F"/>
    <w:rsid w:val="00D6588C"/>
    <w:rsid w:val="00DD5879"/>
    <w:rsid w:val="00E204E6"/>
    <w:rsid w:val="00E2091D"/>
    <w:rsid w:val="00E60BCD"/>
    <w:rsid w:val="00EB0BAC"/>
    <w:rsid w:val="00F427F9"/>
    <w:rsid w:val="00F71778"/>
    <w:rsid w:val="00FD1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89687"/>
  <w15:docId w15:val="{39C280CF-3612-C14B-BF0C-DAC3AB71B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7191"/>
    <w:pPr>
      <w:tabs>
        <w:tab w:val="center" w:pos="4680"/>
        <w:tab w:val="right" w:pos="9360"/>
      </w:tabs>
    </w:pPr>
  </w:style>
  <w:style w:type="character" w:customStyle="1" w:styleId="HeaderChar">
    <w:name w:val="Header Char"/>
    <w:basedOn w:val="DefaultParagraphFont"/>
    <w:link w:val="Header"/>
    <w:uiPriority w:val="99"/>
    <w:rsid w:val="00277191"/>
  </w:style>
  <w:style w:type="paragraph" w:styleId="Footer">
    <w:name w:val="footer"/>
    <w:basedOn w:val="Normal"/>
    <w:link w:val="FooterChar"/>
    <w:uiPriority w:val="99"/>
    <w:unhideWhenUsed/>
    <w:rsid w:val="00277191"/>
    <w:pPr>
      <w:tabs>
        <w:tab w:val="center" w:pos="4680"/>
        <w:tab w:val="right" w:pos="9360"/>
      </w:tabs>
    </w:pPr>
  </w:style>
  <w:style w:type="character" w:customStyle="1" w:styleId="FooterChar">
    <w:name w:val="Footer Char"/>
    <w:basedOn w:val="DefaultParagraphFont"/>
    <w:link w:val="Footer"/>
    <w:uiPriority w:val="99"/>
    <w:rsid w:val="00277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sv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Sola Olaniyan</cp:lastModifiedBy>
  <cp:revision>2</cp:revision>
  <cp:lastPrinted>2026-03-27T15:22:00Z</cp:lastPrinted>
  <dcterms:created xsi:type="dcterms:W3CDTF">2026-03-27T15:22:00Z</dcterms:created>
  <dcterms:modified xsi:type="dcterms:W3CDTF">2026-03-27T15:22:00Z</dcterms:modified>
</cp:coreProperties>
</file>