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08B2" w14:textId="77777777" w:rsidR="001C59B9" w:rsidRPr="00601EAA" w:rsidRDefault="00900C60" w:rsidP="00775A8E">
      <w:pPr>
        <w:pStyle w:val="ICST-Title"/>
      </w:pPr>
      <w:r w:rsidRPr="00900C60">
        <w:t>GAMA-RCA: Graph-Aware Multimodal Attribution for Token-Efficient and Auditable Root Cause Analysis in Microservices</w:t>
      </w:r>
      <w:r w:rsidR="001C736E"/>
    </w:p>
    <w:p w14:paraId="669F5746" w14:textId="77777777" w:rsidR="005425A8" w:rsidRPr="005425A8" w:rsidRDefault="00594747" w:rsidP="00775A8E">
      <w:pPr>
        <w:pStyle w:val="ICST-Authorname"/>
        <w:rPr>
          <w:vertAlign w:val="superscript"/>
        </w:rPr>
      </w:pPr>
      <w:r>
        <w:t>Achmad Solaeman</w:t>
      </w:r>
      <w:r w:rsidR="00B901BD" w:rsidRPr="00775A8E">
        <w:rPr>
          <w:vertAlign w:val="superscript"/>
        </w:rPr>
        <w:t>,</w:t>
      </w:r>
      <w:r w:rsidR="00850717">
        <w:rPr>
          <w:rStyle w:val="FootnoteReference"/>
        </w:rPr>
        <w:footnoteReference w:id="2"/>
      </w:r>
      <w:r w:rsidR="00775A8E" w:rsidRPr="00775A8E">
        <w:t>,</w:t>
      </w:r>
      <w:r w:rsidR="0049356C" w:rsidRPr="00775A8E">
        <w:t xml:space="preserve"> </w:t>
      </w:r>
      <w:r>
        <w:t>Nur Rohman Rosyid</w:t>
      </w:r>
      <w:r w:rsidR="0049356C" w:rsidRPr="00775A8E">
        <w:rPr>
          <w:vertAlign w:val="superscript"/>
        </w:rPr>
        <w:t>2</w:t>
      </w:r>
      <w:r>
        <w:t>, Ardhi Wicaksono</w:t>
      </w:r>
      <w:r w:rsidR="005425A8" w:rsidRPr="00775A8E">
        <w:rPr>
          <w:vertAlign w:val="superscript"/>
        </w:rPr>
        <w:t>3</w:t>
      </w:r>
      <w:r>
        <w:t xml:space="preserve">, </w:t>
      </w:r>
      <w:r w:rsidR="00471D92" w:rsidRPr="00471D92">
        <w:t>Prima Asmara</w:t>
      </w:r>
      <w:r w:rsidR="005425A8">
        <w:t xml:space="preserve"> Sejati</w:t>
      </w:r>
      <w:r w:rsidR="005425A8">
        <w:rPr>
          <w:vertAlign w:val="superscript"/>
        </w:rPr>
        <w:t>4</w:t>
      </w:r>
      <w:r w:rsidR="005425A8">
        <w:t>,</w:t>
      </w:r>
      <w:r w:rsidR="00471D92" w:rsidRPr="00471D92">
        <w:t xml:space="preserve"> </w:t>
      </w:r>
      <w:r w:rsidR="005425A8">
        <w:t>Hamzah</w:t>
      </w:r>
      <w:r w:rsidR="005425A8">
        <w:rPr>
          <w:vertAlign w:val="superscript"/>
        </w:rPr>
        <w:t>5</w:t>
      </w:r>
    </w:p>
    <w:p w14:paraId="09E404A1" w14:textId="77777777" w:rsidR="000910EF" w:rsidRPr="00775A8E" w:rsidRDefault="0049356C" w:rsidP="00775A8E">
      <w:pPr>
        <w:pStyle w:val="ICST-Address"/>
      </w:pPr>
      <w:r w:rsidRPr="00775A8E">
        <w:rPr>
          <w:vertAlign w:val="superscript"/>
        </w:rPr>
        <w:t>1</w:t>
      </w:r>
      <w:r w:rsidR="005425A8">
        <w:t>Department of Electrical Engineering and Informatics</w:t>
      </w:r>
      <w:r w:rsidR="0059229B">
        <w:t xml:space="preserve">, </w:t>
      </w:r>
      <w:r w:rsidR="005425A8">
        <w:t>achmad.solaeman@ugm.ac.id</w:t>
      </w:r>
    </w:p>
    <w:p w14:paraId="0B92530F" w14:textId="77777777" w:rsidR="00B901BD" w:rsidRPr="00775A8E" w:rsidRDefault="00B901BD" w:rsidP="00775A8E">
      <w:pPr>
        <w:pStyle w:val="ICST-Address"/>
      </w:pPr>
      <w:r w:rsidRPr="00775A8E">
        <w:rPr>
          <w:vertAlign w:val="superscript"/>
        </w:rPr>
        <w:t>2</w:t>
      </w:r>
      <w:r w:rsidR="005425A8">
        <w:t>Department of Electrical Engineering and Informatic</w:t>
      </w:r>
      <w:r w:rsidR="0059229B">
        <w:t>s</w:t>
      </w:r>
      <w:r w:rsidR="005425A8" w:rsidRPr="00775A8E">
        <w:t xml:space="preserve">, </w:t>
      </w:r>
      <w:r w:rsidR="005425A8" w:rsidRPr="005425A8">
        <w:t>nrohmanr@ugm.ac.id</w:t>
      </w:r>
    </w:p>
    <w:p w14:paraId="07890D44" w14:textId="77777777" w:rsidR="00B901BD" w:rsidRDefault="00B901BD" w:rsidP="00775A8E">
      <w:pPr>
        <w:pStyle w:val="ICST-Address"/>
      </w:pPr>
      <w:r w:rsidRPr="00775A8E">
        <w:rPr>
          <w:vertAlign w:val="superscript"/>
        </w:rPr>
        <w:t>3</w:t>
      </w:r>
      <w:r w:rsidR="005425A8">
        <w:t>Department of Electrical Engineering and Informatic</w:t>
      </w:r>
      <w:r w:rsidR="0059229B">
        <w:t>s</w:t>
      </w:r>
      <w:r w:rsidR="005425A8" w:rsidRPr="00775A8E">
        <w:t xml:space="preserve">, </w:t>
      </w:r>
      <w:r w:rsidR="005425A8" w:rsidRPr="005425A8">
        <w:t>ardhi.wicaksono.s@mail.ugm.ac.id</w:t>
      </w:r>
    </w:p>
    <w:p w14:paraId="2FCEA0A0" w14:textId="77777777" w:rsidR="005425A8" w:rsidRPr="00775A8E" w:rsidRDefault="005425A8" w:rsidP="00775A8E">
      <w:pPr>
        <w:pStyle w:val="ICST-Address"/>
      </w:pPr>
      <w:r>
        <w:rPr>
          <w:vertAlign w:val="superscript"/>
        </w:rPr>
        <w:t>4</w:t>
      </w:r>
      <w:r>
        <w:t>Department of Electrical Engineering and Informatics</w:t>
      </w:r>
      <w:r w:rsidRPr="00775A8E">
        <w:t xml:space="preserve">, </w:t>
      </w:r>
      <w:r w:rsidRPr="005425A8">
        <w:t>prima.asmara.s@ugm.ac.id</w:t>
      </w:r>
      <w:r>
        <w:br/>
      </w:r>
      <w:r>
        <w:rPr>
          <w:vertAlign w:val="superscript"/>
        </w:rPr>
        <w:t>4</w:t>
      </w:r>
      <w:r w:rsidR="0059229B" w:rsidRPr="0059229B">
        <w:t>PT Media Pangan Kreatif Indonesia</w:t>
      </w:r>
      <w:r w:rsidR="0059229B">
        <w:t>,</w:t>
      </w:r>
      <w:r w:rsidR="0059229B" w:rsidRPr="0059229B">
        <w:t xml:space="preserve"> </w:t>
      </w:r>
      <w:r w:rsidR="0059229B">
        <w:t>hamzah@gmail.com</w:t>
      </w:r>
    </w:p>
    <w:p w14:paraId="24F4F970" w14:textId="77777777" w:rsidR="00B901BD" w:rsidRPr="00601EAA" w:rsidRDefault="00B901BD" w:rsidP="00775A8E">
      <w:pPr>
        <w:pStyle w:val="ICST-Abstractheading"/>
      </w:pPr>
      <w:r w:rsidRPr="00775A8E">
        <w:t>Abstract</w:t>
      </w:r>
    </w:p>
    <w:p w14:paraId="6511F2F6" w14:textId="77777777" w:rsidR="005A667A" w:rsidRDefault="005A667A" w:rsidP="005A667A">
      <w:pPr>
        <w:pStyle w:val="ICST-abstracttext"/>
      </w:pPr>
    </w:p>
    <w:p w14:paraId="7CA2A6D3" w14:textId="77777777" w:rsidR="00834258" w:rsidRDefault="00834258" w:rsidP="00834258">
      <w:pPr>
        <w:pStyle w:val="ICST-abstracttext"/>
      </w:pPr>
      <w:r>
        <w:t xml:space="preserve">INTRODUCTION: </w:t>
      </w:r>
      <w:r w:rsidR="003C1102" w:rsidRPr="003C1102">
        <w:t>Diagnosing a failure in a microservice system requires reading metrics, logs, traces, Kubernetes events, alerts and the service topology. In the RCA100 benchmark one incident carries about 1.1 million telemetry rows. Passing this evidence to a large language model (LLM) is costly, exceeds the context of small models, and yields diagnoses that are hard to audit.</w:t>
      </w:r>
      <w:r/>
    </w:p>
    <w:p w14:paraId="06E6D63B" w14:textId="77777777" w:rsidR="002936E7" w:rsidRDefault="002936E7" w:rsidP="00834258">
      <w:pPr>
        <w:pStyle w:val="ICST-abstracttext"/>
      </w:pPr>
    </w:p>
    <w:p w14:paraId="60B5465C" w14:textId="77777777" w:rsidR="00834258" w:rsidRDefault="00834258" w:rsidP="00834258">
      <w:pPr>
        <w:pStyle w:val="ICST-abstracttext"/>
      </w:pPr>
      <w:r>
        <w:t xml:space="preserve">OBJECTIVES: </w:t>
      </w:r>
      <w:r w:rsidR="00734A67">
        <w:t>This study asks whether the root-cause entity, the fault type and an explicit causal chain can be obtained without training on labels, without external APIs and with only a small local LLM, while every decision remains traceable to evidence.</w:t>
      </w:r>
      <w:r w:rsidR="003C1102" w:rsidRPr="003C1102"/>
      <w:r w:rsidR="00734A67" w:rsidRPr="00734A67"/>
      <w:r w:rsidR="00734A67"/>
    </w:p>
    <w:p w14:paraId="255928B7" w14:textId="77777777" w:rsidR="002936E7" w:rsidRDefault="002936E7" w:rsidP="00834258">
      <w:pPr>
        <w:pStyle w:val="ICST-abstracttext"/>
      </w:pPr>
    </w:p>
    <w:p w14:paraId="687BC088" w14:textId="77777777" w:rsidR="00834258" w:rsidRDefault="00834258" w:rsidP="00834258">
      <w:pPr>
        <w:pStyle w:val="ICST-abstracttext"/>
      </w:pPr>
      <w:r>
        <w:t xml:space="preserve">METHODS: </w:t>
      </w:r>
      <w:r w:rsidR="002936E7" w:rsidRPr="002936E7">
        <w:t>We propose GAMA-RCA. Every metric, event and log template is first compressed into a calibrated observation: a robust shift score tested against an empirical null drawn from the incident's own baseline. A Bayesian model over (entity × fault type) hypotheses combines these observations through fault fingerprints, topology-based explaining away, a per-case propagation probability estimated by expectation–maximisation (EM) and onset precedence. A local LLM (Qwen3-8B) acts only as a grounded sensor: it reads the log templates of the entity with the highest expected information gain, chooses the fault type from a statistical shortlist, and narrates the chain; each output must quote the evidence verbatim or is discarded. The answer is chosen in two stages: entity, then fault type.</w:t>
      </w:r>
      <w:r/>
    </w:p>
    <w:p w14:paraId="6E960941" w14:textId="77777777" w:rsidR="002936E7" w:rsidRDefault="002936E7" w:rsidP="00834258">
      <w:pPr>
        <w:pStyle w:val="ICST-abstracttext"/>
      </w:pPr>
    </w:p>
    <w:p w14:paraId="0CEDF961" w14:textId="77777777" w:rsidR="00834258" w:rsidRDefault="00834258" w:rsidP="00834258">
      <w:pPr>
        <w:pStyle w:val="ICST-abstracttext"/>
      </w:pPr>
      <w:r>
        <w:t xml:space="preserve">RESULTS: </w:t>
      </w:r>
      <w:r w:rsidR="00734A67" w:rsidRPr="00734A67">
        <w:t>On the 103 RCA100 cases, scored with the benchmark's metrics (Final = 0.4·EL + 0.3·FI + 0.3·RP, 0–100), the statistical core alone reached a Final score of 50.0 (Entity Localization 55.5, Fault Identification 20.4, Reasoning Process 72.4) in 88 s per case on a CPU. With the LLM the Final score was 50.4 (53.8 / 22.3 / 73.9) at about 8.5 thousand tokens and 193 s per case on one T4 GPU; the difference is not significant (Wilcoxon p = 0.31). Estimating the propagation probability by EM was the most important component (+5.9 Final, p = 0.008). The posterior was informative: exact localisation rose from 12% in the lowest to 69% in the highest confidence quartile.</w:t>
      </w:r>
    </w:p>
    <w:p w14:paraId="2084ADF8" w14:textId="77777777" w:rsidR="0061491B" w:rsidRDefault="0061491B" w:rsidP="00834258">
      <w:pPr>
        <w:pStyle w:val="ICST-abstracttext"/>
      </w:pPr>
    </w:p>
    <w:p w14:paraId="1D12D19F" w14:textId="77777777" w:rsidR="005A667A" w:rsidRDefault="00834258" w:rsidP="00834258">
      <w:pPr>
        <w:pStyle w:val="ICST-abstracttext"/>
      </w:pPr>
      <w:r>
        <w:t xml:space="preserve">CONCLUSION: </w:t>
      </w:r>
      <w:r w:rsidR="00734A67" w:rsidRPr="00734A67">
        <w:t>Calibrated statistics can reduce about a million telemetry rows per incident to a few thousand LLM tokens while keeping the diagnosis auditable. Fault-type identification remains the bottleneck. RCA100 served as development data; held-out evaluation is required before claims of generalisation.</w:t>
      </w:r>
    </w:p>
    <w:p w14:paraId="2084ADF8" w14:textId="77777777" w:rsidR="0061491B" w:rsidRDefault="0061491B" w:rsidP="00834258">
      <w:pPr>
        <w:pStyle w:val="ICST-abstracttext"/>
      </w:pPr>
    </w:p>
    <w:p w14:paraId="1D12D19F" w14:textId="77777777" w:rsidR="005A667A" w:rsidRDefault="00834258" w:rsidP="00834258">
      <w:pPr>
        <w:pStyle w:val="ICST-abstracttext"/>
      </w:pPr>
      <w:r>
        <w:t xml:space="preserve">REPRODUCIBILITY: </w:t>
      </w:r>
      <w:r>
        <w:t>Code and configuration are available at https://github.com/solaemanachmad/gama-rca.</w:t>
      </w:r>
    </w:p>
    <w:p w14:paraId="76008205" w14:textId="77777777" w:rsidR="00834258" w:rsidRPr="005A667A" w:rsidRDefault="00834258" w:rsidP="00834258">
      <w:pPr>
        <w:pStyle w:val="ICST-abstracttext"/>
      </w:pPr>
    </w:p>
    <w:p w14:paraId="0C89020A" w14:textId="77777777" w:rsidR="006F2FF6" w:rsidRDefault="00B901BD" w:rsidP="00D70A25">
      <w:pPr>
        <w:pStyle w:val="ICST-Keywords"/>
      </w:pPr>
      <w:r w:rsidRPr="00AB31F2">
        <w:rPr>
          <w:b/>
        </w:rPr>
        <w:t xml:space="preserve">Keywords: </w:t>
      </w:r>
      <w:r w:rsidRPr="009B697B">
        <w:t>root cause analysis; microservices; AIOps; Bayesian inference; large language models; token efficiency; explainability; observability</w:t>
      </w:r>
    </w:p>
    <w:p w14:paraId="7F1FF5CC" w14:textId="77777777" w:rsidR="00D70A25" w:rsidRPr="00C553C8" w:rsidRDefault="00D70A25" w:rsidP="00D70A25">
      <w:pPr>
        <w:ind w:left="227" w:right="227"/>
        <w:rPr>
          <w:sz w:val="18"/>
          <w:szCs w:val="18"/>
        </w:rPr>
      </w:pPr>
      <w:r w:rsidRPr="009849C2">
        <w:rPr>
          <w:sz w:val="18"/>
          <w:szCs w:val="18"/>
        </w:rPr>
        <w:t xml:space="preserve">Received on </w:t>
      </w:r>
      <w:r w:rsidR="005425A8">
        <w:rPr>
          <w:sz w:val="18"/>
          <w:szCs w:val="18"/>
        </w:rPr>
        <w:t>20</w:t>
      </w:r>
      <w:r w:rsidRPr="00C553C8">
        <w:rPr>
          <w:sz w:val="18"/>
          <w:szCs w:val="18"/>
        </w:rPr>
        <w:t xml:space="preserve"> </w:t>
      </w:r>
      <w:r w:rsidR="005425A8">
        <w:rPr>
          <w:sz w:val="18"/>
          <w:szCs w:val="18"/>
        </w:rPr>
        <w:t>08</w:t>
      </w:r>
      <w:r w:rsidRPr="00C553C8">
        <w:rPr>
          <w:sz w:val="18"/>
          <w:szCs w:val="18"/>
        </w:rPr>
        <w:t xml:space="preserve"> </w:t>
      </w:r>
      <w:r w:rsidR="005425A8">
        <w:rPr>
          <w:sz w:val="18"/>
          <w:szCs w:val="18"/>
        </w:rPr>
        <w:t>2026</w:t>
      </w:r>
      <w:r w:rsidR="0052197F">
        <w:rPr>
          <w:sz w:val="18"/>
          <w:szCs w:val="18"/>
        </w:rPr>
        <w:t>,</w:t>
      </w:r>
      <w:r>
        <w:rPr>
          <w:sz w:val="18"/>
          <w:szCs w:val="18"/>
        </w:rPr>
        <w:t xml:space="preserve"> accepted on DD</w:t>
      </w:r>
      <w:r w:rsidRPr="00C553C8">
        <w:rPr>
          <w:sz w:val="18"/>
          <w:szCs w:val="18"/>
        </w:rPr>
        <w:t xml:space="preserve"> </w:t>
      </w:r>
      <w:r>
        <w:rPr>
          <w:sz w:val="18"/>
          <w:szCs w:val="18"/>
        </w:rPr>
        <w:t>MM</w:t>
      </w:r>
      <w:r w:rsidRPr="00C553C8">
        <w:rPr>
          <w:sz w:val="18"/>
          <w:szCs w:val="18"/>
        </w:rPr>
        <w:t xml:space="preserve"> </w:t>
      </w:r>
      <w:r>
        <w:rPr>
          <w:sz w:val="18"/>
          <w:szCs w:val="18"/>
        </w:rPr>
        <w:t>YYYY,</w:t>
      </w:r>
      <w:r w:rsidRPr="00C553C8">
        <w:rPr>
          <w:sz w:val="18"/>
          <w:szCs w:val="18"/>
        </w:rPr>
        <w:t xml:space="preserve"> </w:t>
      </w:r>
      <w:r>
        <w:rPr>
          <w:sz w:val="18"/>
          <w:szCs w:val="18"/>
        </w:rPr>
        <w:t>published on</w:t>
      </w:r>
      <w:r w:rsidRPr="00D70A25">
        <w:rPr>
          <w:sz w:val="18"/>
          <w:szCs w:val="18"/>
        </w:rPr>
        <w:t xml:space="preserve"> </w:t>
      </w:r>
      <w:r>
        <w:rPr>
          <w:sz w:val="18"/>
          <w:szCs w:val="18"/>
        </w:rPr>
        <w:t>DD</w:t>
      </w:r>
      <w:r w:rsidRPr="00C553C8">
        <w:rPr>
          <w:sz w:val="18"/>
          <w:szCs w:val="18"/>
        </w:rPr>
        <w:t xml:space="preserve"> </w:t>
      </w:r>
      <w:r>
        <w:rPr>
          <w:sz w:val="18"/>
          <w:szCs w:val="18"/>
        </w:rPr>
        <w:t>MM</w:t>
      </w:r>
      <w:r w:rsidRPr="00C553C8">
        <w:rPr>
          <w:sz w:val="18"/>
          <w:szCs w:val="18"/>
        </w:rPr>
        <w:t xml:space="preserve"> </w:t>
      </w:r>
      <w:r>
        <w:rPr>
          <w:sz w:val="18"/>
          <w:szCs w:val="18"/>
        </w:rPr>
        <w:t>YYYY</w:t>
      </w:r>
    </w:p>
    <w:p w14:paraId="08258DD8" w14:textId="77777777" w:rsidR="00D70A25" w:rsidRPr="00C553C8" w:rsidRDefault="00D70A25" w:rsidP="00D70A25">
      <w:pPr>
        <w:ind w:left="227" w:right="227"/>
        <w:rPr>
          <w:sz w:val="18"/>
          <w:szCs w:val="18"/>
        </w:rPr>
      </w:pPr>
    </w:p>
    <w:p w14:paraId="23BF5F54" w14:textId="77777777" w:rsidR="002B1E9B" w:rsidRPr="00C553C8" w:rsidRDefault="002B1E9B" w:rsidP="002B1E9B">
      <w:pPr>
        <w:ind w:left="227" w:right="227"/>
        <w:jc w:val="both"/>
        <w:rPr>
          <w:sz w:val="18"/>
          <w:szCs w:val="18"/>
        </w:rPr>
      </w:pPr>
      <w:r w:rsidRPr="00C553C8">
        <w:rPr>
          <w:sz w:val="18"/>
          <w:szCs w:val="18"/>
        </w:rPr>
        <w:t xml:space="preserve">Copyright © </w:t>
      </w:r>
      <w:r w:rsidR="005425A8">
        <w:rPr>
          <w:sz w:val="18"/>
          <w:szCs w:val="18"/>
        </w:rPr>
        <w:t>2026</w:t>
      </w:r>
      <w:r w:rsidRPr="00C553C8">
        <w:rPr>
          <w:sz w:val="18"/>
          <w:szCs w:val="18"/>
        </w:rPr>
        <w:t xml:space="preserve"> </w:t>
      </w:r>
      <w:r>
        <w:rPr>
          <w:sz w:val="18"/>
          <w:szCs w:val="18"/>
        </w:rPr>
        <w:t xml:space="preserve">Author </w:t>
      </w:r>
      <w:r w:rsidRPr="0052197F">
        <w:rPr>
          <w:i/>
          <w:sz w:val="18"/>
          <w:szCs w:val="18"/>
        </w:rPr>
        <w:t>et al.</w:t>
      </w:r>
      <w:r w:rsidRPr="00C553C8">
        <w:rPr>
          <w:sz w:val="18"/>
          <w:szCs w:val="18"/>
        </w:rPr>
        <w:t xml:space="preserve">, licensed to </w:t>
      </w:r>
      <w:r>
        <w:rPr>
          <w:sz w:val="18"/>
          <w:szCs w:val="18"/>
        </w:rPr>
        <w:t>EAI</w:t>
      </w:r>
      <w:r w:rsidRPr="00C553C8">
        <w:rPr>
          <w:sz w:val="18"/>
          <w:szCs w:val="18"/>
        </w:rPr>
        <w:t>. This is an open access article distributed under the terms of the</w:t>
      </w:r>
      <w:r>
        <w:rPr>
          <w:sz w:val="18"/>
          <w:szCs w:val="18"/>
        </w:rPr>
        <w:t xml:space="preserve"> </w:t>
      </w:r>
      <w:hyperlink r:id="rId8" w:history="1">
        <w:r w:rsidRPr="003657B5">
          <w:rPr>
            <w:rStyle w:val="Hyperlink"/>
            <w:sz w:val="18"/>
            <w:szCs w:val="18"/>
          </w:rPr>
          <w:t>CC BY-NC-SA 4.0</w:t>
        </w:r>
      </w:hyperlink>
      <w:r w:rsidRPr="00C553C8">
        <w:rPr>
          <w:sz w:val="18"/>
          <w:szCs w:val="18"/>
        </w:rPr>
        <w:t xml:space="preserve">, which permits </w:t>
      </w:r>
      <w:r w:rsidRPr="003657B5">
        <w:rPr>
          <w:sz w:val="18"/>
          <w:szCs w:val="18"/>
        </w:rPr>
        <w:t>copying, redistributing, remixing, transformation, and building upon the material</w:t>
      </w:r>
      <w:r w:rsidRPr="00C553C8">
        <w:rPr>
          <w:sz w:val="18"/>
          <w:szCs w:val="18"/>
        </w:rPr>
        <w:t xml:space="preserve"> in any medium so long as the original work is properly cited.</w:t>
      </w:r>
    </w:p>
    <w:p w14:paraId="7FB8D468" w14:textId="77777777" w:rsidR="00D70A25" w:rsidRPr="00C553C8" w:rsidRDefault="00D70A25" w:rsidP="00D70A25">
      <w:pPr>
        <w:ind w:left="227" w:right="227"/>
        <w:rPr>
          <w:sz w:val="18"/>
          <w:szCs w:val="18"/>
        </w:rPr>
      </w:pPr>
    </w:p>
    <w:p w14:paraId="70B99124" w14:textId="77777777" w:rsidR="00D70A25" w:rsidRDefault="00D70A25" w:rsidP="00D70A25">
      <w:pPr>
        <w:ind w:left="227" w:right="227"/>
        <w:rPr>
          <w:sz w:val="18"/>
          <w:szCs w:val="18"/>
        </w:rPr>
      </w:pPr>
      <w:r w:rsidRPr="009849C2">
        <w:rPr>
          <w:sz w:val="18"/>
          <w:szCs w:val="18"/>
        </w:rPr>
        <w:t>doi: 10.4108/</w:t>
      </w:r>
      <w:r>
        <w:rPr>
          <w:sz w:val="18"/>
          <w:szCs w:val="18"/>
        </w:rPr>
        <w:t>_______________</w:t>
      </w:r>
    </w:p>
    <w:p w14:paraId="1A01F98F" w14:textId="77777777" w:rsidR="00D70A25" w:rsidRDefault="00D70A25" w:rsidP="00D70A25">
      <w:pPr>
        <w:ind w:left="227" w:right="227"/>
        <w:rPr>
          <w:sz w:val="18"/>
          <w:szCs w:val="18"/>
        </w:rPr>
      </w:pPr>
    </w:p>
    <w:p w14:paraId="58CF9094" w14:textId="77777777" w:rsidR="00D70A25" w:rsidRPr="00AB31F2" w:rsidRDefault="00D70A25" w:rsidP="00D70A25">
      <w:pPr>
        <w:ind w:right="227"/>
        <w:sectPr w:rsidR="00D70A25" w:rsidRPr="00AB31F2" w:rsidSect="0049356C">
          <w:headerReference w:type="even" r:id="rId9"/>
          <w:headerReference w:type="default" r:id="rId10"/>
          <w:footerReference w:type="even" r:id="rId11"/>
          <w:footerReference w:type="default" r:id="rId12"/>
          <w:headerReference w:type="first" r:id="rId13"/>
          <w:footerReference w:type="first" r:id="rId14"/>
          <w:footnotePr>
            <w:pos w:val="beneathText"/>
            <w:numFmt w:val="chicago"/>
          </w:footnotePr>
          <w:pgSz w:w="11906" w:h="16838" w:code="9"/>
          <w:pgMar w:top="1644" w:right="907" w:bottom="1531" w:left="907" w:header="680" w:footer="680" w:gutter="0"/>
          <w:pgNumType w:start="1"/>
          <w:cols w:space="720"/>
          <w:noEndnote/>
          <w:titlePg/>
          <w:docGrid w:linePitch="272"/>
        </w:sectPr>
      </w:pPr>
    </w:p>
    <w:p>
      <w:pPr>
        <w:pStyle w:val="ICST-Introduction"/>
        <w:numPr>
          <w:ilvl w:val="0"/>
          <w:numId w:val="24"/>
        </w:numPr>
      </w:pPr>
      <w:r>
        <w:rPr/>
        <w:t>Introduction</w:t>
      </w:r>
    </w:p>
    <w:p>
      <w:pPr>
        <w:pStyle w:val="ICST-Bodytextwithindent"/>
      </w:pPr>
      <w:r>
        <w:rPr/>
        <w:t>Microservice architectures decompose an application into many independently deployed services that communicate through dynamic call graphs. This improves scalability and release velocity, but it complicates failure diagnosis: a fault in one service propagates along dependencies and surfaces as symptoms in many other components. During an incident, site reliability engineers must examine heterogeneous observability data under time pressure: metrics, logs and traces (MLT), together with Kubernetes events, alerts and topology snapshots. Automating this diagnosis, known as root cause analysis (RCA), is a core problem of artificial intelligence for IT operations (AIOps).</w:t>
      </w:r>
    </w:p>
    <w:p>
      <w:pPr>
        <w:pStyle w:val="ICST-Bodytextwithindent"/>
      </w:pPr>
      <w:r>
        <w:rPr/>
        <w:t>Large language models (LLMs) have enabled AIOps agents that reason over observability data through chain-of-thought prompting and ReAct-style tool use [1], [17]. Their main obstacle is the volume of the evidence. The RCA100 benchmark [6] comprises about 116 million telemetry rows (3.4 GB) for 103 incidents, i.e. roughly 1.1 million rows per incident across six modalities. Most of these rows describe normal behaviour. An agent that reads them through repeated tool calls spends a large number of tokens, exceeds the context window of small models, and is exposed to the loss of relevant evidence in long contexts [30]. Three practical problems follow. First, cost: the diagnosis becomes slow and expensive, and it cannot run on premises without an external API. Second, topology blindness: without the dependency graph, evidence that is only temporally correlated is mistaken for a cause. Third, opacity: an answer produced from a long, unstructured context gives little indication of which observation decided it.</w:t>
      </w:r>
    </w:p>
    <w:p>
      <w:pPr>
        <w:pStyle w:val="ICST-Bodytextwithindent"/>
      </w:pPr>
      <w:r>
        <w:rPr/>
        <w:t>RCA100 makes these problems measurable. Besides MLT it supplies events, alerts and a per-case topology graph, and it scores a diagnosis along three pillars: Entity Localization (EL), Fault Identification (FI) among 28 fault types, and Reasoning Process (RP), which compares a typed causal chain and its evidence checkpoints with an expert reference [6]. A system can therefore name the right entity and still lose credit for a wrong mechanism or an unsupported chain.</w:t>
      </w:r>
    </w:p>
    <w:p>
      <w:pPr>
        <w:pStyle w:val="ICST-Bodytextwithindent"/>
      </w:pPr>
      <w:r>
        <w:rPr/>
        <w:t>This paper presents GAMA-RCA (Graph-Aware Multimodal Attribution), which reverses the usual division of labour. Instead of giving the LLM a large context and asking it to decide, GAMA-RCA compresses the telemetry with calibrated statistics, makes the decision with an explicit Bayesian model over the service topology, and uses a small local LLM only where statistics cannot help: reading the text of a few selected log templates, choosing among a short list of statistically plausible fault types, and writing the explanation. Every LLM output must quote the evidence it relies on, and an output that cannot be matched to the evidence is discarded. An earlier version of this work, in which LLM agents made every decision over retrieved evidence, localised the entity reasonably often but rarely identified the fault type; the design presented here is the result of moving the decision from the LLM to the statistical model.</w:t>
      </w:r>
    </w:p>
    <w:p>
      <w:pPr>
        <w:pStyle w:val="ICST-Bodytextwithindent"/>
      </w:pPr>
      <w:r>
        <w:rPr/>
        <w:t>The contributions of this paper are summarized as follows:</w:t>
      </w:r>
    </w:p>
    <w:p>
      <w:pPr>
        <w:pStyle w:val="ICST-Bodytextwithindent"/>
        <w:numPr>
          <w:ilvl w:val="0"/>
          <w:numId w:val="22"/>
        </w:numPr>
      </w:pPr>
      <w:r>
        <w:rPr/>
        <w:t>We propose GAMA-RCA, a label-free RCA method that compresses six telemetry modalities into calibrated observations, infers the root-cause entity and fault type with a Bayesian model that uses the service topology, a per-case propagation probability estimated by EM and onset precedence, and uses a local LLM only as a grounded sensor.</w:t>
      </w:r>
    </w:p>
    <w:p>
      <w:pPr>
        <w:pStyle w:val="ICST-Bodytextwithindent"/>
        <w:numPr>
          <w:ilvl w:val="0"/>
          <w:numId w:val="22"/>
        </w:numPr>
      </w:pPr>
      <w:r>
        <w:rPr/>
        <w:t>We evaluate it on all 103 RCA100 cases with the benchmark's EL, FI and RP metrics, report its cost (time and tokens per case on free hardware), and ablate its components.</w:t>
      </w:r>
    </w:p>
    <w:p>
      <w:pPr>
        <w:pStyle w:val="ICST-Bodytextwithindent"/>
        <w:numPr>
          <w:ilvl w:val="0"/>
          <w:numId w:val="22"/>
        </w:numPr>
      </w:pPr>
      <w:r>
        <w:rPr/>
        <w:t>We analyse where the diagnosis fails: the entity is found far more often than the fault type, the remaining type errors concentrate on near-duplicate classes, and the posterior probability indicates which diagnoses can be trusted.</w:t>
      </w:r>
    </w:p>
    <w:p>
      <w:pPr>
        <w:pStyle w:val="ICST-Bodytextwithindent"/>
      </w:pPr>
      <w:r>
        <w:rPr/>
        <w:t>Section 2 reviews related work. Section 3 describes GAMA-RCA. Section 4 presents the experimental setup and the results, Section 5 discusses limitations, and Section 6 concludes. The appendices list the fault fingerprints, the hyperparameters, the LLM prompts and further results.</w:t>
      </w:r>
    </w:p>
    <w:p>
      <w:pPr>
        <w:pStyle w:val="ICST-Heading1"/>
        <w:numPr>
          <w:ilvl w:val="0"/>
          <w:numId w:val="24"/>
        </w:numPr>
      </w:pPr>
      <w:r>
        <w:rPr/>
        <w:t>Related Work</w:t>
      </w:r>
    </w:p>
    <w:p>
      <w:pPr>
        <w:pStyle w:val="ICST-Bodytextwithindent"/>
      </w:pPr>
      <w:r>
        <w:rPr/>
        <w:t>Before LLMs, RCA relied mainly on single-modality statistical methods: graph-centrality ranking over the service topology [7], [8], causal discovery over metric time series [9], [10], [11], change-point detection [12] and trace-path mining [13], [14]. Nezha [15] and MULAN [16] fused several modalities into a shared event graph or embedding. These methods are cheap and do not depend on an LLM, but they return a ranked list of components without a fault type or a human-readable justification, and they are often sensitive to tuning. GAMA-RCA keeps the statistical treatment of numeric telemetry and adds an explicit, inspectable hypothesis space over entities and fault types.</w:t>
      </w:r>
    </w:p>
    <w:p>
      <w:pPr>
        <w:pStyle w:val="ICST-Heading2"/>
      </w:pPr>
      <w:r>
        <w:rPr/>
        <w:t>2.1. LLM-Based RCA Agents and Benchmarks</w:t>
      </w:r>
    </w:p>
    <w:p>
      <w:pPr>
        <w:pStyle w:val="ICST-Bodytextwithindent"/>
      </w:pPr>
      <w:r>
        <w:rPr/>
        <w:t>Chen et al. [17] showed that an LLM can recommend a plausible root cause given structured incident context; OpenRCA [18] and RCAEval [19] formalised the task and reported that an LLM reading raw telemetry struggles to localise faults reliably. AIOpsLab [20], ITBench [21] and SREGym [22] provide interactive environments for tool-using agents. RCA100 [6] adds events, alerts and topology, and its checkpoint-based RP score rewards a chain that cites the right evidence. The agent released with this benchmark reaches 38.8–51.5% joint accuracy (entity and fault type both correct) with API-hosted LLMs [6]; such agents issue many tool calls over large contexts per incident.</w:t>
      </w:r>
    </w:p>
    <w:p>
      <w:pPr>
        <w:pStyle w:val="ICST-Heading2"/>
      </w:pPr>
      <w:r>
        <w:rPr/>
        <w:t>2.2. Multi-Agent and Hybrid Systems</w:t>
      </w:r>
    </w:p>
    <w:p>
      <w:pPr>
        <w:pStyle w:val="ICST-Bodytextwithindent"/>
      </w:pPr>
      <w:r>
        <w:rPr/>
        <w:t>Flow-of-Action [4] guides a ReAct agent [1] with standard operating procedures, mABC [5] coordinates seven agents through voting, and GALA [23] refines a statistical ranking with re-ranking and deep-dive agents. Retrieval-augmented generation [2] and GraphRAG [3] reduce the context by retrieving relevant evidence. In all of these the LLM still decides, and the evidence that reaches it is selected by tool calls, similarity or a ranking. GAMA-RCA differs in three respects (Table 1): the numeric evidence never reaches the LLM as raw rows; the decision is a posterior probability over explicit hypotheses; and the LLM's contributions are restricted to verifiable classifications whose quotes are checked against the evidence.</w:t>
      </w:r>
    </w:p>
    <w:p>
      <w:pPr>
        <w:pStyle w:val="ICST-Heading2"/>
      </w:pPr>
      <w:r>
        <w:rPr/>
        <w:t>2.3. Probabilistic Diagnosis</w:t>
      </w:r>
    </w:p>
    <w:p>
      <w:pPr>
        <w:pStyle w:val="ICST-Bodytextwithindent"/>
      </w:pPr>
      <w:r>
        <w:rPr/>
        <w:t>Fault diagnosis with Bayesian networks, explaining away [24] and the choice of tests by expected information gain [25] are classical. GAMA-RCA instantiates these ideas for microservice telemetry: the hypotheses are (entity, fault type) pairs, the observations are calibrated tests against an empirical null [26], [27], propagation along the call graph explains symptoms away from the root, and the LLM is treated as a noisy sensor whose readings enter the likelihood.</w:t>
      </w:r>
    </w:p>
    <w:p>
      <w:pPr>
        <w:pStyle w:val="ICST-Captions"/>
        <w:keepNext/>
      </w:pPr>
      <w:r>
        <w:rPr/>
        <w:t>Table 1. Positioning of GAMA-RCA relative to prior LLM-based RCA work.</w:t>
      </w:r>
    </w:p>
    <w:tbl>
      <w:tblPr>
        <w:tblW w:type="auto" w:w="0"/>
        <w:jc w:val="center"/>
        <w:tblBorders>
          <w:top w:val="single" w:sz="10" w:color="000000"/>
          <w:bottom w:val="single" w:sz="10" w:color="000000"/>
        </w:tblBorders>
        <w:tblLook w:firstColumn="1" w:firstRow="1" w:lastColumn="0" w:lastRow="0" w:noHBand="0" w:noVBand="1" w:val="04A0"/>
      </w:tblPr>
      <w:tblGrid>
        <w:gridCol w:w="1020"/>
        <w:gridCol w:w="1303"/>
        <w:gridCol w:w="1190"/>
        <w:gridCol w:w="1133"/>
      </w:tblGrid>
      <w:tr>
        <w:trPr>
          <w:tblHeader/>
          <w:cantSplit/>
        </w:trPr>
        <w:tc>
          <w:tcPr>
            <w:tcW w:type="dxa" w:w="1020"/>
            <w:tcBorders>
              <w:bottom w:val="single" w:sz="6" w:color="000000"/>
            </w:tcBorders>
          </w:tcPr>
          <w:p>
            <w:pPr>
              <w:pStyle w:val="ICST-Tabletext"/>
              <w:spacing w:before="20" w:after="20"/>
              <w:ind w:firstLine="0"/>
              <w:jc w:val="left"/>
            </w:pPr>
            <w:r>
              <w:rPr>
                <w:b/>
                <w:sz w:val="14"/>
              </w:rPr>
              <w:t>Approach</w:t>
            </w:r>
          </w:p>
        </w:tc>
        <w:tc>
          <w:tcPr>
            <w:tcW w:type="dxa" w:w="1304"/>
            <w:tcBorders>
              <w:bottom w:val="single" w:sz="6" w:color="000000"/>
            </w:tcBorders>
          </w:tcPr>
          <w:p>
            <w:pPr>
              <w:pStyle w:val="ICST-Tabletext"/>
              <w:spacing w:before="20" w:after="20"/>
              <w:ind w:firstLine="0"/>
              <w:jc w:val="left"/>
            </w:pPr>
            <w:r>
              <w:rPr>
                <w:b/>
                <w:sz w:val="14"/>
              </w:rPr>
              <w:t>Evidence given to the LLM</w:t>
            </w:r>
          </w:p>
        </w:tc>
        <w:tc>
          <w:tcPr>
            <w:tcW w:type="dxa" w:w="1191"/>
            <w:tcBorders>
              <w:bottom w:val="single" w:sz="6" w:color="000000"/>
            </w:tcBorders>
          </w:tcPr>
          <w:p>
            <w:pPr>
              <w:pStyle w:val="ICST-Tabletext"/>
              <w:spacing w:before="20" w:after="20"/>
              <w:ind w:firstLine="0"/>
              <w:jc w:val="left"/>
            </w:pPr>
            <w:r>
              <w:rPr>
                <w:b/>
                <w:sz w:val="14"/>
              </w:rPr>
              <w:t>Who decides</w:t>
            </w:r>
          </w:p>
        </w:tc>
        <w:tc>
          <w:tcPr>
            <w:tcW w:type="dxa" w:w="1134"/>
            <w:tcBorders>
              <w:bottom w:val="single" w:sz="6" w:color="000000"/>
            </w:tcBorders>
          </w:tcPr>
          <w:p>
            <w:pPr>
              <w:pStyle w:val="ICST-Tabletext"/>
              <w:spacing w:before="20" w:after="20"/>
              <w:ind w:firstLine="0"/>
              <w:jc w:val="left"/>
            </w:pPr>
            <w:r>
              <w:rPr>
                <w:b/>
                <w:sz w:val="14"/>
              </w:rPr>
              <w:t>Explainability</w:t>
            </w:r>
          </w:p>
        </w:tc>
      </w:tr>
      <w:tr>
        <w:trPr>
          <w:cantSplit/>
        </w:trPr>
        <w:tc>
          <w:tcPr>
            <w:tcW w:type="dxa" w:w="1020"/>
          </w:tcPr>
          <w:p>
            <w:pPr>
              <w:pStyle w:val="ICST-Tabletext"/>
              <w:spacing w:before="20" w:after="20"/>
              <w:ind w:firstLine="0"/>
              <w:jc w:val="left"/>
            </w:pPr>
            <w:r>
              <w:rPr>
                <w:sz w:val="14"/>
              </w:rPr>
              <w:t>RCAEval [19]</w:t>
            </w:r>
          </w:p>
        </w:tc>
        <w:tc>
          <w:tcPr>
            <w:tcW w:type="dxa" w:w="1304"/>
          </w:tcPr>
          <w:p>
            <w:pPr>
              <w:pStyle w:val="ICST-Tabletext"/>
              <w:spacing w:before="20" w:after="20"/>
              <w:ind w:firstLine="0"/>
              <w:jc w:val="left"/>
            </w:pPr>
            <w:r>
              <w:rPr>
                <w:sz w:val="14"/>
              </w:rPr>
              <w:t>Raw context</w:t>
            </w:r>
          </w:p>
        </w:tc>
        <w:tc>
          <w:tcPr>
            <w:tcW w:type="dxa" w:w="1191"/>
          </w:tcPr>
          <w:p>
            <w:pPr>
              <w:pStyle w:val="ICST-Tabletext"/>
              <w:spacing w:before="20" w:after="20"/>
              <w:ind w:firstLine="0"/>
              <w:jc w:val="left"/>
            </w:pPr>
            <w:r>
              <w:rPr>
                <w:sz w:val="14"/>
              </w:rPr>
              <w:t>Single LLM</w:t>
            </w:r>
          </w:p>
        </w:tc>
        <w:tc>
          <w:tcPr>
            <w:tcW w:type="dxa" w:w="1134"/>
          </w:tcPr>
          <w:p>
            <w:pPr>
              <w:pStyle w:val="ICST-Tabletext"/>
              <w:spacing w:before="20" w:after="20"/>
              <w:ind w:firstLine="0"/>
              <w:jc w:val="left"/>
            </w:pPr>
            <w:r>
              <w:rPr>
                <w:sz w:val="14"/>
              </w:rPr>
              <w:t>Top-k accuracy</w:t>
            </w:r>
          </w:p>
        </w:tc>
      </w:tr>
      <w:tr>
        <w:trPr>
          <w:cantSplit/>
        </w:trPr>
        <w:tc>
          <w:tcPr>
            <w:tcW w:type="dxa" w:w="1020"/>
          </w:tcPr>
          <w:p>
            <w:pPr>
              <w:pStyle w:val="ICST-Tabletext"/>
              <w:spacing w:before="20" w:after="20"/>
              <w:ind w:firstLine="0"/>
              <w:jc w:val="left"/>
            </w:pPr>
            <w:r>
              <w:rPr>
                <w:sz w:val="14"/>
              </w:rPr>
              <w:t>Flow-of-Action [4]</w:t>
            </w:r>
          </w:p>
        </w:tc>
        <w:tc>
          <w:tcPr>
            <w:tcW w:type="dxa" w:w="1304"/>
          </w:tcPr>
          <w:p>
            <w:pPr>
              <w:pStyle w:val="ICST-Tabletext"/>
              <w:spacing w:before="20" w:after="20"/>
              <w:ind w:firstLine="0"/>
              <w:jc w:val="left"/>
            </w:pPr>
            <w:r>
              <w:rPr>
                <w:sz w:val="14"/>
              </w:rPr>
              <w:t>Tool-call results</w:t>
            </w:r>
          </w:p>
        </w:tc>
        <w:tc>
          <w:tcPr>
            <w:tcW w:type="dxa" w:w="1191"/>
          </w:tcPr>
          <w:p>
            <w:pPr>
              <w:pStyle w:val="ICST-Tabletext"/>
              <w:spacing w:before="20" w:after="20"/>
              <w:ind w:firstLine="0"/>
              <w:jc w:val="left"/>
            </w:pPr>
            <w:r>
              <w:rPr>
                <w:sz w:val="14"/>
              </w:rPr>
              <w:t>ReAct agent</w:t>
            </w:r>
          </w:p>
        </w:tc>
        <w:tc>
          <w:tcPr>
            <w:tcW w:type="dxa" w:w="1134"/>
          </w:tcPr>
          <w:p>
            <w:pPr>
              <w:pStyle w:val="ICST-Tabletext"/>
              <w:spacing w:before="20" w:after="20"/>
              <w:ind w:firstLine="0"/>
              <w:jc w:val="left"/>
            </w:pPr>
            <w:r>
              <w:rPr>
                <w:sz w:val="14"/>
              </w:rPr>
              <w:t>Top-k accuracy</w:t>
            </w:r>
          </w:p>
        </w:tc>
      </w:tr>
      <w:tr>
        <w:trPr>
          <w:cantSplit/>
        </w:trPr>
        <w:tc>
          <w:tcPr>
            <w:tcW w:type="dxa" w:w="1020"/>
          </w:tcPr>
          <w:p>
            <w:pPr>
              <w:pStyle w:val="ICST-Tabletext"/>
              <w:spacing w:before="20" w:after="20"/>
              <w:ind w:firstLine="0"/>
              <w:jc w:val="left"/>
            </w:pPr>
            <w:r>
              <w:rPr>
                <w:sz w:val="14"/>
              </w:rPr>
              <w:t>mABC [5]</w:t>
            </w:r>
          </w:p>
        </w:tc>
        <w:tc>
          <w:tcPr>
            <w:tcW w:type="dxa" w:w="1304"/>
          </w:tcPr>
          <w:p>
            <w:pPr>
              <w:pStyle w:val="ICST-Tabletext"/>
              <w:spacing w:before="20" w:after="20"/>
              <w:ind w:firstLine="0"/>
              <w:jc w:val="left"/>
            </w:pPr>
            <w:r>
              <w:rPr>
                <w:sz w:val="14"/>
              </w:rPr>
              <w:t>Tool-call results</w:t>
            </w:r>
          </w:p>
        </w:tc>
        <w:tc>
          <w:tcPr>
            <w:tcW w:type="dxa" w:w="1191"/>
          </w:tcPr>
          <w:p>
            <w:pPr>
              <w:pStyle w:val="ICST-Tabletext"/>
              <w:spacing w:before="20" w:after="20"/>
              <w:ind w:firstLine="0"/>
              <w:jc w:val="left"/>
            </w:pPr>
            <w:r>
              <w:rPr>
                <w:sz w:val="14"/>
              </w:rPr>
              <w:t>7-agent vote</w:t>
            </w:r>
          </w:p>
        </w:tc>
        <w:tc>
          <w:tcPr>
            <w:tcW w:type="dxa" w:w="1134"/>
          </w:tcPr>
          <w:p>
            <w:pPr>
              <w:pStyle w:val="ICST-Tabletext"/>
              <w:spacing w:before="20" w:after="20"/>
              <w:ind w:firstLine="0"/>
              <w:jc w:val="left"/>
            </w:pPr>
            <w:r>
              <w:rPr>
                <w:sz w:val="14"/>
              </w:rPr>
              <w:t>Top-k accuracy</w:t>
            </w:r>
          </w:p>
        </w:tc>
      </w:tr>
      <w:tr>
        <w:trPr>
          <w:cantSplit/>
        </w:trPr>
        <w:tc>
          <w:tcPr>
            <w:tcW w:type="dxa" w:w="1020"/>
          </w:tcPr>
          <w:p>
            <w:pPr>
              <w:pStyle w:val="ICST-Tabletext"/>
              <w:spacing w:before="20" w:after="20"/>
              <w:ind w:firstLine="0"/>
              <w:jc w:val="left"/>
            </w:pPr>
            <w:r>
              <w:rPr>
                <w:sz w:val="14"/>
              </w:rPr>
              <w:t>GALA [23]</w:t>
            </w:r>
          </w:p>
        </w:tc>
        <w:tc>
          <w:tcPr>
            <w:tcW w:type="dxa" w:w="1304"/>
          </w:tcPr>
          <w:p>
            <w:pPr>
              <w:pStyle w:val="ICST-Tabletext"/>
              <w:spacing w:before="20" w:after="20"/>
              <w:ind w:firstLine="0"/>
              <w:jc w:val="left"/>
            </w:pPr>
            <w:r>
              <w:rPr>
                <w:sz w:val="14"/>
              </w:rPr>
              <w:t>Statistical + trace ranking</w:t>
            </w:r>
          </w:p>
        </w:tc>
        <w:tc>
          <w:tcPr>
            <w:tcW w:type="dxa" w:w="1191"/>
          </w:tcPr>
          <w:p>
            <w:pPr>
              <w:pStyle w:val="ICST-Tabletext"/>
              <w:spacing w:before="20" w:after="20"/>
              <w:ind w:firstLine="0"/>
              <w:jc w:val="left"/>
            </w:pPr>
            <w:r>
              <w:rPr>
                <w:sz w:val="14"/>
              </w:rPr>
              <w:t>3-agent loop</w:t>
            </w:r>
          </w:p>
        </w:tc>
        <w:tc>
          <w:tcPr>
            <w:tcW w:type="dxa" w:w="1134"/>
          </w:tcPr>
          <w:p>
            <w:pPr>
              <w:pStyle w:val="ICST-Tabletext"/>
              <w:spacing w:before="20" w:after="20"/>
              <w:ind w:firstLine="0"/>
              <w:jc w:val="left"/>
            </w:pPr>
            <w:r>
              <w:rPr>
                <w:sz w:val="14"/>
              </w:rPr>
              <w:t>Top-k + NLG</w:t>
            </w:r>
          </w:p>
        </w:tc>
      </w:tr>
      <w:tr>
        <w:trPr>
          <w:cantSplit/>
        </w:trPr>
        <w:tc>
          <w:tcPr>
            <w:tcW w:type="dxa" w:w="1020"/>
          </w:tcPr>
          <w:p>
            <w:pPr>
              <w:pStyle w:val="ICST-Tabletext"/>
              <w:spacing w:before="20" w:after="20"/>
              <w:ind w:firstLine="0"/>
              <w:jc w:val="left"/>
            </w:pPr>
            <w:r>
              <w:rPr>
                <w:b/>
                <w:sz w:val="14"/>
              </w:rPr>
              <w:t>GAMA-RCA</w:t>
            </w:r>
          </w:p>
        </w:tc>
        <w:tc>
          <w:tcPr>
            <w:tcW w:type="dxa" w:w="1304"/>
          </w:tcPr>
          <w:p>
            <w:pPr>
              <w:pStyle w:val="ICST-Tabletext"/>
              <w:spacing w:before="20" w:after="20"/>
              <w:ind w:firstLine="0"/>
              <w:jc w:val="left"/>
            </w:pPr>
            <w:r>
              <w:rPr>
                <w:b/>
                <w:sz w:val="14"/>
              </w:rPr>
              <w:t>Selected log templates only (≈8.5k tokens/case)</w:t>
            </w:r>
          </w:p>
        </w:tc>
        <w:tc>
          <w:tcPr>
            <w:tcW w:type="dxa" w:w="1191"/>
          </w:tcPr>
          <w:p>
            <w:pPr>
              <w:pStyle w:val="ICST-Tabletext"/>
              <w:spacing w:before="20" w:after="20"/>
              <w:ind w:firstLine="0"/>
              <w:jc w:val="left"/>
            </w:pPr>
            <w:r>
              <w:rPr>
                <w:b/>
                <w:sz w:val="14"/>
              </w:rPr>
              <w:t>Bayesian posterior; LLM picks from a shortlist</w:t>
            </w:r>
          </w:p>
        </w:tc>
        <w:tc>
          <w:tcPr>
            <w:tcW w:type="dxa" w:w="1134"/>
          </w:tcPr>
          <w:p>
            <w:pPr>
              <w:pStyle w:val="ICST-Tabletext"/>
              <w:spacing w:before="20" w:after="20"/>
              <w:ind w:firstLine="0"/>
              <w:jc w:val="left"/>
            </w:pPr>
            <w:r>
              <w:rPr>
                <w:b/>
                <w:sz w:val="14"/>
              </w:rPr>
              <w:t>Chain + per-observation Bayes factors; quotes verified</w:t>
            </w:r>
          </w:p>
        </w:tc>
      </w:tr>
    </w:tbl>
    <w:p>
      <w:pPr>
        <w:pStyle w:val="ICST-Bodytextnoindent"/>
        <w:spacing w:after="80"/>
      </w:pPr>
    </w:p>
    <w:p>
      <w:pPr>
        <w:pStyle w:val="ICST-Heading1"/>
        <w:numPr>
          <w:ilvl w:val="0"/>
          <w:numId w:val="24"/>
        </w:numPr>
      </w:pPr>
      <w:r>
        <w:rPr/>
        <w:t>Methodology</w:t>
      </w:r>
    </w:p>
    <w:p>
      <w:pPr>
        <w:pStyle w:val="ICST-Heading2"/>
        <w:numPr>
          <w:ilvl w:val="1"/>
          <w:numId w:val="24"/>
        </w:numPr>
      </w:pPr>
      <w:r>
        <w:rPr/>
        <w:t>Overview</w:t>
      </w:r>
    </w:p>
    <w:p>
      <w:pPr>
        <w:pStyle w:val="ICST-Bodytextwithindent"/>
      </w:pPr>
      <w:r>
        <w:rPr/>
        <w:t>GAMA-RCA takes the alert, the topology snapshot and the telemetry of one incident and returns the root-cause entity, its fault type and a causal chain (cause → propagation → impact). It has five stages (Fig. 1). ① Every series, event stream and log template is compressed into a calibrated observation. ② A Bayesian model computes the posterior over (entity × fault type) hypotheses. ③ Optionally, a local LLM reads the text of the entity whose reading is expected to be most informative, and its answer updates the posterior. ④ The answer is chosen in two stages. ⑤ The chain is written along the topology path. Stages ①, ②, ④ and the rule-based chain need no LLM and run on a CPU; the LLM parts are optional and every LLM output is checked against the evidence. No component is trained or tuned on the benchmark's answer keys.</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2" w:space="720"/>
          <w:noEndnote/>
          <w:docGrid w:linePitch="272"/>
        </w:sectPr>
      </w:pPr>
    </w:p>
    <w:p>
      <w:pPr>
        <w:pStyle w:val="ICST-Bodytextnoindent"/>
        <w:keepNext/>
        <w:ind w:firstLine="0"/>
        <w:jc w:val="center"/>
      </w:pPr>
      <w:r>
        <w:drawing>
          <wp:inline xmlns:a="http://schemas.openxmlformats.org/drawingml/2006/main" xmlns:pic="http://schemas.openxmlformats.org/drawingml/2006/picture">
            <wp:extent cx="6192000" cy="2373600"/>
            <wp:docPr id="1" name="Picture 1"/>
            <wp:cNvGraphicFramePr>
              <a:graphicFrameLocks noChangeAspect="1"/>
            </wp:cNvGraphicFramePr>
            <a:graphic>
              <a:graphicData uri="http://schemas.openxmlformats.org/drawingml/2006/picture">
                <pic:pic>
                  <pic:nvPicPr>
                    <pic:cNvPr id="0" name="gama_rca_architecture_simple.png"/>
                    <pic:cNvPicPr/>
                  </pic:nvPicPr>
                  <pic:blipFill>
                    <a:blip r:embed="rId17"/>
                    <a:stretch>
                      <a:fillRect/>
                    </a:stretch>
                  </pic:blipFill>
                  <pic:spPr>
                    <a:xfrm>
                      <a:off x="0" y="0"/>
                      <a:ext cx="6192000" cy="2373600"/>
                    </a:xfrm>
                    <a:prstGeom prst="rect"/>
                  </pic:spPr>
                </pic:pic>
              </a:graphicData>
            </a:graphic>
          </wp:inline>
        </w:drawing>
      </w:r>
    </w:p>
    <w:p>
      <w:pPr>
        <w:pStyle w:val="ICST-Captions"/>
      </w:pPr>
      <w:r>
        <w:rPr/>
        <w:t>Figure 1. Architecture of GAMA-RCA. Blue: statistical core (CPU). Orange, dashed: optional local LLM (Qwen3-8B). A check mark denotes an output verified against the evidence.</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1" w:space="720"/>
          <w:noEndnote/>
          <w:docGrid w:linePitch="272"/>
        </w:sectPr>
      </w:pPr>
    </w:p>
    <w:p>
      <w:pPr>
        <w:pStyle w:val="ICST-Heading2"/>
        <w:numPr>
          <w:ilvl w:val="1"/>
          <w:numId w:val="24"/>
        </w:numPr>
      </w:pPr>
      <w:r>
        <w:rPr/>
        <w:t>Calibrated Evidence</w:t>
      </w:r>
    </w:p>
    <w:p>
      <w:pPr>
        <w:pStyle w:val="ICST-Bodytextwithindent"/>
      </w:pPr>
      <w:r>
        <w:rPr/>
        <w:t>For an entity e (a service or a node) and the alert window W, each metric series x is scored by the size of its shift relative to the history H of four window lengths immediately before W:</w:t>
      </w:r>
    </w:p>
    <w:p>
      <w:pPr>
        <w:pStyle w:val="ICST-Bodytextnoindent"/>
        <w:tabs>
          <w:tab w:val="center" w:pos="2343"/>
          <w:tab w:val="right" w:pos="4686"/>
        </w:tabs>
        <w:spacing w:before="60" w:after="60"/>
      </w:pPr>
      <w:r>
        <w:tab/>
      </w:r>
      <m:oMath>
        <m:r>
          <m:t>z</m:t>
        </m:r>
        <m:r>
          <m:rPr>
            <m:sty m:val="p"/>
          </m:rPr>
          <m:t>=</m:t>
        </m:r>
        <m:f>
          <m:fPr>
            <m:type m:val="bar"/>
          </m:fPr>
          <m:num>
            <m:r>
              <m:rPr>
                <m:sty m:val="p"/>
              </m:rPr>
              <m:t>med</m:t>
            </m:r>
            <m:d>
              <m:dPr>
                <m:begChr m:val="("/>
                <m:sepChr m:val=""/>
                <m:endChr m:val=")"/>
                <m:grow/>
              </m:dPr>
              <m:e>
                <m:sSub>
                  <m:e>
                    <m:r>
                      <m:t>x</m:t>
                    </m:r>
                  </m:e>
                  <m:sub>
                    <m:r>
                      <m:t>W</m:t>
                    </m:r>
                  </m:sub>
                </m:sSub>
              </m:e>
            </m:d>
            <m:r>
              <m:rPr>
                <m:sty m:val="p"/>
              </m:rPr>
              <m:t>−</m:t>
            </m:r>
            <m:r>
              <m:rPr>
                <m:sty m:val="p"/>
              </m:rPr>
              <m:t>med</m:t>
            </m:r>
            <m:d>
              <m:dPr>
                <m:begChr m:val="("/>
                <m:sepChr m:val=""/>
                <m:endChr m:val=")"/>
                <m:grow/>
              </m:dPr>
              <m:e>
                <m:sSub>
                  <m:e>
                    <m:r>
                      <m:t>x</m:t>
                    </m:r>
                  </m:e>
                  <m:sub>
                    <m:r>
                      <m:t>H</m:t>
                    </m:r>
                  </m:sub>
                </m:sSub>
              </m:e>
            </m:d>
          </m:num>
          <m:den>
            <m:r>
              <m:rPr>
                <m:sty m:val="p"/>
              </m:rPr>
              <m:t>max</m:t>
            </m:r>
            <m:d>
              <m:dPr>
                <m:begChr m:val="("/>
                <m:sepChr m:val=""/>
                <m:endChr m:val=")"/>
                <m:grow/>
              </m:dPr>
              <m:e>
                <m:r>
                  <m:t>1.4826</m:t>
                </m:r>
                <m:r>
                  <m:t> </m:t>
                </m:r>
                <m:r>
                  <m:rPr>
                    <m:sty m:val="p"/>
                  </m:rPr>
                  <m:t>MAD</m:t>
                </m:r>
                <m:d>
                  <m:dPr>
                    <m:begChr m:val="("/>
                    <m:sepChr m:val=""/>
                    <m:endChr m:val=")"/>
                    <m:grow/>
                  </m:dPr>
                  <m:e>
                    <m:sSub>
                      <m:e>
                        <m:r>
                          <m:t>x</m:t>
                        </m:r>
                      </m:e>
                      <m:sub>
                        <m:r>
                          <m:t>H</m:t>
                        </m:r>
                      </m:sub>
                    </m:sSub>
                  </m:e>
                </m:d>
                <m:r>
                  <m:rPr>
                    <m:sty m:val="p"/>
                  </m:rPr>
                  <m:t>,</m:t>
                </m:r>
                <m:r>
                  <m:t> </m:t>
                </m:r>
                <m:r>
                  <m:t>ρ</m:t>
                </m:r>
                <m:r>
                  <m:t> </m:t>
                </m:r>
                <m:d>
                  <m:dPr>
                    <m:begChr m:val="|"/>
                    <m:sepChr m:val=""/>
                    <m:endChr m:val="|"/>
                    <m:grow/>
                  </m:dPr>
                  <m:e>
                    <m:r>
                      <m:rPr>
                        <m:sty m:val="p"/>
                      </m:rPr>
                      <m:t>med</m:t>
                    </m:r>
                    <m:d>
                      <m:dPr>
                        <m:begChr m:val="("/>
                        <m:sepChr m:val=""/>
                        <m:endChr m:val=")"/>
                        <m:grow/>
                      </m:dPr>
                      <m:e>
                        <m:sSub>
                          <m:e>
                            <m:r>
                              <m:t>x</m:t>
                            </m:r>
                          </m:e>
                          <m:sub>
                            <m:r>
                              <m:t>H</m:t>
                            </m:r>
                          </m:sub>
                        </m:sSub>
                      </m:e>
                    </m:d>
                  </m:e>
                </m:d>
                <m:r>
                  <m:rPr>
                    <m:sty m:val="p"/>
                  </m:rPr>
                  <m:t>,</m:t>
                </m:r>
                <m:r>
                  <m:t> </m:t>
                </m:r>
                <m:r>
                  <m:t>ϵ</m:t>
                </m:r>
              </m:e>
            </m:d>
          </m:den>
        </m:f>
      </m:oMath>
      <w:r>
        <w:tab/>
        <w:t>(1)</w:t>
      </w:r>
    </w:p>
    <w:p>
      <w:pPr>
        <w:pStyle w:val="ICST-Bodytextwithindent"/>
      </w:pPr>
      <w:r>
        <w:rPr/>
        <w:t>where ρ = 0.05 keeps a flat history from producing an infinite score. The direction of the expected change (rise or drop) is applied to z, and the score of a signal family (CPU, memory, GC, threads, requests, latency, errors, restarts, availability, …) is the largest directional z over its testable series. Event-count families are zero-filled per 30-s bin; configuration constants and fault-injection workloads are excluded. Monitoring series drift and are autocorrelated, so z is not used as a probability. Instead, the same score is computed on K = 5 pseudo-windows cut from the incident's own baseline and pooled over entities of the same kind, giving an empirical null N [26] and a calibrated p-value [27]:</w:t>
      </w:r>
    </w:p>
    <w:p>
      <w:pPr>
        <w:pStyle w:val="ICST-Bodytextnoindent"/>
        <w:tabs>
          <w:tab w:val="center" w:pos="2343"/>
          <w:tab w:val="right" w:pos="4686"/>
        </w:tabs>
        <w:spacing w:before="60" w:after="60"/>
      </w:pPr>
      <w:r>
        <w:tab/>
      </w:r>
      <m:oMath>
        <m:acc>
          <m:accPr>
            <m:chr m:val="̃"/>
          </m:accPr>
          <m:e>
            <m:r>
              <m:t>p</m:t>
            </m:r>
          </m:e>
        </m:acc>
        <m:r>
          <m:rPr>
            <m:sty m:val="p"/>
          </m:rPr>
          <m:t>=</m:t>
        </m:r>
        <m:f>
          <m:fPr>
            <m:type m:val="bar"/>
          </m:fPr>
          <m:num>
            <m:r>
              <m:t>1</m:t>
            </m:r>
            <m:r>
              <m:rPr>
                <m:sty m:val="p"/>
              </m:rPr>
              <m:t>+</m:t>
            </m:r>
            <m:r>
              <m:rPr>
                <m:sty m:val="p"/>
              </m:rPr>
              <m:t>#</m:t>
            </m:r>
            <m:r>
              <m:rPr>
                <m:sty m:val="p"/>
              </m:rPr>
              <m:t>{</m:t>
            </m:r>
            <m:r>
              <m:t>z</m:t>
            </m:r>
            <m:r>
              <m:rPr>
                <m:sty m:val="p"/>
              </m:rPr>
              <m:t>′</m:t>
            </m:r>
            <m:r>
              <m:rPr>
                <m:sty m:val="p"/>
              </m:rPr>
              <m:t>∈</m:t>
            </m:r>
            <m:r>
              <m:t>N</m:t>
            </m:r>
            <m:r>
              <m:rPr>
                <m:sty m:val="p"/>
              </m:rPr>
              <m:t>:</m:t>
            </m:r>
            <m:r>
              <m:t>z</m:t>
            </m:r>
            <m:r>
              <m:rPr>
                <m:sty m:val="p"/>
              </m:rPr>
              <m:t>′</m:t>
            </m:r>
            <m:r>
              <m:rPr>
                <m:sty m:val="p"/>
              </m:rPr>
              <m:t>≥</m:t>
            </m:r>
            <m:r>
              <m:t>z</m:t>
            </m:r>
            <m:r>
              <m:rPr>
                <m:sty m:val="p"/>
              </m:rPr>
              <m:t>}</m:t>
            </m:r>
          </m:num>
          <m:den>
            <m:d>
              <m:dPr>
                <m:begChr m:val="|"/>
                <m:sepChr m:val=""/>
                <m:endChr m:val="|"/>
                <m:grow/>
              </m:dPr>
              <m:e>
                <m:r>
                  <m:t>N</m:t>
                </m:r>
              </m:e>
            </m:d>
            <m:r>
              <m:rPr>
                <m:sty m:val="p"/>
              </m:rPr>
              <m:t>+</m:t>
            </m:r>
            <m:r>
              <m:t>1</m:t>
            </m:r>
          </m:den>
        </m:f>
      </m:oMath>
      <w:r>
        <w:tab/>
        <w:t>(2)</w:t>
      </w:r>
    </w:p>
    <w:p>
      <w:pPr>
        <w:pStyle w:val="ICST-Bodytextwithindent"/>
      </w:pPr>
      <w:r>
        <w:rPr/>
        <w:t xml:space="preserve">A signal </w:t>
      </w:r>
      <w:r>
        <w:rPr>
          <w:i/>
        </w:rPr>
        <w:t>holds</w:t>
      </w:r>
      <w:r>
        <w:rPr/>
        <w:t xml:space="preserve"> if p̃ ≤ α = 0.05. Before calibration, z is normalised against the same signal of peer entities (common-mode rejection) and against the entity's own pseudo-windows. For each signal that holds, its onset is the first sample whose robust shift reaches 3 robust standard deviations for two consecutive samples.</w:t>
      </w:r>
    </w:p>
    <w:p>
      <w:pPr>
        <w:pStyle w:val="ICST-Bodytextwithindent"/>
      </w:pPr>
      <w:r>
        <w:rPr/>
        <w:t>Categorical observations that name a mechanism need no baseline: Kubernetes events whose rate in the window exceeds their own long-run rate (Poisson test; a first occurrence counts), HTTP status codes of error spans, failing database, cache and queue spans, and deployment availability below the desired level. Logs are reduced to templates with Drain [28]; each template's count in the window is tested against its pre-window rate with a one-sided Poisson test and the Benjamini–Hochberg procedure at q = 0.05 [29]. Only the significant templates are kept for the LLM sensor. In this way about 1.1 million rows per incident become about 620 binary observations.</w:t>
      </w:r>
    </w:p>
    <w:p>
      <w:pPr>
        <w:pStyle w:val="ICST-Heading2"/>
        <w:numPr>
          <w:ilvl w:val="1"/>
          <w:numId w:val="24"/>
        </w:numPr>
      </w:pPr>
      <w:r>
        <w:rPr/>
        <w:t>Hypotheses and Fault Fingerprints</w:t>
      </w:r>
    </w:p>
    <w:p>
      <w:pPr>
        <w:pStyle w:val="ICST-Bodytextwithindent"/>
      </w:pPr>
      <w:r>
        <w:rPr/>
        <w:t>A hypothesis h = (e*, τ) states that entity e* is the root cause with fault type τ, plus an unspecified-anomaly hypothesis per entity and a null hypothesis h</w:t>
      </w:r>
      <w:r>
        <w:rPr>
          <w:vertAlign w:val="subscript"/>
        </w:rPr>
        <w:t>0</w:t>
      </w:r>
      <w:r>
        <w:rPr/>
        <w:t xml:space="preserve"> (no fault). A hypothesis enters the space only if at least one of its key signals is observable in the case, giving about 430 hypotheses per incident. Each of the 28 fault types has a fingerprint, derived from the benchmark's taxonomy definitions before any evaluation, that assigns each signal a role: </w:t>
      </w:r>
      <w:r>
        <w:rPr>
          <w:i/>
        </w:rPr>
        <w:t>key</w:t>
      </w:r>
      <w:r>
        <w:rPr/>
        <w:t xml:space="preserve"> (one of them must hold), </w:t>
      </w:r>
      <w:r>
        <w:rPr>
          <w:i/>
        </w:rPr>
        <w:t>support</w:t>
      </w:r>
      <w:r>
        <w:rPr/>
        <w:t xml:space="preserve">, </w:t>
      </w:r>
      <w:r>
        <w:rPr>
          <w:i/>
        </w:rPr>
        <w:t>may</w:t>
      </w:r>
      <w:r>
        <w:rPr/>
        <w:t xml:space="preserve"> (a possible consequence, e.g. a restart after memory pressure) or </w:t>
      </w:r>
      <w:r>
        <w:rPr>
          <w:i/>
        </w:rPr>
        <w:t>contradict</w:t>
      </w:r>
      <w:r>
        <w:rPr/>
        <w:t xml:space="preserve"> (Appendix A). The posterior is</w:t>
      </w:r>
    </w:p>
    <w:p>
      <w:pPr>
        <w:pStyle w:val="ICST-Bodytextnoindent"/>
        <w:tabs>
          <w:tab w:val="center" w:pos="2343"/>
          <w:tab w:val="right" w:pos="4686"/>
        </w:tabs>
        <w:spacing w:before="60" w:after="60"/>
      </w:pPr>
      <w:r>
        <w:tab/>
      </w:r>
      <m:oMath>
        <m:r>
          <m:t>P</m:t>
        </m:r>
        <m:d>
          <m:dPr>
            <m:begChr m:val="("/>
            <m:sepChr m:val=""/>
            <m:endChr m:val=")"/>
            <m:grow/>
          </m:dPr>
          <m:e>
            <m:r>
              <m:t>h</m:t>
            </m:r>
            <m:r>
              <m:rPr>
                <m:sty m:val="p"/>
              </m:rPr>
              <m:t>∣</m:t>
            </m:r>
            <m:r>
              <m:t>O</m:t>
            </m:r>
          </m:e>
        </m:d>
        <m:r>
          <m:rPr>
            <m:sty m:val="p"/>
          </m:rPr>
          <m:t>∝</m:t>
        </m:r>
        <m:r>
          <m:t>P</m:t>
        </m:r>
        <m:d>
          <m:dPr>
            <m:begChr m:val="("/>
            <m:sepChr m:val=""/>
            <m:endChr m:val=")"/>
            <m:grow/>
          </m:dPr>
          <m:e>
            <m:r>
              <m:t>h</m:t>
            </m:r>
          </m:e>
        </m:d>
        <m:nary>
          <m:naryPr>
            <m:chr m:val="∏"/>
            <m:limLoc m:val="undOvr"/>
            <m:subHide m:val="off"/>
            <m:supHide m:val="on"/>
          </m:naryPr>
          <m:sub>
            <m:r>
              <m:t>o</m:t>
            </m:r>
            <m:r>
              <m:rPr>
                <m:sty m:val="p"/>
              </m:rPr>
              <m:t>∈</m:t>
            </m:r>
            <m:r>
              <m:t>O</m:t>
            </m:r>
          </m:sub>
          <m:sup>
            <m:r>
              <m:t>​</m:t>
            </m:r>
          </m:sup>
          <m:e>
            <m:r>
              <m:t>P</m:t>
            </m:r>
          </m:e>
        </m:nary>
        <m:sSup>
          <m:e>
            <m:d>
              <m:dPr>
                <m:begChr m:val="("/>
                <m:sepChr m:val=""/>
                <m:endChr m:val=")"/>
                <m:grow/>
              </m:dPr>
              <m:e>
                <m:r>
                  <m:t>o</m:t>
                </m:r>
                <m:r>
                  <m:rPr>
                    <m:sty m:val="p"/>
                  </m:rPr>
                  <m:t>∣</m:t>
                </m:r>
                <m:r>
                  <m:t>h</m:t>
                </m:r>
              </m:e>
            </m:d>
          </m:e>
          <m:sup>
            <m:d>
              <m:dPr>
                <m:begChr m:val="["/>
                <m:sepChr m:val=""/>
                <m:endChr m:val="]"/>
                <m:grow/>
              </m:dPr>
              <m:e>
                <m:r>
                  <m:t>o</m:t>
                </m:r>
              </m:e>
            </m:d>
          </m:sup>
        </m:sSup>
        <m:r>
          <m:t> </m:t>
        </m:r>
        <m:r>
          <m:rPr>
            <m:sty m:val="p"/>
          </m:rPr>
          <m:t>(</m:t>
        </m:r>
        <m:r>
          <m:t>1</m:t>
        </m:r>
        <m:r>
          <m:rPr>
            <m:sty m:val="p"/>
          </m:rPr>
          <m:t>−</m:t>
        </m:r>
        <m:r>
          <m:t>P</m:t>
        </m:r>
        <m:d>
          <m:dPr>
            <m:begChr m:val="("/>
            <m:sepChr m:val=""/>
            <m:endChr m:val=")"/>
            <m:grow/>
          </m:dPr>
          <m:e>
            <m:r>
              <m:t>o</m:t>
            </m:r>
            <m:r>
              <m:rPr>
                <m:sty m:val="p"/>
              </m:rPr>
              <m:t>∣</m:t>
            </m:r>
            <m:r>
              <m:t>h</m:t>
            </m:r>
          </m:e>
        </m:d>
        <m:sSup>
          <m:e>
            <m:r>
              <m:rPr>
                <m:sty m:val="p"/>
              </m:rPr>
              <m:t>)</m:t>
            </m:r>
          </m:e>
          <m:sup>
            <m:r>
              <m:t>1</m:t>
            </m:r>
            <m:r>
              <m:rPr>
                <m:sty m:val="p"/>
              </m:rPr>
              <m:t>−</m:t>
            </m:r>
            <m:d>
              <m:dPr>
                <m:begChr m:val="["/>
                <m:sepChr m:val=""/>
                <m:endChr m:val="]"/>
                <m:grow/>
              </m:dPr>
              <m:e>
                <m:r>
                  <m:t>o</m:t>
                </m:r>
              </m:e>
            </m:d>
          </m:sup>
        </m:sSup>
      </m:oMath>
      <w:r>
        <w:tab/>
        <w:t>(3)</w:t>
      </w:r>
    </w:p>
    <w:p>
      <w:pPr>
        <w:pStyle w:val="ICST-Bodytextwithindent"/>
      </w:pPr>
      <w:r>
        <w:rPr/>
        <w:t>where [o] = 1 if observation o holds. For an observation of signal s at entity e:</w:t>
      </w:r>
    </w:p>
    <w:p>
      <w:pPr>
        <w:pStyle w:val="ICST-Bodytextnoindent"/>
        <w:tabs>
          <w:tab w:val="center" w:pos="2343"/>
          <w:tab w:val="right" w:pos="4686"/>
        </w:tabs>
        <w:spacing w:before="60" w:after="60"/>
      </w:pPr>
      <w:r>
        <w:tab/>
      </w:r>
      <m:oMath>
        <m:r>
          <m:t>P</m:t>
        </m:r>
        <m:d>
          <m:dPr>
            <m:begChr m:val="("/>
            <m:sepChr m:val=""/>
            <m:endChr m:val=")"/>
            <m:grow/>
          </m:dPr>
          <m:e>
            <m:r>
              <m:t>o</m:t>
            </m:r>
            <m:r>
              <m:rPr>
                <m:sty m:val="p"/>
              </m:rPr>
              <m:t>∣</m:t>
            </m:r>
            <m:r>
              <m:t>h</m:t>
            </m:r>
          </m:e>
        </m:d>
        <m:r>
          <m:rPr>
            <m:sty m:val="p"/>
          </m:rPr>
          <m:t>=</m:t>
        </m:r>
        <m:d>
          <m:dPr>
            <m:begChr m:val="{"/>
            <m:sepChr m:val=""/>
            <m:endChr m:val=""/>
            <m:grow/>
          </m:dPr>
          <m:e>
            <m:m>
              <m:mPr>
                <m:baseJc m:val="center"/>
                <m:plcHide m:val="on"/>
                <m:mcs>
                  <m:mc>
                    <m:mcPr>
                      <m:count m:val="1"/>
                      <m:mcJc m:val="left"/>
                    </m:mcPr>
                  </m:mc>
                  <m:mc>
                    <m:mcPr>
                      <m:count m:val="1"/>
                      <m:mcJc m:val="left"/>
                    </m:mcPr>
                  </m:mc>
                </m:mcs>
              </m:mPr>
              <m:mr>
                <m:e>
                  <m:sSub>
                    <m:e>
                      <m:r>
                        <m:t>q</m:t>
                      </m:r>
                    </m:e>
                    <m:sub>
                      <m:r>
                        <m:t>h</m:t>
                      </m:r>
                    </m:sub>
                  </m:sSub>
                </m:e>
                <m:e>
                  <m:r>
                    <m:t>s</m:t>
                  </m:r>
                  <m:r>
                    <m:t> </m:t>
                  </m:r>
                  <m:r>
                    <m:rPr>
                      <m:nor/>
                    </m:rPr>
                    <m:t>key of</m:t>
                  </m:r>
                  <m:r>
                    <m:t> </m:t>
                  </m:r>
                  <m:r>
                    <m:t>τ</m:t>
                  </m:r>
                  <m:r>
                    <m:rPr>
                      <m:sty m:val="p"/>
                    </m:rPr>
                    <m:t>,</m:t>
                  </m:r>
                  <m:r>
                    <m:t> </m:t>
                  </m:r>
                  <m:r>
                    <m:t>e</m:t>
                  </m:r>
                  <m:r>
                    <m:rPr>
                      <m:sty m:val="p"/>
                    </m:rPr>
                    <m:t>=</m:t>
                  </m:r>
                  <m:sSup>
                    <m:e>
                      <m:r>
                        <m:t>e</m:t>
                      </m:r>
                    </m:e>
                    <m:sup>
                      <m:r>
                        <m:rPr>
                          <m:sty m:val="p"/>
                        </m:rPr>
                        <m:t>*</m:t>
                      </m:r>
                    </m:sup>
                  </m:sSup>
                </m:e>
              </m:mr>
              <m:mr>
                <m:e>
                  <m:sSub>
                    <m:e>
                      <m:r>
                        <m:t>θ</m:t>
                      </m:r>
                    </m:e>
                    <m:sub>
                      <m:r>
                        <m:t>U</m:t>
                      </m:r>
                    </m:sub>
                  </m:sSub>
                </m:e>
                <m:e>
                  <m:r>
                    <m:t>s</m:t>
                  </m:r>
                  <m:r>
                    <m:t> </m:t>
                  </m:r>
                  <m:r>
                    <m:rPr>
                      <m:nor/>
                    </m:rPr>
                    <m:t>support or may</m:t>
                  </m:r>
                  <m:r>
                    <m:rPr>
                      <m:sty m:val="p"/>
                    </m:rPr>
                    <m:t>,</m:t>
                  </m:r>
                  <m:r>
                    <m:t> </m:t>
                  </m:r>
                  <m:r>
                    <m:t>e</m:t>
                  </m:r>
                  <m:r>
                    <m:rPr>
                      <m:sty m:val="p"/>
                    </m:rPr>
                    <m:t>=</m:t>
                  </m:r>
                  <m:sSup>
                    <m:e>
                      <m:r>
                        <m:t>e</m:t>
                      </m:r>
                    </m:e>
                    <m:sup>
                      <m:r>
                        <m:rPr>
                          <m:sty m:val="p"/>
                        </m:rPr>
                        <m:t>*</m:t>
                      </m:r>
                    </m:sup>
                  </m:sSup>
                </m:e>
              </m:mr>
              <m:mr>
                <m:e>
                  <m:sSub>
                    <m:e>
                      <m:r>
                        <m:t>α</m:t>
                      </m:r>
                    </m:e>
                    <m:sub>
                      <m:r>
                        <m:t>C</m:t>
                      </m:r>
                    </m:sub>
                  </m:sSub>
                </m:e>
                <m:e>
                  <m:r>
                    <m:t>s</m:t>
                  </m:r>
                  <m:r>
                    <m:t> </m:t>
                  </m:r>
                  <m:r>
                    <m:rPr>
                      <m:nor/>
                    </m:rPr>
                    <m:t>contradicts</m:t>
                  </m:r>
                  <m:r>
                    <m:t> </m:t>
                  </m:r>
                  <m:r>
                    <m:t>τ</m:t>
                  </m:r>
                  <m:r>
                    <m:rPr>
                      <m:sty m:val="p"/>
                    </m:rPr>
                    <m:t>,</m:t>
                  </m:r>
                  <m:r>
                    <m:t> </m:t>
                  </m:r>
                  <m:r>
                    <m:t>e</m:t>
                  </m:r>
                  <m:r>
                    <m:rPr>
                      <m:sty m:val="p"/>
                    </m:rPr>
                    <m:t>=</m:t>
                  </m:r>
                  <m:sSup>
                    <m:e>
                      <m:r>
                        <m:t>e</m:t>
                      </m:r>
                    </m:e>
                    <m:sup>
                      <m:r>
                        <m:rPr>
                          <m:sty m:val="p"/>
                        </m:rPr>
                        <m:t>*</m:t>
                      </m:r>
                    </m:sup>
                  </m:sSup>
                </m:e>
              </m:mr>
              <m:mr>
                <m:e>
                  <m:sSub>
                    <m:e>
                      <m:r>
                        <m:t>θ</m:t>
                      </m:r>
                    </m:e>
                    <m:sub>
                      <m:r>
                        <m:t>P</m:t>
                      </m:r>
                    </m:sub>
                  </m:sSub>
                </m:e>
                <m:e>
                  <m:r>
                    <m:t>s</m:t>
                  </m:r>
                  <m:r>
                    <m:t> </m:t>
                  </m:r>
                  <m:r>
                    <m:rPr>
                      <m:nor/>
                    </m:rPr>
                    <m:t>symptom</m:t>
                  </m:r>
                  <m:r>
                    <m:rPr>
                      <m:sty m:val="p"/>
                    </m:rPr>
                    <m:t>,</m:t>
                  </m:r>
                  <m:r>
                    <m:t> </m:t>
                  </m:r>
                  <m:sSup>
                    <m:e>
                      <m:r>
                        <m:t>e</m:t>
                      </m:r>
                    </m:e>
                    <m:sup>
                      <m:r>
                        <m:rPr>
                          <m:sty m:val="p"/>
                        </m:rPr>
                        <m:t>*</m:t>
                      </m:r>
                    </m:sup>
                  </m:sSup>
                  <m:r>
                    <m:rPr>
                      <m:sty m:val="p"/>
                    </m:rPr>
                    <m:t>∈</m:t>
                  </m:r>
                  <m:r>
                    <m:rPr>
                      <m:sty m:val="p"/>
                    </m:rPr>
                    <m:t>E</m:t>
                  </m:r>
                  <m:r>
                    <m:rPr>
                      <m:sty m:val="p"/>
                    </m:rPr>
                    <m:t>x</m:t>
                  </m:r>
                  <m:r>
                    <m:rPr>
                      <m:sty m:val="p"/>
                    </m:rPr>
                    <m:t>p</m:t>
                  </m:r>
                  <m:r>
                    <m:rPr>
                      <m:sty m:val="p"/>
                    </m:rPr>
                    <m:t>l</m:t>
                  </m:r>
                  <m:d>
                    <m:dPr>
                      <m:begChr m:val="("/>
                      <m:sepChr m:val=""/>
                      <m:endChr m:val=")"/>
                      <m:grow/>
                    </m:dPr>
                    <m:e>
                      <m:r>
                        <m:t>e</m:t>
                      </m:r>
                    </m:e>
                  </m:d>
                </m:e>
              </m:mr>
              <m:mr>
                <m:e>
                  <m:sSub>
                    <m:e>
                      <m:r>
                        <m:t>β</m:t>
                      </m:r>
                    </m:e>
                    <m:sub>
                      <m:r>
                        <m:t>s</m:t>
                      </m:r>
                    </m:sub>
                  </m:sSub>
                </m:e>
                <m:e>
                  <m:r>
                    <m:rPr>
                      <m:nor/>
                    </m:rPr>
                    <m:t>otherwise</m:t>
                  </m:r>
                </m:e>
              </m:mr>
            </m:m>
          </m:e>
        </m:d>
      </m:oMath>
      <w:r>
        <w:tab/>
        <w:t>(4)</w:t>
      </w:r>
    </w:p>
    <w:p>
      <w:pPr>
        <w:pStyle w:val="ICST-Bodytextwithindent"/>
      </w:pPr>
      <w:r>
        <w:rPr/>
        <w:t>with q</w:t>
      </w:r>
      <w:r>
        <w:rPr>
          <w:vertAlign w:val="subscript"/>
        </w:rPr>
        <w:t>h</w:t>
      </w:r>
      <w:r>
        <w:rPr/>
        <w:t xml:space="preserve"> = 1 − (1 − θ</w:t>
      </w:r>
      <w:r>
        <w:rPr>
          <w:vertAlign w:val="subscript"/>
        </w:rPr>
        <w:t>K</w:t>
      </w:r>
      <w:r>
        <w:rPr/>
        <w:t>)</w:t>
      </w:r>
      <w:r>
        <w:rPr>
          <w:vertAlign w:val="superscript"/>
        </w:rPr>
        <w:t>1/n</w:t>
      </w:r>
      <w:r>
        <w:rPr/>
        <w:t xml:space="preserve"> for n = n</w:t>
      </w:r>
      <w:r>
        <w:rPr>
          <w:vertAlign w:val="subscript"/>
        </w:rPr>
        <w:t>h</w:t>
      </w:r>
      <w:r>
        <w:rPr/>
        <w:t xml:space="preserve"> testable key signals (the key signals are alternatives), θ</w:t>
      </w:r>
      <w:r>
        <w:rPr>
          <w:vertAlign w:val="subscript"/>
        </w:rPr>
        <w:t>K</w:t>
      </w:r>
      <w:r>
        <w:rPr/>
        <w:t xml:space="preserve"> = 0.8, θ</w:t>
      </w:r>
      <w:r>
        <w:rPr>
          <w:vertAlign w:val="subscript"/>
        </w:rPr>
        <w:t>U</w:t>
      </w:r>
      <w:r>
        <w:rPr/>
        <w:t xml:space="preserve"> = θ</w:t>
      </w:r>
      <w:r>
        <w:rPr>
          <w:vertAlign w:val="subscript"/>
        </w:rPr>
        <w:t>P</w:t>
      </w:r>
      <w:r>
        <w:rPr/>
        <w:t xml:space="preserve"> = 0.6 and α</w:t>
      </w:r>
      <w:r>
        <w:rPr>
          <w:vertAlign w:val="subscript"/>
        </w:rPr>
        <w:t>C</w:t>
      </w:r>
      <w:r>
        <w:rPr/>
        <w:t xml:space="preserve"> = 0.05. β</w:t>
      </w:r>
      <w:r>
        <w:rPr>
          <w:vertAlign w:val="subscript"/>
        </w:rPr>
        <w:t>s</w:t>
      </w:r>
      <w:r>
        <w:rPr/>
        <w:t xml:space="preserve"> is the background rate: α for calibrated tests and, for categorical observations, the share of entities of the same level that show s in this case, shrunk towards α. For a </w:t>
      </w:r>
      <w:r>
        <w:rPr>
          <w:i/>
        </w:rPr>
        <w:t>may</w:t>
      </w:r>
      <w:r>
        <w:rPr/>
        <w:t xml:space="preserve"> signal, absence is uninformative. The alert is itself an observation: it fires at the alerted service with probability θ</w:t>
      </w:r>
      <w:r>
        <w:rPr>
          <w:vertAlign w:val="subscript"/>
        </w:rPr>
        <w:t>P</w:t>
      </w:r>
      <w:r>
        <w:rPr/>
        <w:t xml:space="preserve"> if e* can explain it, and 0.01 otherwise.</w:t>
      </w:r>
    </w:p>
    <w:p>
      <w:pPr>
        <w:pStyle w:val="ICST-Heading2"/>
        <w:numPr>
          <w:ilvl w:val="1"/>
          <w:numId w:val="24"/>
        </w:numPr>
      </w:pPr>
      <w:r>
        <w:rPr/>
        <w:t>Topology, Propagation and Onset</w:t>
      </w:r>
    </w:p>
    <w:p>
      <w:pPr>
        <w:pStyle w:val="ICST-Bodytextwithindent"/>
      </w:pPr>
      <w:r>
        <w:rPr/>
        <w:t>Expl(e) is the set of entities whose fault can surface as a symptom at service e: its downstream services in the call graph (transitive closure) and the nodes that host e or any of them. A latency or error rise at e is then explained by any root in Expl(e), which is how the model explains symptoms away from the root [24]. Whether a reachable entity actually shows a symptom varies from incident to incident (replicas, retries, timeouts). We therefore treat the propagation probability π as a per-case nuisance parameter. Let n</w:t>
      </w:r>
      <w:r>
        <w:rPr>
          <w:vertAlign w:val="superscript"/>
        </w:rPr>
        <w:t>+</w:t>
      </w:r>
      <w:r>
        <w:rPr>
          <w:vertAlign w:val="subscript"/>
        </w:rPr>
        <w:t>h</w:t>
      </w:r>
      <w:r>
        <w:rPr/>
        <w:t xml:space="preserve"> and n</w:t>
      </w:r>
      <w:r>
        <w:rPr>
          <w:vertAlign w:val="superscript"/>
        </w:rPr>
        <w:t>−</w:t>
      </w:r>
      <w:r>
        <w:rPr>
          <w:vertAlign w:val="subscript"/>
        </w:rPr>
        <w:t>h</w:t>
      </w:r>
      <w:r>
        <w:rPr/>
        <w:t xml:space="preserve"> be the numbers of reachable symptoms that hold and do not hold under h, and ℓ</w:t>
      </w:r>
      <w:r>
        <w:rPr>
          <w:vertAlign w:val="subscript"/>
        </w:rPr>
        <w:t>h</w:t>
      </w:r>
      <w:r>
        <w:rPr/>
        <w:t xml:space="preserve"> the log-likelihood of all other observations. EM [31] alternates</w:t>
      </w:r>
    </w:p>
    <w:p>
      <w:pPr>
        <w:pStyle w:val="ICST-Bodytextnoindent"/>
        <w:tabs>
          <w:tab w:val="center" w:pos="2343"/>
          <w:tab w:val="right" w:pos="4686"/>
        </w:tabs>
        <w:spacing w:before="60" w:after="60"/>
      </w:pPr>
      <w:r>
        <w:tab/>
      </w:r>
      <m:oMath>
        <m:sSub>
          <m:e>
            <m:r>
              <m:t>w</m:t>
            </m:r>
          </m:e>
          <m:sub>
            <m:r>
              <m:t>h</m:t>
            </m:r>
          </m:sub>
        </m:sSub>
        <m:r>
          <m:rPr>
            <m:sty m:val="p"/>
          </m:rPr>
          <m:t>∝</m:t>
        </m:r>
        <m:r>
          <m:t>P</m:t>
        </m:r>
        <m:d>
          <m:dPr>
            <m:begChr m:val="("/>
            <m:sepChr m:val=""/>
            <m:endChr m:val=")"/>
            <m:grow/>
          </m:dPr>
          <m:e>
            <m:r>
              <m:t>h</m:t>
            </m:r>
          </m:e>
        </m:d>
        <m:r>
          <m:t> </m:t>
        </m:r>
        <m:sSup>
          <m:e>
            <m:r>
              <m:t>e</m:t>
            </m:r>
          </m:e>
          <m:sup>
            <m:sSub>
              <m:e>
                <m:r>
                  <m:rPr>
                    <m:sty m:val="p"/>
                  </m:rPr>
                  <m:t>ℓ</m:t>
                </m:r>
              </m:e>
              <m:sub>
                <m:r>
                  <m:t>h</m:t>
                </m:r>
              </m:sub>
            </m:sSub>
          </m:sup>
        </m:sSup>
        <m:r>
          <m:t> </m:t>
        </m:r>
        <m:sSup>
          <m:e>
            <m:r>
              <m:t>π</m:t>
            </m:r>
          </m:e>
          <m:sup>
            <m:sSubSup>
              <m:e>
                <m:r>
                  <m:t>n</m:t>
                </m:r>
              </m:e>
              <m:sub>
                <m:r>
                  <m:t>h</m:t>
                </m:r>
              </m:sub>
              <m:sup>
                <m:r>
                  <m:rPr>
                    <m:sty m:val="p"/>
                  </m:rPr>
                  <m:t>+</m:t>
                </m:r>
              </m:sup>
            </m:sSubSup>
          </m:sup>
        </m:sSup>
        <m:sSup>
          <m:e>
            <m:d>
              <m:dPr>
                <m:begChr m:val="("/>
                <m:sepChr m:val=""/>
                <m:endChr m:val=")"/>
                <m:grow/>
              </m:dPr>
              <m:e>
                <m:r>
                  <m:t>1</m:t>
                </m:r>
                <m:r>
                  <m:rPr>
                    <m:sty m:val="p"/>
                  </m:rPr>
                  <m:t>−</m:t>
                </m:r>
                <m:r>
                  <m:t>π</m:t>
                </m:r>
              </m:e>
            </m:d>
          </m:e>
          <m:sup>
            <m:sSubSup>
              <m:e>
                <m:r>
                  <m:t>n</m:t>
                </m:r>
              </m:e>
              <m:sub>
                <m:r>
                  <m:t>h</m:t>
                </m:r>
              </m:sub>
              <m:sup>
                <m:r>
                  <m:rPr>
                    <m:sty m:val="p"/>
                  </m:rPr>
                  <m:t>−</m:t>
                </m:r>
              </m:sup>
            </m:sSubSup>
          </m:sup>
        </m:sSup>
      </m:oMath>
      <w:r>
        <w:tab/>
        <w:t>(5)</w:t>
      </w:r>
    </w:p>
    <w:p>
      <w:pPr>
        <w:pStyle w:val="ICST-Bodytextnoindent"/>
        <w:tabs>
          <w:tab w:val="center" w:pos="2343"/>
          <w:tab w:val="right" w:pos="4686"/>
        </w:tabs>
        <w:spacing w:before="60" w:after="60"/>
      </w:pPr>
      <w:r>
        <w:tab/>
      </w:r>
      <m:oMath>
        <m:r>
          <m:t>π</m:t>
        </m:r>
        <m:r>
          <m:rPr>
            <m:sty m:val="p"/>
          </m:rPr>
          <m:t>←</m:t>
        </m:r>
        <m:f>
          <m:fPr>
            <m:type m:val="bar"/>
          </m:fPr>
          <m:num>
            <m:nary>
              <m:naryPr>
                <m:chr m:val="∑"/>
                <m:limLoc m:val="undOvr"/>
                <m:subHide m:val="off"/>
                <m:supHide m:val="on"/>
              </m:naryPr>
              <m:sub>
                <m:r>
                  <m:t>h</m:t>
                </m:r>
              </m:sub>
              <m:sup>
                <m:r>
                  <m:t>​</m:t>
                </m:r>
              </m:sup>
              <m:e>
                <m:sSub>
                  <m:e>
                    <m:r>
                      <m:t>w</m:t>
                    </m:r>
                  </m:e>
                  <m:sub>
                    <m:r>
                      <m:t>h</m:t>
                    </m:r>
                  </m:sub>
                </m:sSub>
              </m:e>
            </m:nary>
            <m:r>
              <m:t> </m:t>
            </m:r>
            <m:sSubSup>
              <m:e>
                <m:r>
                  <m:t>n</m:t>
                </m:r>
              </m:e>
              <m:sub>
                <m:r>
                  <m:t>h</m:t>
                </m:r>
              </m:sub>
              <m:sup>
                <m:r>
                  <m:rPr>
                    <m:sty m:val="p"/>
                  </m:rPr>
                  <m:t>+</m:t>
                </m:r>
              </m:sup>
            </m:sSubSup>
          </m:num>
          <m:den>
            <m:nary>
              <m:naryPr>
                <m:chr m:val="∑"/>
                <m:limLoc m:val="undOvr"/>
                <m:subHide m:val="off"/>
                <m:supHide m:val="on"/>
              </m:naryPr>
              <m:sub>
                <m:r>
                  <m:t>h</m:t>
                </m:r>
              </m:sub>
              <m:sup>
                <m:r>
                  <m:t>​</m:t>
                </m:r>
              </m:sup>
              <m:e>
                <m:sSub>
                  <m:e>
                    <m:r>
                      <m:t>w</m:t>
                    </m:r>
                  </m:e>
                  <m:sub>
                    <m:r>
                      <m:t>h</m:t>
                    </m:r>
                  </m:sub>
                </m:sSub>
              </m:e>
            </m:nary>
            <m:r>
              <m:t> </m:t>
            </m:r>
            <m:d>
              <m:dPr>
                <m:begChr m:val="("/>
                <m:sepChr m:val=""/>
                <m:endChr m:val=")"/>
                <m:grow/>
              </m:dPr>
              <m:e>
                <m:sSubSup>
                  <m:e>
                    <m:r>
                      <m:t>n</m:t>
                    </m:r>
                  </m:e>
                  <m:sub>
                    <m:r>
                      <m:t>h</m:t>
                    </m:r>
                  </m:sub>
                  <m:sup>
                    <m:r>
                      <m:rPr>
                        <m:sty m:val="p"/>
                      </m:rPr>
                      <m:t>+</m:t>
                    </m:r>
                  </m:sup>
                </m:sSubSup>
                <m:r>
                  <m:rPr>
                    <m:sty m:val="p"/>
                  </m:rPr>
                  <m:t>+</m:t>
                </m:r>
                <m:sSubSup>
                  <m:e>
                    <m:r>
                      <m:t>n</m:t>
                    </m:r>
                  </m:e>
                  <m:sub>
                    <m:r>
                      <m:t>h</m:t>
                    </m:r>
                  </m:sub>
                  <m:sup>
                    <m:r>
                      <m:rPr>
                        <m:sty m:val="p"/>
                      </m:rPr>
                      <m:t>−</m:t>
                    </m:r>
                  </m:sup>
                </m:sSubSup>
              </m:e>
            </m:d>
          </m:den>
        </m:f>
      </m:oMath>
      <w:r>
        <w:tab/>
        <w:t>(6)</w:t>
      </w:r>
    </w:p>
    <w:p>
      <w:pPr>
        <w:pStyle w:val="ICST-Bodytextwithindent"/>
      </w:pPr>
      <w:r>
        <w:rPr/>
        <w:t>with π clipped to [0.06, 0.95]. A hypothesis that claims a wide blast radius thus pays for every reachable entity that stays quiet, at the rate the incident itself shows. Finally, a root starts no later than what it causes. For each service e that e* can explain and whose onset t</w:t>
      </w:r>
      <w:r>
        <w:rPr>
          <w:vertAlign w:val="subscript"/>
        </w:rPr>
        <w:t>e</w:t>
      </w:r>
      <w:r>
        <w:rPr/>
        <w:t xml:space="preserve"> is measured, the log-posterior of h receives</w:t>
      </w:r>
    </w:p>
    <w:p>
      <w:pPr>
        <w:pStyle w:val="ICST-Bodytextnoindent"/>
        <w:tabs>
          <w:tab w:val="center" w:pos="2343"/>
          <w:tab w:val="right" w:pos="4686"/>
        </w:tabs>
        <w:spacing w:before="60" w:after="60"/>
      </w:pPr>
      <w:r>
        <w:tab/>
      </w:r>
      <m:oMath>
        <m:r>
          <m:rPr>
            <m:sty m:val="p"/>
          </m:rPr>
          <m:t>log</m:t>
        </m:r>
        <m:f>
          <m:fPr>
            <m:type m:val="bar"/>
          </m:fPr>
          <m:num>
            <m:sSubSup>
              <m:e>
                <m:r>
                  <m:t>θ</m:t>
                </m:r>
              </m:e>
              <m:sub>
                <m:r>
                  <m:t>T</m:t>
                </m:r>
              </m:sub>
              <m:sup>
                <m:d>
                  <m:dPr>
                    <m:begChr m:val="["/>
                    <m:sepChr m:val=""/>
                    <m:endChr m:val="]"/>
                    <m:grow/>
                  </m:dPr>
                  <m:e>
                    <m:sSub>
                      <m:e>
                        <m:r>
                          <m:t>t</m:t>
                        </m:r>
                      </m:e>
                      <m:sub>
                        <m:r>
                          <m:t>e</m:t>
                        </m:r>
                      </m:sub>
                    </m:sSub>
                    <m:r>
                      <m:rPr>
                        <m:sty m:val="p"/>
                      </m:rPr>
                      <m:t>≥</m:t>
                    </m:r>
                    <m:sSub>
                      <m:e>
                        <m:r>
                          <m:t>t</m:t>
                        </m:r>
                      </m:e>
                      <m:sub>
                        <m:sSup>
                          <m:e>
                            <m:r>
                              <m:t>e</m:t>
                            </m:r>
                          </m:e>
                          <m:sup>
                            <m:r>
                              <m:rPr>
                                <m:sty m:val="p"/>
                              </m:rPr>
                              <m:t>*</m:t>
                            </m:r>
                          </m:sup>
                        </m:sSup>
                      </m:sub>
                    </m:sSub>
                    <m:r>
                      <m:rPr>
                        <m:sty m:val="p"/>
                      </m:rPr>
                      <m:t>−</m:t>
                    </m:r>
                    <m:r>
                      <m:t>δ</m:t>
                    </m:r>
                  </m:e>
                </m:d>
              </m:sup>
            </m:sSubSup>
            <m:r>
              <m:t> </m:t>
            </m:r>
            <m:sSup>
              <m:e>
                <m:d>
                  <m:dPr>
                    <m:begChr m:val="("/>
                    <m:sepChr m:val=""/>
                    <m:endChr m:val=")"/>
                    <m:grow/>
                  </m:dPr>
                  <m:e>
                    <m:r>
                      <m:t>1</m:t>
                    </m:r>
                    <m:r>
                      <m:rPr>
                        <m:sty m:val="p"/>
                      </m:rPr>
                      <m:t>−</m:t>
                    </m:r>
                    <m:sSub>
                      <m:e>
                        <m:r>
                          <m:t>θ</m:t>
                        </m:r>
                      </m:e>
                      <m:sub>
                        <m:r>
                          <m:t>T</m:t>
                        </m:r>
                      </m:sub>
                    </m:sSub>
                  </m:e>
                </m:d>
              </m:e>
              <m:sup>
                <m:r>
                  <m:t>1</m:t>
                </m:r>
                <m:r>
                  <m:rPr>
                    <m:sty m:val="p"/>
                  </m:rPr>
                  <m:t>−</m:t>
                </m:r>
                <m:d>
                  <m:dPr>
                    <m:begChr m:val="["/>
                    <m:sepChr m:val=""/>
                    <m:endChr m:val="]"/>
                    <m:grow/>
                  </m:dPr>
                  <m:e>
                    <m:sSub>
                      <m:e>
                        <m:r>
                          <m:t>t</m:t>
                        </m:r>
                      </m:e>
                      <m:sub>
                        <m:r>
                          <m:t>e</m:t>
                        </m:r>
                      </m:sub>
                    </m:sSub>
                    <m:r>
                      <m:rPr>
                        <m:sty m:val="p"/>
                      </m:rPr>
                      <m:t>≥</m:t>
                    </m:r>
                    <m:sSub>
                      <m:e>
                        <m:r>
                          <m:t>t</m:t>
                        </m:r>
                      </m:e>
                      <m:sub>
                        <m:sSup>
                          <m:e>
                            <m:r>
                              <m:t>e</m:t>
                            </m:r>
                          </m:e>
                          <m:sup>
                            <m:r>
                              <m:rPr>
                                <m:sty m:val="p"/>
                              </m:rPr>
                              <m:t>*</m:t>
                            </m:r>
                          </m:sup>
                        </m:sSup>
                      </m:sub>
                    </m:sSub>
                    <m:r>
                      <m:rPr>
                        <m:sty m:val="p"/>
                      </m:rPr>
                      <m:t>−</m:t>
                    </m:r>
                    <m:r>
                      <m:t>δ</m:t>
                    </m:r>
                  </m:e>
                </m:d>
              </m:sup>
            </m:sSup>
          </m:num>
          <m:den>
            <m:r>
              <m:t>0.5</m:t>
            </m:r>
          </m:den>
        </m:f>
      </m:oMath>
      <w:r>
        <w:tab/>
        <w:t>(7)</w:t>
      </w:r>
    </w:p>
    <w:p>
      <w:pPr>
        <w:pStyle w:val="ICST-Bodytextwithindent"/>
      </w:pPr>
      <w:r>
        <w:rPr/>
        <w:t>with θ</w:t>
      </w:r>
      <w:r>
        <w:rPr>
          <w:vertAlign w:val="subscript"/>
        </w:rPr>
        <w:t>T</w:t>
      </w:r>
      <w:r>
        <w:rPr/>
        <w:t xml:space="preserve"> = 0.9 and a tolerance δ = 60 s; a root without a measured onset is neutral.</w:t>
      </w:r>
    </w:p>
    <w:p>
      <w:pPr>
        <w:pStyle w:val="ICST-Heading2"/>
        <w:numPr>
          <w:ilvl w:val="1"/>
          <w:numId w:val="24"/>
        </w:numPr>
      </w:pPr>
      <w:r>
        <w:rPr/>
        <w:t>LLM Text Sensor</w:t>
      </w:r>
    </w:p>
    <w:p>
      <w:pPr>
        <w:pStyle w:val="ICST-Bodytextwithindent"/>
      </w:pPr>
      <w:r>
        <w:rPr/>
        <w:t>Log messages carry mechanism names that numbers do not ("null pointer", "rate limit", "no such host"). The sensor reads the significant templates of one entity (at most 20 items of 200 characters) and maps them to one of 14 mechanism categories or "none" (Appendix C.1). The entity is the one with the largest expected information gain [25]</w:t>
      </w:r>
    </w:p>
    <w:p>
      <w:pPr>
        <w:pStyle w:val="ICST-Bodytextnoindent"/>
        <w:tabs>
          <w:tab w:val="center" w:pos="2343"/>
          <w:tab w:val="right" w:pos="4686"/>
        </w:tabs>
        <w:spacing w:before="60" w:after="60"/>
      </w:pPr>
      <w:r>
        <w:tab/>
      </w:r>
      <m:oMath>
        <m:r>
          <m:rPr>
            <m:sty m:val="p"/>
          </m:rPr>
          <m:t>E</m:t>
        </m:r>
        <m:r>
          <m:rPr>
            <m:sty m:val="p"/>
          </m:rPr>
          <m:t>I</m:t>
        </m:r>
        <m:r>
          <m:rPr>
            <m:sty m:val="p"/>
          </m:rPr>
          <m:t>G</m:t>
        </m:r>
        <m:d>
          <m:dPr>
            <m:begChr m:val="("/>
            <m:sepChr m:val=""/>
            <m:endChr m:val=")"/>
            <m:grow/>
          </m:dPr>
          <m:e>
            <m:r>
              <m:t>e</m:t>
            </m:r>
          </m:e>
        </m:d>
        <m:r>
          <m:rPr>
            <m:sty m:val="p"/>
          </m:rPr>
          <m:t>=</m:t>
        </m:r>
        <m:r>
          <m:t>H</m:t>
        </m:r>
        <m:d>
          <m:dPr>
            <m:begChr m:val="("/>
            <m:sepChr m:val=""/>
            <m:endChr m:val=")"/>
            <m:grow/>
          </m:dPr>
          <m:e>
            <m:r>
              <m:t>P</m:t>
            </m:r>
            <m:d>
              <m:dPr>
                <m:begChr m:val="("/>
                <m:sepChr m:val=""/>
                <m:endChr m:val=")"/>
                <m:grow/>
              </m:dPr>
              <m:e>
                <m:r>
                  <m:t>h</m:t>
                </m:r>
                <m:r>
                  <m:rPr>
                    <m:sty m:val="p"/>
                  </m:rPr>
                  <m:t>∣</m:t>
                </m:r>
                <m:r>
                  <m:t>O</m:t>
                </m:r>
              </m:e>
            </m:d>
          </m:e>
        </m:d>
        <m:r>
          <m:rPr>
            <m:sty m:val="p"/>
          </m:rPr>
          <m:t>−</m:t>
        </m:r>
        <m:nary>
          <m:naryPr>
            <m:chr m:val="∑"/>
            <m:limLoc m:val="undOvr"/>
            <m:subHide m:val="off"/>
            <m:supHide m:val="on"/>
          </m:naryPr>
          <m:sub>
            <m:r>
              <m:t>c</m:t>
            </m:r>
          </m:sub>
          <m:sup>
            <m:r>
              <m:t>​</m:t>
            </m:r>
          </m:sup>
          <m:e>
            <m:r>
              <m:t>P</m:t>
            </m:r>
          </m:e>
        </m:nary>
        <m:d>
          <m:dPr>
            <m:begChr m:val="("/>
            <m:sepChr m:val=""/>
            <m:endChr m:val=")"/>
            <m:grow/>
          </m:dPr>
          <m:e>
            <m:r>
              <m:t>c</m:t>
            </m:r>
            <m:r>
              <m:rPr>
                <m:sty m:val="p"/>
              </m:rPr>
              <m:t>∣</m:t>
            </m:r>
            <m:r>
              <m:t>O</m:t>
            </m:r>
          </m:e>
        </m:d>
        <m:r>
          <m:t> </m:t>
        </m:r>
        <m:r>
          <m:t>H</m:t>
        </m:r>
        <m:d>
          <m:dPr>
            <m:begChr m:val="("/>
            <m:sepChr m:val=""/>
            <m:endChr m:val=")"/>
            <m:grow/>
          </m:dPr>
          <m:e>
            <m:r>
              <m:t>P</m:t>
            </m:r>
            <m:d>
              <m:dPr>
                <m:begChr m:val="("/>
                <m:sepChr m:val=""/>
                <m:endChr m:val=")"/>
                <m:grow/>
              </m:dPr>
              <m:e>
                <m:r>
                  <m:t>h</m:t>
                </m:r>
                <m:r>
                  <m:rPr>
                    <m:sty m:val="p"/>
                  </m:rPr>
                  <m:t>∣</m:t>
                </m:r>
                <m:r>
                  <m:t>O</m:t>
                </m:r>
                <m:r>
                  <m:rPr>
                    <m:sty m:val="p"/>
                  </m:rPr>
                  <m:t>,</m:t>
                </m:r>
                <m:sSub>
                  <m:e>
                    <m:r>
                      <m:t>c</m:t>
                    </m:r>
                  </m:e>
                  <m:sub>
                    <m:r>
                      <m:t>e</m:t>
                    </m:r>
                  </m:sub>
                </m:sSub>
                <m:r>
                  <m:rPr>
                    <m:sty m:val="p"/>
                  </m:rPr>
                  <m:t>=</m:t>
                </m:r>
                <m:r>
                  <m:t>c</m:t>
                </m:r>
              </m:e>
            </m:d>
          </m:e>
        </m:d>
      </m:oMath>
      <w:r>
        <w:tab/>
        <w:t>(8)</w:t>
      </w:r>
    </w:p>
    <w:p>
      <w:pPr>
        <w:pStyle w:val="ICST-Bodytextwithindent"/>
      </w:pPr>
      <w:r>
        <w:rPr/>
        <w:t>among the leading hypotheses. The answer enters the likelihood through a category distribution per fault type, so a misreading lowers but does not override the evidence. It is accepted only if the LLM quotes an exact excerpt of the text; otherwise the reading is "none". Probing stops when one hypothesis reaches 0.8, when no probe is worth 0.05 bits, or after five probes.</w:t>
      </w:r>
    </w:p>
    <w:p>
      <w:pPr>
        <w:pStyle w:val="ICST-Heading2"/>
        <w:numPr>
          <w:ilvl w:val="1"/>
          <w:numId w:val="24"/>
        </w:numPr>
      </w:pPr>
      <w:r>
        <w:rPr/>
        <w:t>Two-Stage Decision and Grounded Typing</w:t>
      </w:r>
    </w:p>
    <w:p>
      <w:pPr>
        <w:pStyle w:val="ICST-Bodytextwithindent"/>
      </w:pPr>
      <w:r>
        <w:rPr/>
        <w:t>The prior splits its mass equally over entities and then over each entity's hypotheses, so that an entity's localisation does not depend on how many fault types it can host. The answer is chosen in two stages:</w:t>
      </w:r>
    </w:p>
    <w:p>
      <w:pPr>
        <w:pStyle w:val="ICST-Bodytextnoindent"/>
        <w:tabs>
          <w:tab w:val="center" w:pos="2343"/>
          <w:tab w:val="right" w:pos="4686"/>
        </w:tabs>
        <w:spacing w:before="60" w:after="60"/>
      </w:pPr>
      <w:r>
        <w:tab/>
      </w:r>
      <m:oMath>
        <m:acc>
          <m:accPr>
            <m:chr m:val="̂"/>
          </m:accPr>
          <m:e>
            <m:r>
              <m:t>e</m:t>
            </m:r>
          </m:e>
        </m:acc>
        <m:r>
          <m:rPr>
            <m:sty m:val="p"/>
          </m:rPr>
          <m:t>=</m:t>
        </m:r>
        <m:r>
          <m:rPr>
            <m:sty m:val="p"/>
          </m:rPr>
          <m:t>arg</m:t>
        </m:r>
        <m:limLow>
          <m:e>
            <m:r>
              <m:rPr>
                <m:sty m:val="p"/>
              </m:rPr>
              <m:t>max</m:t>
            </m:r>
          </m:e>
          <m:lim>
            <m:r>
              <m:t>e</m:t>
            </m:r>
          </m:lim>
        </m:limLow>
        <m:nary>
          <m:naryPr>
            <m:chr m:val="∑"/>
            <m:limLoc m:val="undOvr"/>
            <m:subHide m:val="off"/>
            <m:supHide m:val="on"/>
          </m:naryPr>
          <m:sub>
            <m:r>
              <m:t>τ</m:t>
            </m:r>
          </m:sub>
          <m:sup>
            <m:r>
              <m:t>​</m:t>
            </m:r>
          </m:sup>
          <m:e>
            <m:r>
              <m:t>P</m:t>
            </m:r>
          </m:e>
        </m:nary>
        <m:d>
          <m:dPr>
            <m:begChr m:val="("/>
            <m:sepChr m:val=""/>
            <m:endChr m:val=")"/>
            <m:grow/>
          </m:dPr>
          <m:e>
            <m:d>
              <m:dPr>
                <m:begChr m:val="("/>
                <m:sepChr m:val=""/>
                <m:endChr m:val=")"/>
                <m:grow/>
              </m:dPr>
              <m:e>
                <m:r>
                  <m:t>e</m:t>
                </m:r>
                <m:r>
                  <m:rPr>
                    <m:sty m:val="p"/>
                  </m:rPr>
                  <m:t>,</m:t>
                </m:r>
                <m:r>
                  <m:t>τ</m:t>
                </m:r>
              </m:e>
            </m:d>
            <m:r>
              <m:rPr>
                <m:sty m:val="p"/>
              </m:rPr>
              <m:t>∣</m:t>
            </m:r>
            <m:r>
              <m:t>O</m:t>
            </m:r>
          </m:e>
        </m:d>
      </m:oMath>
      <w:r>
        <w:tab/>
        <w:t>(9)</w:t>
      </w:r>
    </w:p>
    <w:p>
      <w:pPr>
        <w:pStyle w:val="ICST-Bodytextnoindent"/>
        <w:tabs>
          <w:tab w:val="center" w:pos="2343"/>
          <w:tab w:val="right" w:pos="4686"/>
        </w:tabs>
        <w:spacing w:before="60" w:after="60"/>
      </w:pPr>
      <w:r>
        <w:tab/>
      </w:r>
      <m:oMath>
        <m:acc>
          <m:accPr>
            <m:chr m:val="̂"/>
          </m:accPr>
          <m:e>
            <m:r>
              <m:t>τ</m:t>
            </m:r>
          </m:e>
        </m:acc>
        <m:r>
          <m:rPr>
            <m:sty m:val="p"/>
          </m:rPr>
          <m:t>=</m:t>
        </m:r>
        <m:r>
          <m:rPr>
            <m:sty m:val="p"/>
          </m:rPr>
          <m:t>arg</m:t>
        </m:r>
        <m:limLow>
          <m:e>
            <m:r>
              <m:rPr>
                <m:sty m:val="p"/>
              </m:rPr>
              <m:t>max</m:t>
            </m:r>
          </m:e>
          <m:lim>
            <m:r>
              <m:t>τ</m:t>
            </m:r>
          </m:lim>
        </m:limLow>
        <m:r>
          <m:t>P</m:t>
        </m:r>
        <m:d>
          <m:dPr>
            <m:begChr m:val="("/>
            <m:sepChr m:val=""/>
            <m:endChr m:val=")"/>
            <m:grow/>
          </m:dPr>
          <m:e>
            <m:r>
              <m:t>τ</m:t>
            </m:r>
            <m:r>
              <m:rPr>
                <m:sty m:val="p"/>
              </m:rPr>
              <m:t>∣</m:t>
            </m:r>
            <m:acc>
              <m:accPr>
                <m:chr m:val="̂"/>
              </m:accPr>
              <m:e>
                <m:r>
                  <m:t>e</m:t>
                </m:r>
              </m:e>
            </m:acc>
            <m:r>
              <m:rPr>
                <m:sty m:val="p"/>
              </m:rPr>
              <m:t>,</m:t>
            </m:r>
            <m:r>
              <m:t>O</m:t>
            </m:r>
          </m:e>
        </m:d>
      </m:oMath>
      <w:r>
        <w:tab/>
        <w:t>(10)</w:t>
      </w:r>
    </w:p>
    <w:p>
      <w:pPr>
        <w:pStyle w:val="ICST-Bodytextwithindent"/>
      </w:pPr>
      <w:r>
        <w:rPr/>
        <w:t>In the optional typing step, the LLM receives the evidence lines of ê (calibrated signals with their values and onsets, categorical observations, the hosting nodes' signals and the significant log templates) and the five most probable types under the model, and it chooses one (Appendix C.2). The prompt states that restarts, failed probes, OOM kills and error codes are often consequences, and that the root mechanism is the one that changes first. The choice is accepted only if it is in the shortlist and the LLM copies one evidence line verbatim; otherwise τ̂ stands.</w:t>
      </w:r>
    </w:p>
    <w:p>
      <w:pPr>
        <w:pStyle w:val="ICST-Heading2"/>
        <w:numPr>
          <w:ilvl w:val="1"/>
          <w:numId w:val="24"/>
        </w:numPr>
      </w:pPr>
      <w:r>
        <w:rPr/>
        <w:t>Causal Chain</w:t>
      </w:r>
    </w:p>
    <w:p>
      <w:pPr>
        <w:pStyle w:val="ICST-Bodytextwithindent"/>
      </w:pPr>
      <w:r>
        <w:rPr/>
        <w:t>The chain follows the shortest call path from ê to the alerted service: a cause step at ê, one propagation step per service on the path, and an impact step at the alerted operation. Without the LLM, the steps are filled with the observations that decided the posterior. With the LLM, a narrator receives the decided diagnosis, these observations, the call path and the evidence tables, and writes the steps (Appendix C.3); every number it writes is checked against the evidence. Because each observation's log Bayes factor log P(o | ĥ) / P(o | h</w:t>
      </w:r>
      <w:r>
        <w:rPr>
          <w:vertAlign w:val="subscript"/>
        </w:rPr>
        <w:t>0</w:t>
      </w:r>
      <w:r>
        <w:rPr/>
        <w:t>) is known, the evidence behind every answer can be listed in order of influence. Algorithm 1 summarises the procedure.</w:t>
      </w:r>
    </w:p>
    <w:p>
      <w:pPr>
        <w:pStyle w:val="ICST-Captions"/>
        <w:keepNext/>
      </w:pPr>
      <w:r>
        <w:rPr/>
        <w:t>Algorithm 1. GAMA-RCA diagnosis of one incident.</w:t>
      </w:r>
    </w:p>
    <w:tbl>
      <w:tblPr>
        <w:tblW w:type="auto" w:w="0"/>
        <w:jc w:val="center"/>
        <w:tblBorders>
          <w:top w:val="single" w:sz="10" w:color="000000"/>
          <w:bottom w:val="single" w:sz="10" w:color="000000"/>
        </w:tblBorders>
        <w:tblLook w:firstColumn="1" w:firstRow="1" w:lastColumn="0" w:lastRow="0" w:noHBand="0" w:noVBand="1" w:val="04A0"/>
      </w:tblPr>
      <w:tblGrid>
        <w:gridCol w:w="340"/>
        <w:gridCol w:w="4308"/>
      </w:tblGrid>
      <w:tr>
        <w:trPr>
          <w:tblHeader/>
          <w:cantSplit/>
        </w:trPr>
        <w:tc>
          <w:tcPr>
            <w:tcW w:type="dxa" w:w="340"/>
            <w:tcBorders>
              <w:bottom w:val="single" w:sz="6" w:color="000000"/>
            </w:tcBorders>
          </w:tcPr>
          <w:p>
            <w:pPr>
              <w:pStyle w:val="ICST-Tabletext"/>
              <w:spacing w:before="20" w:after="20"/>
              <w:ind w:firstLine="0"/>
              <w:jc w:val="center"/>
            </w:pPr>
          </w:p>
        </w:tc>
        <w:tc>
          <w:tcPr>
            <w:tcW w:type="dxa" w:w="4309"/>
            <w:tcBorders>
              <w:bottom w:val="single" w:sz="6" w:color="000000"/>
            </w:tcBorders>
          </w:tcPr>
          <w:p>
            <w:pPr>
              <w:pStyle w:val="ICST-Tabletext"/>
              <w:spacing w:before="20" w:after="20"/>
              <w:ind w:firstLine="0"/>
              <w:jc w:val="left"/>
            </w:pPr>
            <w:r>
              <w:rPr>
                <w:b/>
                <w:sz w:val="14"/>
              </w:rPr>
              <w:t>Step</w:t>
            </w:r>
          </w:p>
        </w:tc>
      </w:tr>
      <w:tr>
        <w:trPr>
          <w:cantSplit/>
        </w:trPr>
        <w:tc>
          <w:tcPr>
            <w:tcW w:type="dxa" w:w="340"/>
          </w:tcPr>
          <w:p>
            <w:pPr>
              <w:pStyle w:val="ICST-Tabletext"/>
              <w:spacing w:before="20" w:after="20"/>
              <w:ind w:firstLine="0"/>
              <w:jc w:val="center"/>
            </w:pPr>
          </w:p>
        </w:tc>
        <w:tc>
          <w:tcPr>
            <w:tcW w:type="dxa" w:w="4309"/>
          </w:tcPr>
          <w:p>
            <w:pPr>
              <w:pStyle w:val="ICST-Tabletext"/>
              <w:spacing w:before="20" w:after="20"/>
              <w:ind w:firstLine="0"/>
              <w:jc w:val="left"/>
            </w:pPr>
            <w:r>
              <w:rPr>
                <w:b/>
                <w:sz w:val="14"/>
              </w:rPr>
              <w:t>Input:</w:t>
            </w:r>
            <w:r>
              <w:rPr>
                <w:sz w:val="14"/>
              </w:rPr>
              <w:t xml:space="preserve"> alert a, topology G, telemetry (metrics, logs, traces, events, alerts)   </w:t>
            </w:r>
            <w:r>
              <w:rPr>
                <w:b/>
                <w:sz w:val="14"/>
              </w:rPr>
              <w:t>Output:</w:t>
            </w:r>
            <w:r>
              <w:rPr>
                <w:sz w:val="14"/>
              </w:rPr>
              <w:t xml:space="preserve"> ê, τ̂, chain C</w:t>
            </w:r>
          </w:p>
        </w:tc>
      </w:tr>
      <w:tr>
        <w:trPr>
          <w:cantSplit/>
        </w:trPr>
        <w:tc>
          <w:tcPr>
            <w:tcW w:type="dxa" w:w="340"/>
          </w:tcPr>
          <w:p>
            <w:pPr>
              <w:pStyle w:val="ICST-Tabletext"/>
              <w:spacing w:before="20" w:after="20"/>
              <w:ind w:firstLine="0"/>
              <w:jc w:val="center"/>
            </w:pPr>
            <w:r>
              <w:rPr>
                <w:sz w:val="14"/>
              </w:rPr>
              <w:t>1</w:t>
            </w:r>
          </w:p>
        </w:tc>
        <w:tc>
          <w:tcPr>
            <w:tcW w:type="dxa" w:w="4309"/>
          </w:tcPr>
          <w:p>
            <w:pPr>
              <w:pStyle w:val="ICST-Tabletext"/>
              <w:spacing w:before="20" w:after="20"/>
              <w:ind w:firstLine="0"/>
              <w:jc w:val="left"/>
            </w:pPr>
            <w:r>
              <w:rPr>
                <w:sz w:val="14"/>
              </w:rPr>
              <w:t>O ← calibrated observations (Eq. 1–2), significant log templates T</w:t>
            </w:r>
          </w:p>
        </w:tc>
      </w:tr>
      <w:tr>
        <w:trPr>
          <w:cantSplit/>
        </w:trPr>
        <w:tc>
          <w:tcPr>
            <w:tcW w:type="dxa" w:w="340"/>
          </w:tcPr>
          <w:p>
            <w:pPr>
              <w:pStyle w:val="ICST-Tabletext"/>
              <w:spacing w:before="20" w:after="20"/>
              <w:ind w:firstLine="0"/>
              <w:jc w:val="center"/>
            </w:pPr>
            <w:r>
              <w:rPr>
                <w:sz w:val="14"/>
              </w:rPr>
              <w:t>2</w:t>
            </w:r>
          </w:p>
        </w:tc>
        <w:tc>
          <w:tcPr>
            <w:tcW w:type="dxa" w:w="4309"/>
          </w:tcPr>
          <w:p>
            <w:pPr>
              <w:pStyle w:val="ICST-Tabletext"/>
              <w:spacing w:before="20" w:after="20"/>
              <w:ind w:firstLine="0"/>
              <w:jc w:val="left"/>
            </w:pPr>
            <w:r>
              <w:rPr>
                <w:sz w:val="14"/>
              </w:rPr>
              <w:t>H ← testable hypotheses (e, τ) ∪ {anomaly(e)} ∪ {h</w:t>
            </w:r>
            <w:r>
              <w:rPr>
                <w:sz w:val="14"/>
                <w:vertAlign w:val="subscript"/>
              </w:rPr>
              <w:t>0</w:t>
            </w:r>
            <w:r>
              <w:rPr>
                <w:sz w:val="14"/>
              </w:rPr>
              <w:t>};  Expl ← call-graph closure + hosting nodes</w:t>
            </w:r>
          </w:p>
        </w:tc>
      </w:tr>
      <w:tr>
        <w:trPr>
          <w:cantSplit/>
        </w:trPr>
        <w:tc>
          <w:tcPr>
            <w:tcW w:type="dxa" w:w="340"/>
          </w:tcPr>
          <w:p>
            <w:pPr>
              <w:pStyle w:val="ICST-Tabletext"/>
              <w:spacing w:before="20" w:after="20"/>
              <w:ind w:firstLine="0"/>
              <w:jc w:val="center"/>
            </w:pPr>
            <w:r>
              <w:rPr>
                <w:sz w:val="14"/>
              </w:rPr>
              <w:t>3</w:t>
            </w:r>
          </w:p>
        </w:tc>
        <w:tc>
          <w:tcPr>
            <w:tcW w:type="dxa" w:w="4309"/>
          </w:tcPr>
          <w:p>
            <w:pPr>
              <w:pStyle w:val="ICST-Tabletext"/>
              <w:spacing w:before="20" w:after="20"/>
              <w:ind w:firstLine="0"/>
              <w:jc w:val="left"/>
            </w:pPr>
            <w:r>
              <w:rPr>
                <w:sz w:val="14"/>
              </w:rPr>
              <w:t>π ← EM (Eq. 5–6);  log P(h | O) ← prior + likelihood (Eq. 3–4) + onset (Eq. 7)</w:t>
            </w:r>
          </w:p>
        </w:tc>
      </w:tr>
      <w:tr>
        <w:trPr>
          <w:cantSplit/>
        </w:trPr>
        <w:tc>
          <w:tcPr>
            <w:tcW w:type="dxa" w:w="340"/>
          </w:tcPr>
          <w:p>
            <w:pPr>
              <w:pStyle w:val="ICST-Tabletext"/>
              <w:spacing w:before="20" w:after="20"/>
              <w:ind w:firstLine="0"/>
              <w:jc w:val="center"/>
            </w:pPr>
            <w:r>
              <w:rPr>
                <w:sz w:val="14"/>
              </w:rPr>
              <w:t>4</w:t>
            </w:r>
          </w:p>
        </w:tc>
        <w:tc>
          <w:tcPr>
            <w:tcW w:type="dxa" w:w="4309"/>
          </w:tcPr>
          <w:p>
            <w:pPr>
              <w:pStyle w:val="ICST-Tabletext"/>
              <w:spacing w:before="20" w:after="20"/>
              <w:ind w:firstLine="0"/>
              <w:jc w:val="left"/>
            </w:pPr>
            <w:r>
              <w:rPr>
                <w:b/>
                <w:sz w:val="14"/>
              </w:rPr>
              <w:t>while</w:t>
            </w:r>
            <w:r>
              <w:rPr>
                <w:sz w:val="14"/>
              </w:rPr>
              <w:t xml:space="preserve"> max P(h | O) &lt; 0.8 </w:t>
            </w:r>
            <w:r>
              <w:rPr>
                <w:b/>
                <w:sz w:val="14"/>
              </w:rPr>
              <w:t>and</w:t>
            </w:r>
            <w:r>
              <w:rPr>
                <w:sz w:val="14"/>
              </w:rPr>
              <w:t xml:space="preserve"> budget left </w:t>
            </w:r>
            <w:r>
              <w:rPr>
                <w:b/>
                <w:sz w:val="14"/>
              </w:rPr>
              <w:t>and</w:t>
            </w:r>
            <w:r>
              <w:rPr>
                <w:sz w:val="14"/>
              </w:rPr>
              <w:t xml:space="preserve"> max EIG ≥ 0.05:</w:t>
            </w:r>
          </w:p>
        </w:tc>
      </w:tr>
      <w:tr>
        <w:trPr>
          <w:cantSplit/>
        </w:trPr>
        <w:tc>
          <w:tcPr>
            <w:tcW w:type="dxa" w:w="340"/>
          </w:tcPr>
          <w:p>
            <w:pPr>
              <w:pStyle w:val="ICST-Tabletext"/>
              <w:spacing w:before="20" w:after="20"/>
              <w:ind w:firstLine="0"/>
              <w:jc w:val="center"/>
            </w:pPr>
            <w:r>
              <w:rPr>
                <w:sz w:val="14"/>
              </w:rPr>
              <w:t>5</w:t>
            </w:r>
          </w:p>
        </w:tc>
        <w:tc>
          <w:tcPr>
            <w:tcW w:type="dxa" w:w="4309"/>
          </w:tcPr>
          <w:p>
            <w:pPr>
              <w:pStyle w:val="ICST-Tabletext"/>
              <w:spacing w:before="20" w:after="20"/>
              <w:ind w:firstLine="0"/>
              <w:jc w:val="left"/>
            </w:pPr>
            <w:r>
              <w:rPr>
                <w:sz w:val="14"/>
              </w:rPr>
              <w:t xml:space="preserve">    e ← argmax EIG(e) (Eq. 8);  c ← LLMSensor(T</w:t>
            </w:r>
            <w:r>
              <w:rPr>
                <w:sz w:val="14"/>
                <w:vertAlign w:val="subscript"/>
              </w:rPr>
              <w:t>e</w:t>
            </w:r>
            <w:r>
              <w:rPr>
                <w:sz w:val="14"/>
              </w:rPr>
              <w:t>) if its quote is verbatim, else none;  update P(h | O)</w:t>
            </w:r>
          </w:p>
        </w:tc>
      </w:tr>
      <w:tr>
        <w:trPr>
          <w:cantSplit/>
        </w:trPr>
        <w:tc>
          <w:tcPr>
            <w:tcW w:type="dxa" w:w="340"/>
          </w:tcPr>
          <w:p>
            <w:pPr>
              <w:pStyle w:val="ICST-Tabletext"/>
              <w:spacing w:before="20" w:after="20"/>
              <w:ind w:firstLine="0"/>
              <w:jc w:val="center"/>
            </w:pPr>
            <w:r>
              <w:rPr>
                <w:sz w:val="14"/>
              </w:rPr>
              <w:t>6</w:t>
            </w:r>
          </w:p>
        </w:tc>
        <w:tc>
          <w:tcPr>
            <w:tcW w:type="dxa" w:w="4309"/>
          </w:tcPr>
          <w:p>
            <w:pPr>
              <w:pStyle w:val="ICST-Tabletext"/>
              <w:spacing w:before="20" w:after="20"/>
              <w:ind w:firstLine="0"/>
              <w:jc w:val="left"/>
            </w:pPr>
            <w:r>
              <w:rPr>
                <w:sz w:val="14"/>
              </w:rPr>
              <w:t>ê ← argmax marginal P(e | O);  τ̂ ← argmax P(τ | ê, O) (Eq. 9–10)</w:t>
            </w:r>
          </w:p>
        </w:tc>
      </w:tr>
      <w:tr>
        <w:trPr>
          <w:cantSplit/>
        </w:trPr>
        <w:tc>
          <w:tcPr>
            <w:tcW w:type="dxa" w:w="340"/>
          </w:tcPr>
          <w:p>
            <w:pPr>
              <w:pStyle w:val="ICST-Tabletext"/>
              <w:spacing w:before="20" w:after="20"/>
              <w:ind w:firstLine="0"/>
              <w:jc w:val="center"/>
            </w:pPr>
            <w:r>
              <w:rPr>
                <w:sz w:val="14"/>
              </w:rPr>
              <w:t>7</w:t>
            </w:r>
          </w:p>
        </w:tc>
        <w:tc>
          <w:tcPr>
            <w:tcW w:type="dxa" w:w="4309"/>
          </w:tcPr>
          <w:p>
            <w:pPr>
              <w:pStyle w:val="ICST-Tabletext"/>
              <w:spacing w:before="20" w:after="20"/>
              <w:ind w:firstLine="0"/>
              <w:jc w:val="left"/>
            </w:pPr>
            <w:r>
              <w:rPr>
                <w:sz w:val="14"/>
              </w:rPr>
              <w:t>τ' ← LLMTyping(ê, shortlist</w:t>
            </w:r>
            <w:r>
              <w:rPr>
                <w:sz w:val="14"/>
                <w:vertAlign w:val="subscript"/>
              </w:rPr>
              <w:t>5</w:t>
            </w:r>
            <w:r>
              <w:rPr>
                <w:sz w:val="14"/>
              </w:rPr>
              <w:t>(τ | ê));  τ̂ ← τ' if τ' in shortlist and quote verbatim</w:t>
            </w:r>
          </w:p>
        </w:tc>
      </w:tr>
      <w:tr>
        <w:trPr>
          <w:cantSplit/>
        </w:trPr>
        <w:tc>
          <w:tcPr>
            <w:tcW w:type="dxa" w:w="340"/>
          </w:tcPr>
          <w:p>
            <w:pPr>
              <w:pStyle w:val="ICST-Tabletext"/>
              <w:spacing w:before="20" w:after="20"/>
              <w:ind w:firstLine="0"/>
              <w:jc w:val="center"/>
            </w:pPr>
            <w:r>
              <w:rPr>
                <w:sz w:val="14"/>
              </w:rPr>
              <w:t>8</w:t>
            </w:r>
          </w:p>
        </w:tc>
        <w:tc>
          <w:tcPr>
            <w:tcW w:type="dxa" w:w="4309"/>
          </w:tcPr>
          <w:p>
            <w:pPr>
              <w:pStyle w:val="ICST-Tabletext"/>
              <w:spacing w:before="20" w:after="20"/>
              <w:ind w:firstLine="0"/>
              <w:jc w:val="left"/>
            </w:pPr>
            <w:r>
              <w:rPr>
                <w:sz w:val="14"/>
              </w:rPr>
              <w:t>C ← chain along path(ê → alert): LLMNarrator with numbers checked, or rule-based</w:t>
            </w:r>
          </w:p>
        </w:tc>
      </w:tr>
      <w:tr>
        <w:trPr>
          <w:cantSplit/>
        </w:trPr>
        <w:tc>
          <w:tcPr>
            <w:tcW w:type="dxa" w:w="340"/>
          </w:tcPr>
          <w:p>
            <w:pPr>
              <w:pStyle w:val="ICST-Tabletext"/>
              <w:spacing w:before="20" w:after="20"/>
              <w:ind w:firstLine="0"/>
              <w:jc w:val="center"/>
            </w:pPr>
            <w:r>
              <w:rPr>
                <w:sz w:val="14"/>
              </w:rPr>
              <w:t>9</w:t>
            </w:r>
          </w:p>
        </w:tc>
        <w:tc>
          <w:tcPr>
            <w:tcW w:type="dxa" w:w="4309"/>
          </w:tcPr>
          <w:p>
            <w:pPr>
              <w:pStyle w:val="ICST-Tabletext"/>
              <w:spacing w:before="20" w:after="20"/>
              <w:ind w:firstLine="0"/>
              <w:jc w:val="left"/>
            </w:pPr>
            <w:r>
              <w:rPr>
                <w:b/>
                <w:sz w:val="14"/>
              </w:rPr>
              <w:t>return</w:t>
            </w:r>
            <w:r>
              <w:rPr>
                <w:sz w:val="14"/>
              </w:rPr>
              <w:t xml:space="preserve"> ê, τ̂, C</w:t>
            </w:r>
          </w:p>
        </w:tc>
      </w:tr>
    </w:tbl>
    <w:p>
      <w:pPr>
        <w:pStyle w:val="ICST-Bodytextnoindent"/>
        <w:spacing w:after="80"/>
      </w:pPr>
    </w:p>
    <w:p>
      <w:pPr>
        <w:pStyle w:val="ICST-Heading1"/>
        <w:numPr>
          <w:ilvl w:val="0"/>
          <w:numId w:val="24"/>
        </w:numPr>
      </w:pPr>
      <w:r>
        <w:rPr/>
        <w:t>Experiment and Results</w:t>
      </w:r>
    </w:p>
    <w:p>
      <w:pPr>
        <w:pStyle w:val="ICST-Heading2"/>
        <w:numPr>
          <w:ilvl w:val="1"/>
          <w:numId w:val="24"/>
        </w:numPr>
      </w:pPr>
      <w:r>
        <w:rPr/>
        <w:t>Experimental Setup</w:t>
      </w:r>
    </w:p>
    <w:p>
      <w:pPr>
        <w:pStyle w:val="ICST-Bodytextwithindent"/>
      </w:pPr>
      <w:r>
        <w:rPr>
          <w:b/>
        </w:rPr>
        <w:t>Benchmark.</w:t>
      </w:r>
      <w:r>
        <w:rPr/>
        <w:t xml:space="preserve"> RCA100 [6] contains 103 expert-labelled incidents injected by chaos drills into the OpenTelemetry Demo Store (about a dozen polyglot services on Alibaba Cloud ACK with managed RDS, Redis and a message bus). Each case is labelled with one of 28 fault types in six groups, a root-cause entity (83 services, 17 nodes, 3 pods), a 3–4-step causal chain and on average 6.42 numerically constrained checkpoints. Each case ships six modalities; on average a case touches 4.02 of them.</w:t>
      </w:r>
    </w:p>
    <w:p>
      <w:pPr>
        <w:pStyle w:val="ICST-Bodytextwithindent"/>
      </w:pPr>
      <w:r>
        <w:rPr>
          <w:b/>
        </w:rPr>
        <w:t>Metrics.</w:t>
      </w:r>
      <w:r>
        <w:rPr/>
        <w:t xml:space="preserve"> We use the benchmark's protocol: EL gives 1.0 for the exact entity and 0.5</w:t>
      </w:r>
      <w:r>
        <w:rPr>
          <w:vertAlign w:val="superscript"/>
        </w:rPr>
        <w:t>h</w:t>
      </w:r>
      <w:r>
        <w:rPr/>
        <w:t xml:space="preserve"> at h hops in the topology; FI requires the exact fault type; RP = 0.5 · chain node-match rate + 0.5 · checkpoint hit rate; Final = 0.4 · EL + 0.3 · FI + 0.3 · RP, all on a 0–100 scale [6]. We also report the number of cases with the exact entity and the exact type, 95% bootstrap intervals over cases (5,000 resamples) and paired Wilcoxon signed-rank tests.</w:t>
      </w:r>
    </w:p>
    <w:p>
      <w:pPr>
        <w:pStyle w:val="ICST-Bodytextwithindent"/>
      </w:pPr>
      <w:r>
        <w:rPr>
          <w:b/>
        </w:rPr>
        <w:t>Hardware and model.</w:t>
      </w:r>
      <w:r>
        <w:rPr/>
        <w:t xml:space="preserve"> The statistical core runs on a Kaggle CPU. The LLM is Qwen3-8B [32] in bfloat16 on one NVIDIA T4 (16 GB), with greedy decoding (temperature 0, seed 0), at most 1,024 output tokens and thinking disabled. No external API is used.</w:t>
      </w:r>
    </w:p>
    <w:p>
      <w:pPr>
        <w:pStyle w:val="ICST-Bodytextwithindent"/>
      </w:pPr>
      <w:r>
        <w:rPr>
          <w:b/>
        </w:rPr>
        <w:t>Baselines.</w:t>
      </w:r>
      <w:r>
        <w:rPr/>
        <w:t xml:space="preserve"> Majority-Entity always answers the most frequent root-cause entity of RCA100 (the inventory service); Alert-Service answers the service named in the alert. Both output no fault type and no chain, so their FI and RP are 0.</w:t>
      </w:r>
    </w:p>
    <w:p>
      <w:pPr>
        <w:pStyle w:val="ICST-Bodytextwithindent"/>
      </w:pPr>
      <w:r>
        <w:rPr>
          <w:b/>
        </w:rPr>
        <w:t>Protocol and disclosure.</w:t>
      </w:r>
      <w:r>
        <w:rPr/>
        <w:t xml:space="preserve"> The design of GAMA-RCA was developed on RCA100: earlier versions were evaluated on all 103 cases and their errors were inspected. The results below are therefore development results. Hyperparameters were fixed a priori (Appendix B) and not tuned per case, but the choice of components was informed by these cases.</w:t>
      </w:r>
    </w:p>
    <w:p>
      <w:pPr>
        <w:pStyle w:val="ICST-Heading2"/>
        <w:numPr>
          <w:ilvl w:val="1"/>
          <w:numId w:val="24"/>
        </w:numPr>
      </w:pPr>
      <w:r>
        <w:rPr/>
        <w:t>Main Results</w:t>
      </w:r>
    </w:p>
    <w:p>
      <w:pPr>
        <w:pStyle w:val="ICST-Bodytextwithindent"/>
      </w:pPr>
      <w:r>
        <w:rPr/>
        <w:t>Table 2 shows the results. The statistical core reached a Final score of 50.0 [45.2, 55.1] at 88 s per case on a CPU and without any LLM call. Adding the LLM raised FI from 20.4 to 22.3 and RP from 72.4 to 73.9, lowered EL from 55.5 to 53.8, and gave a Final score of 50.4 [45.3, 56.0]; the paired difference is not significant (p = 0.31). The LLM consumed 8,514 tokens per case on average (median 8,127, maximum 14,374) in 2.35 calls. Compared with the roughly 1.1 million telemetry rows of an incident, the evidence that reaches the LLM is more than two orders of magnitude smaller, even if each row counted as a single token.</w:t>
      </w:r>
    </w:p>
    <w:p>
      <w:pPr>
        <w:pStyle w:val="ICST-Bodytextwithindent"/>
      </w:pPr>
      <w:r>
        <w:rPr/>
        <w:t>The Majority-Entity baseline localises the entity exactly in 59 cases, more often than GAMA-RCA (45–47 cases). RCA100 is skewed: the inventory service is the root cause in 57% of the cases. A constant answer, however, gives no fault type and no explanation, and its Final score from exact matches is only 22.9; GAMA-RCA's localisation comes from evidence in each case and is accompanied by a type and a chain.</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2" w:space="720"/>
          <w:noEndnote/>
          <w:docGrid w:linePitch="272"/>
        </w:sectPr>
      </w:pPr>
    </w:p>
    <w:p>
      <w:pPr>
        <w:pStyle w:val="ICST-Captions"/>
        <w:keepNext/>
      </w:pPr>
      <w:r>
        <w:rPr/>
        <w:t>Table 2. Diagnosis results on RCA100 (103 cases).</w:t>
      </w:r>
    </w:p>
    <w:tbl>
      <w:tblPr>
        <w:tblW w:type="auto" w:w="0"/>
        <w:jc w:val="center"/>
        <w:tblBorders>
          <w:top w:val="single" w:sz="10" w:color="000000"/>
          <w:bottom w:val="single" w:sz="10" w:color="000000"/>
        </w:tblBorders>
        <w:tblLook w:firstColumn="1" w:firstRow="1" w:lastColumn="0" w:lastRow="0" w:noHBand="0" w:noVBand="1" w:val="04A0"/>
      </w:tblPr>
      <w:tblGrid>
        <w:gridCol w:w="2437"/>
        <w:gridCol w:w="850"/>
        <w:gridCol w:w="623"/>
        <w:gridCol w:w="566"/>
        <w:gridCol w:w="566"/>
        <w:gridCol w:w="1417"/>
        <w:gridCol w:w="793"/>
        <w:gridCol w:w="793"/>
        <w:gridCol w:w="793"/>
        <w:gridCol w:w="850"/>
      </w:tblGrid>
      <w:tr>
        <w:trPr>
          <w:tblHeader/>
          <w:cantSplit/>
        </w:trPr>
        <w:tc>
          <w:tcPr>
            <w:tcW w:type="dxa" w:w="2438"/>
            <w:tcBorders>
              <w:bottom w:val="single" w:sz="6" w:color="000000"/>
            </w:tcBorders>
          </w:tcPr>
          <w:p>
            <w:pPr>
              <w:pStyle w:val="ICST-Tabletext"/>
              <w:spacing w:before="20" w:after="20"/>
              <w:ind w:firstLine="0"/>
              <w:jc w:val="left"/>
            </w:pPr>
            <w:r>
              <w:rPr>
                <w:b/>
                <w:sz w:val="15"/>
              </w:rPr>
              <w:t>Model</w:t>
            </w:r>
          </w:p>
        </w:tc>
        <w:tc>
          <w:tcPr>
            <w:tcW w:type="dxa" w:w="850"/>
            <w:tcBorders>
              <w:bottom w:val="single" w:sz="6" w:color="000000"/>
            </w:tcBorders>
          </w:tcPr>
          <w:p>
            <w:pPr>
              <w:pStyle w:val="ICST-Tabletext"/>
              <w:spacing w:before="20" w:after="20"/>
              <w:ind w:firstLine="0"/>
              <w:jc w:val="right"/>
            </w:pPr>
            <w:r>
              <w:rPr>
                <w:b/>
                <w:sz w:val="15"/>
              </w:rPr>
              <w:t>LLM</w:t>
            </w:r>
          </w:p>
        </w:tc>
        <w:tc>
          <w:tcPr>
            <w:tcW w:type="dxa" w:w="624"/>
            <w:tcBorders>
              <w:bottom w:val="single" w:sz="6" w:color="000000"/>
            </w:tcBorders>
          </w:tcPr>
          <w:p>
            <w:pPr>
              <w:pStyle w:val="ICST-Tabletext"/>
              <w:spacing w:before="20" w:after="20"/>
              <w:ind w:firstLine="0"/>
              <w:jc w:val="right"/>
            </w:pPr>
            <w:r>
              <w:rPr>
                <w:b/>
                <w:sz w:val="15"/>
              </w:rPr>
              <w:t>EL</w:t>
            </w:r>
          </w:p>
        </w:tc>
        <w:tc>
          <w:tcPr>
            <w:tcW w:type="dxa" w:w="567"/>
            <w:tcBorders>
              <w:bottom w:val="single" w:sz="6" w:color="000000"/>
            </w:tcBorders>
          </w:tcPr>
          <w:p>
            <w:pPr>
              <w:pStyle w:val="ICST-Tabletext"/>
              <w:spacing w:before="20" w:after="20"/>
              <w:ind w:firstLine="0"/>
              <w:jc w:val="right"/>
            </w:pPr>
            <w:r>
              <w:rPr>
                <w:b/>
                <w:sz w:val="15"/>
              </w:rPr>
              <w:t>FI</w:t>
            </w:r>
          </w:p>
        </w:tc>
        <w:tc>
          <w:tcPr>
            <w:tcW w:type="dxa" w:w="567"/>
            <w:tcBorders>
              <w:bottom w:val="single" w:sz="6" w:color="000000"/>
            </w:tcBorders>
          </w:tcPr>
          <w:p>
            <w:pPr>
              <w:pStyle w:val="ICST-Tabletext"/>
              <w:spacing w:before="20" w:after="20"/>
              <w:ind w:firstLine="0"/>
              <w:jc w:val="right"/>
            </w:pPr>
            <w:r>
              <w:rPr>
                <w:b/>
                <w:sz w:val="15"/>
              </w:rPr>
              <w:t>RP</w:t>
            </w:r>
          </w:p>
        </w:tc>
        <w:tc>
          <w:tcPr>
            <w:tcW w:type="dxa" w:w="1417"/>
            <w:tcBorders>
              <w:bottom w:val="single" w:sz="6" w:color="000000"/>
            </w:tcBorders>
          </w:tcPr>
          <w:p>
            <w:pPr>
              <w:pStyle w:val="ICST-Tabletext"/>
              <w:spacing w:before="20" w:after="20"/>
              <w:ind w:firstLine="0"/>
              <w:jc w:val="right"/>
            </w:pPr>
            <w:r>
              <w:rPr>
                <w:b/>
                <w:sz w:val="15"/>
              </w:rPr>
              <w:t>Final [95% CI]</w:t>
            </w:r>
          </w:p>
        </w:tc>
        <w:tc>
          <w:tcPr>
            <w:tcW w:type="dxa" w:w="794"/>
            <w:tcBorders>
              <w:bottom w:val="single" w:sz="6" w:color="000000"/>
            </w:tcBorders>
          </w:tcPr>
          <w:p>
            <w:pPr>
              <w:pStyle w:val="ICST-Tabletext"/>
              <w:spacing w:before="20" w:after="20"/>
              <w:ind w:firstLine="0"/>
              <w:jc w:val="right"/>
            </w:pPr>
            <w:r>
              <w:rPr>
                <w:b/>
                <w:sz w:val="15"/>
              </w:rPr>
              <w:t>Entity exact</w:t>
            </w:r>
          </w:p>
        </w:tc>
        <w:tc>
          <w:tcPr>
            <w:tcW w:type="dxa" w:w="794"/>
            <w:tcBorders>
              <w:bottom w:val="single" w:sz="6" w:color="000000"/>
            </w:tcBorders>
          </w:tcPr>
          <w:p>
            <w:pPr>
              <w:pStyle w:val="ICST-Tabletext"/>
              <w:spacing w:before="20" w:after="20"/>
              <w:ind w:firstLine="0"/>
              <w:jc w:val="right"/>
            </w:pPr>
            <w:r>
              <w:rPr>
                <w:b/>
                <w:sz w:val="15"/>
              </w:rPr>
              <w:t>Type exact</w:t>
            </w:r>
          </w:p>
        </w:tc>
        <w:tc>
          <w:tcPr>
            <w:tcW w:type="dxa" w:w="794"/>
            <w:tcBorders>
              <w:bottom w:val="single" w:sz="6" w:color="000000"/>
            </w:tcBorders>
          </w:tcPr>
          <w:p>
            <w:pPr>
              <w:pStyle w:val="ICST-Tabletext"/>
              <w:spacing w:before="20" w:after="20"/>
              <w:ind w:firstLine="0"/>
              <w:jc w:val="right"/>
            </w:pPr>
            <w:r>
              <w:rPr>
                <w:b/>
                <w:sz w:val="15"/>
              </w:rPr>
              <w:t>Time / case</w:t>
            </w:r>
          </w:p>
        </w:tc>
        <w:tc>
          <w:tcPr>
            <w:tcW w:type="dxa" w:w="850"/>
            <w:tcBorders>
              <w:bottom w:val="single" w:sz="6" w:color="000000"/>
            </w:tcBorders>
          </w:tcPr>
          <w:p>
            <w:pPr>
              <w:pStyle w:val="ICST-Tabletext"/>
              <w:spacing w:before="20" w:after="20"/>
              <w:ind w:firstLine="0"/>
              <w:jc w:val="right"/>
            </w:pPr>
            <w:r>
              <w:rPr>
                <w:b/>
                <w:sz w:val="15"/>
              </w:rPr>
              <w:t>Tokens / case</w:t>
            </w:r>
          </w:p>
        </w:tc>
      </w:tr>
      <w:tr>
        <w:trPr>
          <w:cantSplit/>
        </w:trPr>
        <w:tc>
          <w:tcPr>
            <w:tcW w:type="dxa" w:w="2438"/>
          </w:tcPr>
          <w:p>
            <w:pPr>
              <w:pStyle w:val="ICST-Tabletext"/>
              <w:spacing w:before="20" w:after="20"/>
              <w:ind w:firstLine="0"/>
              <w:jc w:val="left"/>
            </w:pPr>
            <w:r>
              <w:rPr>
                <w:sz w:val="15"/>
              </w:rPr>
              <w:t>Majority-Entity baseline</w:t>
            </w:r>
          </w:p>
        </w:tc>
        <w:tc>
          <w:tcPr>
            <w:tcW w:type="dxa" w:w="850"/>
          </w:tcPr>
          <w:p>
            <w:pPr>
              <w:pStyle w:val="ICST-Tabletext"/>
              <w:spacing w:before="20" w:after="20"/>
              <w:ind w:firstLine="0"/>
              <w:jc w:val="right"/>
            </w:pPr>
            <w:r>
              <w:rPr>
                <w:sz w:val="15"/>
              </w:rPr>
              <w:t>–</w:t>
            </w:r>
          </w:p>
        </w:tc>
        <w:tc>
          <w:tcPr>
            <w:tcW w:type="dxa" w:w="624"/>
          </w:tcPr>
          <w:p>
            <w:pPr>
              <w:pStyle w:val="ICST-Tabletext"/>
              <w:spacing w:before="20" w:after="20"/>
              <w:ind w:firstLine="0"/>
              <w:jc w:val="right"/>
            </w:pPr>
            <w:r>
              <w:rPr>
                <w:sz w:val="15"/>
              </w:rPr>
              <w:t>≥ 57.3</w:t>
            </w:r>
          </w:p>
        </w:tc>
        <w:tc>
          <w:tcPr>
            <w:tcW w:type="dxa" w:w="567"/>
          </w:tcPr>
          <w:p>
            <w:pPr>
              <w:pStyle w:val="ICST-Tabletext"/>
              <w:spacing w:before="20" w:after="20"/>
              <w:ind w:firstLine="0"/>
              <w:jc w:val="right"/>
            </w:pPr>
            <w:r>
              <w:rPr>
                <w:sz w:val="15"/>
              </w:rPr>
              <w:t>0.0</w:t>
            </w:r>
          </w:p>
        </w:tc>
        <w:tc>
          <w:tcPr>
            <w:tcW w:type="dxa" w:w="567"/>
          </w:tcPr>
          <w:p>
            <w:pPr>
              <w:pStyle w:val="ICST-Tabletext"/>
              <w:spacing w:before="20" w:after="20"/>
              <w:ind w:firstLine="0"/>
              <w:jc w:val="right"/>
            </w:pPr>
            <w:r>
              <w:rPr>
                <w:sz w:val="15"/>
              </w:rPr>
              <w:t>0.0</w:t>
            </w:r>
          </w:p>
        </w:tc>
        <w:tc>
          <w:tcPr>
            <w:tcW w:type="dxa" w:w="1417"/>
          </w:tcPr>
          <w:p>
            <w:pPr>
              <w:pStyle w:val="ICST-Tabletext"/>
              <w:spacing w:before="20" w:after="20"/>
              <w:ind w:firstLine="0"/>
              <w:jc w:val="right"/>
            </w:pPr>
            <w:r>
              <w:rPr>
                <w:sz w:val="15"/>
              </w:rPr>
              <w:t>≥ 22.9</w:t>
            </w:r>
          </w:p>
        </w:tc>
        <w:tc>
          <w:tcPr>
            <w:tcW w:type="dxa" w:w="794"/>
          </w:tcPr>
          <w:p>
            <w:pPr>
              <w:pStyle w:val="ICST-Tabletext"/>
              <w:spacing w:before="20" w:after="20"/>
              <w:ind w:firstLine="0"/>
              <w:jc w:val="right"/>
            </w:pPr>
            <w:r>
              <w:rPr>
                <w:sz w:val="15"/>
              </w:rPr>
              <w:t>59</w:t>
            </w:r>
          </w:p>
        </w:tc>
        <w:tc>
          <w:tcPr>
            <w:tcW w:type="dxa" w:w="794"/>
          </w:tcPr>
          <w:p>
            <w:pPr>
              <w:pStyle w:val="ICST-Tabletext"/>
              <w:spacing w:before="20" w:after="20"/>
              <w:ind w:firstLine="0"/>
              <w:jc w:val="right"/>
            </w:pPr>
            <w:r>
              <w:rPr>
                <w:sz w:val="15"/>
              </w:rPr>
              <w:t>0</w:t>
            </w:r>
          </w:p>
        </w:tc>
        <w:tc>
          <w:tcPr>
            <w:tcW w:type="dxa" w:w="794"/>
          </w:tcPr>
          <w:p>
            <w:pPr>
              <w:pStyle w:val="ICST-Tabletext"/>
              <w:spacing w:before="20" w:after="20"/>
              <w:ind w:firstLine="0"/>
              <w:jc w:val="right"/>
            </w:pPr>
            <w:r>
              <w:rPr>
                <w:sz w:val="15"/>
              </w:rPr>
              <w:t>0 s</w:t>
            </w:r>
          </w:p>
        </w:tc>
        <w:tc>
          <w:tcPr>
            <w:tcW w:type="dxa" w:w="850"/>
          </w:tcPr>
          <w:p>
            <w:pPr>
              <w:pStyle w:val="ICST-Tabletext"/>
              <w:spacing w:before="20" w:after="20"/>
              <w:ind w:firstLine="0"/>
              <w:jc w:val="right"/>
            </w:pPr>
            <w:r>
              <w:rPr>
                <w:sz w:val="15"/>
              </w:rPr>
              <w:t>0</w:t>
            </w:r>
          </w:p>
        </w:tc>
      </w:tr>
      <w:tr>
        <w:trPr>
          <w:cantSplit/>
        </w:trPr>
        <w:tc>
          <w:tcPr>
            <w:tcW w:type="dxa" w:w="2438"/>
          </w:tcPr>
          <w:p>
            <w:pPr>
              <w:pStyle w:val="ICST-Tabletext"/>
              <w:spacing w:before="20" w:after="20"/>
              <w:ind w:firstLine="0"/>
              <w:jc w:val="left"/>
            </w:pPr>
            <w:r>
              <w:rPr>
                <w:sz w:val="15"/>
              </w:rPr>
              <w:t>Alert-Service baseline</w:t>
            </w:r>
          </w:p>
        </w:tc>
        <w:tc>
          <w:tcPr>
            <w:tcW w:type="dxa" w:w="850"/>
          </w:tcPr>
          <w:p>
            <w:pPr>
              <w:pStyle w:val="ICST-Tabletext"/>
              <w:spacing w:before="20" w:after="20"/>
              <w:ind w:firstLine="0"/>
              <w:jc w:val="right"/>
            </w:pPr>
            <w:r>
              <w:rPr>
                <w:sz w:val="15"/>
              </w:rPr>
              <w:t>–</w:t>
            </w:r>
          </w:p>
        </w:tc>
        <w:tc>
          <w:tcPr>
            <w:tcW w:type="dxa" w:w="624"/>
          </w:tcPr>
          <w:p>
            <w:pPr>
              <w:pStyle w:val="ICST-Tabletext"/>
              <w:spacing w:before="20" w:after="20"/>
              <w:ind w:firstLine="0"/>
              <w:jc w:val="right"/>
            </w:pPr>
            <w:r>
              <w:rPr>
                <w:sz w:val="15"/>
              </w:rPr>
              <w:t>≥ 30.1</w:t>
            </w:r>
          </w:p>
        </w:tc>
        <w:tc>
          <w:tcPr>
            <w:tcW w:type="dxa" w:w="567"/>
          </w:tcPr>
          <w:p>
            <w:pPr>
              <w:pStyle w:val="ICST-Tabletext"/>
              <w:spacing w:before="20" w:after="20"/>
              <w:ind w:firstLine="0"/>
              <w:jc w:val="right"/>
            </w:pPr>
            <w:r>
              <w:rPr>
                <w:sz w:val="15"/>
              </w:rPr>
              <w:t>0.0</w:t>
            </w:r>
          </w:p>
        </w:tc>
        <w:tc>
          <w:tcPr>
            <w:tcW w:type="dxa" w:w="567"/>
          </w:tcPr>
          <w:p>
            <w:pPr>
              <w:pStyle w:val="ICST-Tabletext"/>
              <w:spacing w:before="20" w:after="20"/>
              <w:ind w:firstLine="0"/>
              <w:jc w:val="right"/>
            </w:pPr>
            <w:r>
              <w:rPr>
                <w:sz w:val="15"/>
              </w:rPr>
              <w:t>0.0</w:t>
            </w:r>
          </w:p>
        </w:tc>
        <w:tc>
          <w:tcPr>
            <w:tcW w:type="dxa" w:w="1417"/>
          </w:tcPr>
          <w:p>
            <w:pPr>
              <w:pStyle w:val="ICST-Tabletext"/>
              <w:spacing w:before="20" w:after="20"/>
              <w:ind w:firstLine="0"/>
              <w:jc w:val="right"/>
            </w:pPr>
            <w:r>
              <w:rPr>
                <w:sz w:val="15"/>
              </w:rPr>
              <w:t>≥ 12.0</w:t>
            </w:r>
          </w:p>
        </w:tc>
        <w:tc>
          <w:tcPr>
            <w:tcW w:type="dxa" w:w="794"/>
          </w:tcPr>
          <w:p>
            <w:pPr>
              <w:pStyle w:val="ICST-Tabletext"/>
              <w:spacing w:before="20" w:after="20"/>
              <w:ind w:firstLine="0"/>
              <w:jc w:val="right"/>
            </w:pPr>
            <w:r>
              <w:rPr>
                <w:sz w:val="15"/>
              </w:rPr>
              <w:t>31</w:t>
            </w:r>
          </w:p>
        </w:tc>
        <w:tc>
          <w:tcPr>
            <w:tcW w:type="dxa" w:w="794"/>
          </w:tcPr>
          <w:p>
            <w:pPr>
              <w:pStyle w:val="ICST-Tabletext"/>
              <w:spacing w:before="20" w:after="20"/>
              <w:ind w:firstLine="0"/>
              <w:jc w:val="right"/>
            </w:pPr>
            <w:r>
              <w:rPr>
                <w:sz w:val="15"/>
              </w:rPr>
              <w:t>0</w:t>
            </w:r>
          </w:p>
        </w:tc>
        <w:tc>
          <w:tcPr>
            <w:tcW w:type="dxa" w:w="794"/>
          </w:tcPr>
          <w:p>
            <w:pPr>
              <w:pStyle w:val="ICST-Tabletext"/>
              <w:spacing w:before="20" w:after="20"/>
              <w:ind w:firstLine="0"/>
              <w:jc w:val="right"/>
            </w:pPr>
            <w:r>
              <w:rPr>
                <w:sz w:val="15"/>
              </w:rPr>
              <w:t>0 s</w:t>
            </w:r>
          </w:p>
        </w:tc>
        <w:tc>
          <w:tcPr>
            <w:tcW w:type="dxa" w:w="850"/>
          </w:tcPr>
          <w:p>
            <w:pPr>
              <w:pStyle w:val="ICST-Tabletext"/>
              <w:spacing w:before="20" w:after="20"/>
              <w:ind w:firstLine="0"/>
              <w:jc w:val="right"/>
            </w:pPr>
            <w:r>
              <w:rPr>
                <w:sz w:val="15"/>
              </w:rPr>
              <w:t>0</w:t>
            </w:r>
          </w:p>
        </w:tc>
      </w:tr>
      <w:tr>
        <w:trPr>
          <w:cantSplit/>
        </w:trPr>
        <w:tc>
          <w:tcPr>
            <w:tcW w:type="dxa" w:w="2438"/>
            <w:tcBorders>
              <w:top w:val="single" w:sz="4" w:color="000000"/>
            </w:tcBorders>
          </w:tcPr>
          <w:p>
            <w:pPr>
              <w:pStyle w:val="ICST-Tabletext"/>
              <w:spacing w:before="20" w:after="20"/>
              <w:ind w:firstLine="0"/>
              <w:jc w:val="left"/>
            </w:pPr>
            <w:r>
              <w:rPr>
                <w:sz w:val="15"/>
              </w:rPr>
              <w:t>GAMA-RCA (statistical core)</w:t>
            </w:r>
          </w:p>
        </w:tc>
        <w:tc>
          <w:tcPr>
            <w:tcW w:type="dxa" w:w="850"/>
            <w:tcBorders>
              <w:top w:val="single" w:sz="4" w:color="000000"/>
            </w:tcBorders>
          </w:tcPr>
          <w:p>
            <w:pPr>
              <w:pStyle w:val="ICST-Tabletext"/>
              <w:spacing w:before="20" w:after="20"/>
              <w:ind w:firstLine="0"/>
              <w:jc w:val="right"/>
            </w:pPr>
            <w:r>
              <w:rPr>
                <w:sz w:val="15"/>
              </w:rPr>
              <w:t>none</w:t>
            </w:r>
          </w:p>
        </w:tc>
        <w:tc>
          <w:tcPr>
            <w:tcW w:type="dxa" w:w="624"/>
            <w:tcBorders>
              <w:top w:val="single" w:sz="4" w:color="000000"/>
            </w:tcBorders>
          </w:tcPr>
          <w:p>
            <w:pPr>
              <w:pStyle w:val="ICST-Tabletext"/>
              <w:spacing w:before="20" w:after="20"/>
              <w:ind w:firstLine="0"/>
              <w:jc w:val="right"/>
            </w:pPr>
            <w:r>
              <w:rPr>
                <w:sz w:val="15"/>
              </w:rPr>
              <w:t>55.5</w:t>
            </w:r>
          </w:p>
        </w:tc>
        <w:tc>
          <w:tcPr>
            <w:tcW w:type="dxa" w:w="567"/>
            <w:tcBorders>
              <w:top w:val="single" w:sz="4" w:color="000000"/>
            </w:tcBorders>
          </w:tcPr>
          <w:p>
            <w:pPr>
              <w:pStyle w:val="ICST-Tabletext"/>
              <w:spacing w:before="20" w:after="20"/>
              <w:ind w:firstLine="0"/>
              <w:jc w:val="right"/>
            </w:pPr>
            <w:r>
              <w:rPr>
                <w:sz w:val="15"/>
              </w:rPr>
              <w:t>20.4</w:t>
            </w:r>
          </w:p>
        </w:tc>
        <w:tc>
          <w:tcPr>
            <w:tcW w:type="dxa" w:w="567"/>
            <w:tcBorders>
              <w:top w:val="single" w:sz="4" w:color="000000"/>
            </w:tcBorders>
          </w:tcPr>
          <w:p>
            <w:pPr>
              <w:pStyle w:val="ICST-Tabletext"/>
              <w:spacing w:before="20" w:after="20"/>
              <w:ind w:firstLine="0"/>
              <w:jc w:val="right"/>
            </w:pPr>
            <w:r>
              <w:rPr>
                <w:sz w:val="15"/>
              </w:rPr>
              <w:t>72.4</w:t>
            </w:r>
          </w:p>
        </w:tc>
        <w:tc>
          <w:tcPr>
            <w:tcW w:type="dxa" w:w="1417"/>
            <w:tcBorders>
              <w:top w:val="single" w:sz="4" w:color="000000"/>
            </w:tcBorders>
          </w:tcPr>
          <w:p>
            <w:pPr>
              <w:pStyle w:val="ICST-Tabletext"/>
              <w:spacing w:before="20" w:after="20"/>
              <w:ind w:firstLine="0"/>
              <w:jc w:val="right"/>
            </w:pPr>
            <w:r>
              <w:rPr>
                <w:sz w:val="15"/>
              </w:rPr>
              <w:t>50.0 [45.2, 55.1]</w:t>
            </w:r>
          </w:p>
        </w:tc>
        <w:tc>
          <w:tcPr>
            <w:tcW w:type="dxa" w:w="794"/>
            <w:tcBorders>
              <w:top w:val="single" w:sz="4" w:color="000000"/>
            </w:tcBorders>
          </w:tcPr>
          <w:p>
            <w:pPr>
              <w:pStyle w:val="ICST-Tabletext"/>
              <w:spacing w:before="20" w:after="20"/>
              <w:ind w:firstLine="0"/>
              <w:jc w:val="right"/>
            </w:pPr>
            <w:r>
              <w:rPr>
                <w:sz w:val="15"/>
              </w:rPr>
              <w:t>47</w:t>
            </w:r>
          </w:p>
        </w:tc>
        <w:tc>
          <w:tcPr>
            <w:tcW w:type="dxa" w:w="794"/>
            <w:tcBorders>
              <w:top w:val="single" w:sz="4" w:color="000000"/>
            </w:tcBorders>
          </w:tcPr>
          <w:p>
            <w:pPr>
              <w:pStyle w:val="ICST-Tabletext"/>
              <w:spacing w:before="20" w:after="20"/>
              <w:ind w:firstLine="0"/>
              <w:jc w:val="right"/>
            </w:pPr>
            <w:r>
              <w:rPr>
                <w:sz w:val="15"/>
              </w:rPr>
              <w:t>21</w:t>
            </w:r>
          </w:p>
        </w:tc>
        <w:tc>
          <w:tcPr>
            <w:tcW w:type="dxa" w:w="794"/>
            <w:tcBorders>
              <w:top w:val="single" w:sz="4" w:color="000000"/>
            </w:tcBorders>
          </w:tcPr>
          <w:p>
            <w:pPr>
              <w:pStyle w:val="ICST-Tabletext"/>
              <w:spacing w:before="20" w:after="20"/>
              <w:ind w:firstLine="0"/>
              <w:jc w:val="right"/>
            </w:pPr>
            <w:r>
              <w:rPr>
                <w:sz w:val="15"/>
              </w:rPr>
              <w:t>88 s</w:t>
            </w:r>
          </w:p>
        </w:tc>
        <w:tc>
          <w:tcPr>
            <w:tcW w:type="dxa" w:w="850"/>
            <w:tcBorders>
              <w:top w:val="single" w:sz="4" w:color="000000"/>
            </w:tcBorders>
          </w:tcPr>
          <w:p>
            <w:pPr>
              <w:pStyle w:val="ICST-Tabletext"/>
              <w:spacing w:before="20" w:after="20"/>
              <w:ind w:firstLine="0"/>
              <w:jc w:val="right"/>
            </w:pPr>
            <w:r>
              <w:rPr>
                <w:sz w:val="15"/>
              </w:rPr>
              <w:t>0</w:t>
            </w:r>
          </w:p>
        </w:tc>
      </w:tr>
      <w:tr>
        <w:trPr>
          <w:cantSplit/>
        </w:trPr>
        <w:tc>
          <w:tcPr>
            <w:tcW w:type="dxa" w:w="2438"/>
          </w:tcPr>
          <w:p>
            <w:pPr>
              <w:pStyle w:val="ICST-Tabletext"/>
              <w:spacing w:before="20" w:after="20"/>
              <w:ind w:firstLine="0"/>
              <w:jc w:val="left"/>
            </w:pPr>
            <w:r>
              <w:rPr>
                <w:b/>
                <w:sz w:val="15"/>
              </w:rPr>
              <w:t>GAMA-RCA + LLM</w:t>
            </w:r>
          </w:p>
        </w:tc>
        <w:tc>
          <w:tcPr>
            <w:tcW w:type="dxa" w:w="850"/>
          </w:tcPr>
          <w:p>
            <w:pPr>
              <w:pStyle w:val="ICST-Tabletext"/>
              <w:spacing w:before="20" w:after="20"/>
              <w:ind w:firstLine="0"/>
              <w:jc w:val="right"/>
            </w:pPr>
            <w:r>
              <w:rPr>
                <w:b/>
                <w:sz w:val="15"/>
              </w:rPr>
              <w:t>Qwen3-8B</w:t>
            </w:r>
          </w:p>
        </w:tc>
        <w:tc>
          <w:tcPr>
            <w:tcW w:type="dxa" w:w="624"/>
          </w:tcPr>
          <w:p>
            <w:pPr>
              <w:pStyle w:val="ICST-Tabletext"/>
              <w:spacing w:before="20" w:after="20"/>
              <w:ind w:firstLine="0"/>
              <w:jc w:val="right"/>
            </w:pPr>
            <w:r>
              <w:rPr>
                <w:b/>
                <w:sz w:val="15"/>
              </w:rPr>
              <w:t>53.8</w:t>
            </w:r>
          </w:p>
        </w:tc>
        <w:tc>
          <w:tcPr>
            <w:tcW w:type="dxa" w:w="567"/>
          </w:tcPr>
          <w:p>
            <w:pPr>
              <w:pStyle w:val="ICST-Tabletext"/>
              <w:spacing w:before="20" w:after="20"/>
              <w:ind w:firstLine="0"/>
              <w:jc w:val="right"/>
            </w:pPr>
            <w:r>
              <w:rPr>
                <w:b/>
                <w:sz w:val="15"/>
              </w:rPr>
              <w:t>22.3</w:t>
            </w:r>
          </w:p>
        </w:tc>
        <w:tc>
          <w:tcPr>
            <w:tcW w:type="dxa" w:w="567"/>
          </w:tcPr>
          <w:p>
            <w:pPr>
              <w:pStyle w:val="ICST-Tabletext"/>
              <w:spacing w:before="20" w:after="20"/>
              <w:ind w:firstLine="0"/>
              <w:jc w:val="right"/>
            </w:pPr>
            <w:r>
              <w:rPr>
                <w:b/>
                <w:sz w:val="15"/>
              </w:rPr>
              <w:t>73.9</w:t>
            </w:r>
          </w:p>
        </w:tc>
        <w:tc>
          <w:tcPr>
            <w:tcW w:type="dxa" w:w="1417"/>
          </w:tcPr>
          <w:p>
            <w:pPr>
              <w:pStyle w:val="ICST-Tabletext"/>
              <w:spacing w:before="20" w:after="20"/>
              <w:ind w:firstLine="0"/>
              <w:jc w:val="right"/>
            </w:pPr>
            <w:r>
              <w:rPr>
                <w:b/>
                <w:sz w:val="15"/>
              </w:rPr>
              <w:t>50.4 [45.3, 56.0]</w:t>
            </w:r>
          </w:p>
        </w:tc>
        <w:tc>
          <w:tcPr>
            <w:tcW w:type="dxa" w:w="794"/>
          </w:tcPr>
          <w:p>
            <w:pPr>
              <w:pStyle w:val="ICST-Tabletext"/>
              <w:spacing w:before="20" w:after="20"/>
              <w:ind w:firstLine="0"/>
              <w:jc w:val="right"/>
            </w:pPr>
            <w:r>
              <w:rPr>
                <w:b/>
                <w:sz w:val="15"/>
              </w:rPr>
              <w:t>45</w:t>
            </w:r>
          </w:p>
        </w:tc>
        <w:tc>
          <w:tcPr>
            <w:tcW w:type="dxa" w:w="794"/>
          </w:tcPr>
          <w:p>
            <w:pPr>
              <w:pStyle w:val="ICST-Tabletext"/>
              <w:spacing w:before="20" w:after="20"/>
              <w:ind w:firstLine="0"/>
              <w:jc w:val="right"/>
            </w:pPr>
            <w:r>
              <w:rPr>
                <w:b/>
                <w:sz w:val="15"/>
              </w:rPr>
              <w:t>23</w:t>
            </w:r>
          </w:p>
        </w:tc>
        <w:tc>
          <w:tcPr>
            <w:tcW w:type="dxa" w:w="794"/>
          </w:tcPr>
          <w:p>
            <w:pPr>
              <w:pStyle w:val="ICST-Tabletext"/>
              <w:spacing w:before="20" w:after="20"/>
              <w:ind w:firstLine="0"/>
              <w:jc w:val="right"/>
            </w:pPr>
            <w:r>
              <w:rPr>
                <w:b/>
                <w:sz w:val="15"/>
              </w:rPr>
              <w:t>193 s</w:t>
            </w:r>
          </w:p>
        </w:tc>
        <w:tc>
          <w:tcPr>
            <w:tcW w:type="dxa" w:w="850"/>
          </w:tcPr>
          <w:p>
            <w:pPr>
              <w:pStyle w:val="ICST-Tabletext"/>
              <w:spacing w:before="20" w:after="20"/>
              <w:ind w:firstLine="0"/>
              <w:jc w:val="right"/>
            </w:pPr>
            <w:r>
              <w:rPr>
                <w:b/>
                <w:sz w:val="15"/>
              </w:rPr>
              <w:t>8.5k</w:t>
            </w:r>
          </w:p>
        </w:tc>
      </w:tr>
    </w:tbl>
    <w:p>
      <w:pPr>
        <w:pStyle w:val="ICST-Bodytextnoindent"/>
        <w:spacing w:before="40" w:after="160"/>
      </w:pPr>
      <w:r>
        <w:rPr>
          <w:sz w:val="14"/>
        </w:rPr>
        <w:t>EL, FI, RP, Final on a 0–100 scale. Entity exact and Type exact are numbers of cases. Baseline EL and Final are lower bounds (exact matches only, no hop credit). CI: percentile bootstrap over cases. Core vs + LLM, Final: Wilcoxon p = 0.31. Time: mean wall-clock on Kaggle (CPU; one T4 GPU). Development results: RCA100 was inspected during design.</w:t>
      </w:r>
    </w:p>
    <w:p>
      <w:pPr>
        <w:pStyle w:val="ICST-Captions"/>
        <w:keepNext/>
      </w:pPr>
      <w:r>
        <w:rPr/>
        <w:t>Table 3. Results by fault group (GAMA-RCA + LLM), sorted by Final.</w:t>
      </w:r>
    </w:p>
    <w:tbl>
      <w:tblPr>
        <w:tblW w:type="auto" w:w="0"/>
        <w:jc w:val="center"/>
        <w:tblBorders>
          <w:top w:val="single" w:sz="10" w:color="000000"/>
          <w:bottom w:val="single" w:sz="10" w:color="000000"/>
        </w:tblBorders>
        <w:tblLook w:firstColumn="1" w:firstRow="1" w:lastColumn="0" w:lastRow="0" w:noHBand="0" w:noVBand="1" w:val="04A0"/>
      </w:tblPr>
      <w:tblGrid>
        <w:gridCol w:w="2607"/>
        <w:gridCol w:w="566"/>
        <w:gridCol w:w="1133"/>
        <w:gridCol w:w="1133"/>
        <w:gridCol w:w="793"/>
        <w:gridCol w:w="793"/>
        <w:gridCol w:w="793"/>
        <w:gridCol w:w="793"/>
      </w:tblGrid>
      <w:tr>
        <w:trPr>
          <w:tblHeader/>
          <w:cantSplit/>
        </w:trPr>
        <w:tc>
          <w:tcPr>
            <w:tcW w:type="dxa" w:w="2608"/>
            <w:tcBorders>
              <w:bottom w:val="single" w:sz="6" w:color="000000"/>
            </w:tcBorders>
          </w:tcPr>
          <w:p>
            <w:pPr>
              <w:pStyle w:val="ICST-Tabletext"/>
              <w:spacing w:before="20" w:after="20"/>
              <w:ind w:firstLine="0"/>
              <w:jc w:val="left"/>
            </w:pPr>
            <w:r>
              <w:rPr>
                <w:b/>
                <w:sz w:val="15"/>
              </w:rPr>
              <w:t>Fault group</w:t>
            </w:r>
          </w:p>
        </w:tc>
        <w:tc>
          <w:tcPr>
            <w:tcW w:type="dxa" w:w="567"/>
            <w:tcBorders>
              <w:bottom w:val="single" w:sz="6" w:color="000000"/>
            </w:tcBorders>
          </w:tcPr>
          <w:p>
            <w:pPr>
              <w:pStyle w:val="ICST-Tabletext"/>
              <w:spacing w:before="20" w:after="20"/>
              <w:ind w:firstLine="0"/>
              <w:jc w:val="right"/>
            </w:pPr>
            <w:r>
              <w:rPr>
                <w:b/>
                <w:sz w:val="15"/>
              </w:rPr>
              <w:t>n</w:t>
            </w:r>
          </w:p>
        </w:tc>
        <w:tc>
          <w:tcPr>
            <w:tcW w:type="dxa" w:w="1134"/>
            <w:tcBorders>
              <w:bottom w:val="single" w:sz="6" w:color="000000"/>
            </w:tcBorders>
          </w:tcPr>
          <w:p>
            <w:pPr>
              <w:pStyle w:val="ICST-Tabletext"/>
              <w:spacing w:before="20" w:after="20"/>
              <w:ind w:firstLine="0"/>
              <w:jc w:val="right"/>
            </w:pPr>
            <w:r>
              <w:rPr>
                <w:b/>
                <w:sz w:val="15"/>
              </w:rPr>
              <w:t>Entity exact</w:t>
            </w:r>
          </w:p>
        </w:tc>
        <w:tc>
          <w:tcPr>
            <w:tcW w:type="dxa" w:w="1134"/>
            <w:tcBorders>
              <w:bottom w:val="single" w:sz="6" w:color="000000"/>
            </w:tcBorders>
          </w:tcPr>
          <w:p>
            <w:pPr>
              <w:pStyle w:val="ICST-Tabletext"/>
              <w:spacing w:before="20" w:after="20"/>
              <w:ind w:firstLine="0"/>
              <w:jc w:val="right"/>
            </w:pPr>
            <w:r>
              <w:rPr>
                <w:b/>
                <w:sz w:val="15"/>
              </w:rPr>
              <w:t>Type exact</w:t>
            </w:r>
          </w:p>
        </w:tc>
        <w:tc>
          <w:tcPr>
            <w:tcW w:type="dxa" w:w="794"/>
            <w:tcBorders>
              <w:bottom w:val="single" w:sz="6" w:color="000000"/>
            </w:tcBorders>
          </w:tcPr>
          <w:p>
            <w:pPr>
              <w:pStyle w:val="ICST-Tabletext"/>
              <w:spacing w:before="20" w:after="20"/>
              <w:ind w:firstLine="0"/>
              <w:jc w:val="right"/>
            </w:pPr>
            <w:r>
              <w:rPr>
                <w:b/>
                <w:sz w:val="15"/>
              </w:rPr>
              <w:t>EL</w:t>
            </w:r>
          </w:p>
        </w:tc>
        <w:tc>
          <w:tcPr>
            <w:tcW w:type="dxa" w:w="794"/>
            <w:tcBorders>
              <w:bottom w:val="single" w:sz="6" w:color="000000"/>
            </w:tcBorders>
          </w:tcPr>
          <w:p>
            <w:pPr>
              <w:pStyle w:val="ICST-Tabletext"/>
              <w:spacing w:before="20" w:after="20"/>
              <w:ind w:firstLine="0"/>
              <w:jc w:val="right"/>
            </w:pPr>
            <w:r>
              <w:rPr>
                <w:b/>
                <w:sz w:val="15"/>
              </w:rPr>
              <w:t>FI</w:t>
            </w:r>
          </w:p>
        </w:tc>
        <w:tc>
          <w:tcPr>
            <w:tcW w:type="dxa" w:w="794"/>
            <w:tcBorders>
              <w:bottom w:val="single" w:sz="6" w:color="000000"/>
            </w:tcBorders>
          </w:tcPr>
          <w:p>
            <w:pPr>
              <w:pStyle w:val="ICST-Tabletext"/>
              <w:spacing w:before="20" w:after="20"/>
              <w:ind w:firstLine="0"/>
              <w:jc w:val="right"/>
            </w:pPr>
            <w:r>
              <w:rPr>
                <w:b/>
                <w:sz w:val="15"/>
              </w:rPr>
              <w:t>RP</w:t>
            </w:r>
          </w:p>
        </w:tc>
        <w:tc>
          <w:tcPr>
            <w:tcW w:type="dxa" w:w="794"/>
            <w:tcBorders>
              <w:bottom w:val="single" w:sz="6" w:color="000000"/>
            </w:tcBorders>
          </w:tcPr>
          <w:p>
            <w:pPr>
              <w:pStyle w:val="ICST-Tabletext"/>
              <w:spacing w:before="20" w:after="20"/>
              <w:ind w:firstLine="0"/>
              <w:jc w:val="right"/>
            </w:pPr>
            <w:r>
              <w:rPr>
                <w:b/>
                <w:sz w:val="15"/>
              </w:rPr>
              <w:t>Final</w:t>
            </w:r>
          </w:p>
        </w:tc>
      </w:tr>
      <w:tr>
        <w:trPr>
          <w:cantSplit/>
        </w:trPr>
        <w:tc>
          <w:tcPr>
            <w:tcW w:type="dxa" w:w="2608"/>
          </w:tcPr>
          <w:p>
            <w:pPr>
              <w:pStyle w:val="ICST-Tabletext"/>
              <w:spacing w:before="20" w:after="20"/>
              <w:ind w:firstLine="0"/>
              <w:jc w:val="left"/>
            </w:pPr>
            <w:r>
              <w:rPr>
                <w:sz w:val="15"/>
              </w:rPr>
              <w:t>Resource &amp; performance</w:t>
            </w:r>
          </w:p>
        </w:tc>
        <w:tc>
          <w:tcPr>
            <w:tcW w:type="dxa" w:w="567"/>
          </w:tcPr>
          <w:p>
            <w:pPr>
              <w:pStyle w:val="ICST-Tabletext"/>
              <w:spacing w:before="20" w:after="20"/>
              <w:ind w:firstLine="0"/>
              <w:jc w:val="right"/>
            </w:pPr>
            <w:r>
              <w:rPr>
                <w:sz w:val="15"/>
              </w:rPr>
              <w:t>10</w:t>
            </w:r>
          </w:p>
        </w:tc>
        <w:tc>
          <w:tcPr>
            <w:tcW w:type="dxa" w:w="1134"/>
          </w:tcPr>
          <w:p>
            <w:pPr>
              <w:pStyle w:val="ICST-Tabletext"/>
              <w:spacing w:before="20" w:after="20"/>
              <w:ind w:firstLine="0"/>
              <w:jc w:val="right"/>
            </w:pPr>
            <w:r>
              <w:rPr>
                <w:sz w:val="15"/>
              </w:rPr>
              <w:t>7 (70%)</w:t>
            </w:r>
          </w:p>
        </w:tc>
        <w:tc>
          <w:tcPr>
            <w:tcW w:type="dxa" w:w="1134"/>
          </w:tcPr>
          <w:p>
            <w:pPr>
              <w:pStyle w:val="ICST-Tabletext"/>
              <w:spacing w:before="20" w:after="20"/>
              <w:ind w:firstLine="0"/>
              <w:jc w:val="right"/>
            </w:pPr>
            <w:r>
              <w:rPr>
                <w:sz w:val="15"/>
              </w:rPr>
              <w:t>7 (70%)</w:t>
            </w:r>
          </w:p>
        </w:tc>
        <w:tc>
          <w:tcPr>
            <w:tcW w:type="dxa" w:w="794"/>
          </w:tcPr>
          <w:p>
            <w:pPr>
              <w:pStyle w:val="ICST-Tabletext"/>
              <w:spacing w:before="20" w:after="20"/>
              <w:ind w:firstLine="0"/>
              <w:jc w:val="right"/>
            </w:pPr>
            <w:r>
              <w:rPr>
                <w:sz w:val="15"/>
              </w:rPr>
              <w:t>77.5</w:t>
            </w:r>
          </w:p>
        </w:tc>
        <w:tc>
          <w:tcPr>
            <w:tcW w:type="dxa" w:w="794"/>
          </w:tcPr>
          <w:p>
            <w:pPr>
              <w:pStyle w:val="ICST-Tabletext"/>
              <w:spacing w:before="20" w:after="20"/>
              <w:ind w:firstLine="0"/>
              <w:jc w:val="right"/>
            </w:pPr>
            <w:r>
              <w:rPr>
                <w:sz w:val="15"/>
              </w:rPr>
              <w:t>70.0</w:t>
            </w:r>
          </w:p>
        </w:tc>
        <w:tc>
          <w:tcPr>
            <w:tcW w:type="dxa" w:w="794"/>
          </w:tcPr>
          <w:p>
            <w:pPr>
              <w:pStyle w:val="ICST-Tabletext"/>
              <w:spacing w:before="20" w:after="20"/>
              <w:ind w:firstLine="0"/>
              <w:jc w:val="right"/>
            </w:pPr>
            <w:r>
              <w:rPr>
                <w:sz w:val="15"/>
              </w:rPr>
              <w:t>81.1</w:t>
            </w:r>
          </w:p>
        </w:tc>
        <w:tc>
          <w:tcPr>
            <w:tcW w:type="dxa" w:w="794"/>
          </w:tcPr>
          <w:p>
            <w:pPr>
              <w:pStyle w:val="ICST-Tabletext"/>
              <w:spacing w:before="20" w:after="20"/>
              <w:ind w:firstLine="0"/>
              <w:jc w:val="right"/>
            </w:pPr>
            <w:r>
              <w:rPr>
                <w:sz w:val="15"/>
              </w:rPr>
              <w:t>76.3</w:t>
            </w:r>
          </w:p>
        </w:tc>
      </w:tr>
      <w:tr>
        <w:trPr>
          <w:cantSplit/>
        </w:trPr>
        <w:tc>
          <w:tcPr>
            <w:tcW w:type="dxa" w:w="2608"/>
          </w:tcPr>
          <w:p>
            <w:pPr>
              <w:pStyle w:val="ICST-Tabletext"/>
              <w:spacing w:before="20" w:after="20"/>
              <w:ind w:firstLine="0"/>
              <w:jc w:val="left"/>
            </w:pPr>
            <w:r>
              <w:rPr>
                <w:sz w:val="15"/>
              </w:rPr>
              <w:t>JVM runtime</w:t>
            </w:r>
          </w:p>
        </w:tc>
        <w:tc>
          <w:tcPr>
            <w:tcW w:type="dxa" w:w="567"/>
          </w:tcPr>
          <w:p>
            <w:pPr>
              <w:pStyle w:val="ICST-Tabletext"/>
              <w:spacing w:before="20" w:after="20"/>
              <w:ind w:firstLine="0"/>
              <w:jc w:val="right"/>
            </w:pPr>
            <w:r>
              <w:rPr>
                <w:sz w:val="15"/>
              </w:rPr>
              <w:t>16</w:t>
            </w:r>
          </w:p>
        </w:tc>
        <w:tc>
          <w:tcPr>
            <w:tcW w:type="dxa" w:w="1134"/>
          </w:tcPr>
          <w:p>
            <w:pPr>
              <w:pStyle w:val="ICST-Tabletext"/>
              <w:spacing w:before="20" w:after="20"/>
              <w:ind w:firstLine="0"/>
              <w:jc w:val="right"/>
            </w:pPr>
            <w:r>
              <w:rPr>
                <w:sz w:val="15"/>
              </w:rPr>
              <w:t>13 (81%)</w:t>
            </w:r>
          </w:p>
        </w:tc>
        <w:tc>
          <w:tcPr>
            <w:tcW w:type="dxa" w:w="1134"/>
          </w:tcPr>
          <w:p>
            <w:pPr>
              <w:pStyle w:val="ICST-Tabletext"/>
              <w:spacing w:before="20" w:after="20"/>
              <w:ind w:firstLine="0"/>
              <w:jc w:val="right"/>
            </w:pPr>
            <w:r>
              <w:rPr>
                <w:sz w:val="15"/>
              </w:rPr>
              <w:t>4 (25%)</w:t>
            </w:r>
          </w:p>
        </w:tc>
        <w:tc>
          <w:tcPr>
            <w:tcW w:type="dxa" w:w="794"/>
          </w:tcPr>
          <w:p>
            <w:pPr>
              <w:pStyle w:val="ICST-Tabletext"/>
              <w:spacing w:before="20" w:after="20"/>
              <w:ind w:firstLine="0"/>
              <w:jc w:val="right"/>
            </w:pPr>
            <w:r>
              <w:rPr>
                <w:sz w:val="15"/>
              </w:rPr>
              <w:t>83.6</w:t>
            </w:r>
          </w:p>
        </w:tc>
        <w:tc>
          <w:tcPr>
            <w:tcW w:type="dxa" w:w="794"/>
          </w:tcPr>
          <w:p>
            <w:pPr>
              <w:pStyle w:val="ICST-Tabletext"/>
              <w:spacing w:before="20" w:after="20"/>
              <w:ind w:firstLine="0"/>
              <w:jc w:val="right"/>
            </w:pPr>
            <w:r>
              <w:rPr>
                <w:sz w:val="15"/>
              </w:rPr>
              <w:t>25.0</w:t>
            </w:r>
          </w:p>
        </w:tc>
        <w:tc>
          <w:tcPr>
            <w:tcW w:type="dxa" w:w="794"/>
          </w:tcPr>
          <w:p>
            <w:pPr>
              <w:pStyle w:val="ICST-Tabletext"/>
              <w:spacing w:before="20" w:after="20"/>
              <w:ind w:firstLine="0"/>
              <w:jc w:val="right"/>
            </w:pPr>
            <w:r>
              <w:rPr>
                <w:sz w:val="15"/>
              </w:rPr>
              <w:t>86.0</w:t>
            </w:r>
          </w:p>
        </w:tc>
        <w:tc>
          <w:tcPr>
            <w:tcW w:type="dxa" w:w="794"/>
          </w:tcPr>
          <w:p>
            <w:pPr>
              <w:pStyle w:val="ICST-Tabletext"/>
              <w:spacing w:before="20" w:after="20"/>
              <w:ind w:firstLine="0"/>
              <w:jc w:val="right"/>
            </w:pPr>
            <w:r>
              <w:rPr>
                <w:sz w:val="15"/>
              </w:rPr>
              <w:t>66.7</w:t>
            </w:r>
          </w:p>
        </w:tc>
      </w:tr>
      <w:tr>
        <w:trPr>
          <w:cantSplit/>
        </w:trPr>
        <w:tc>
          <w:tcPr>
            <w:tcW w:type="dxa" w:w="2608"/>
          </w:tcPr>
          <w:p>
            <w:pPr>
              <w:pStyle w:val="ICST-Tabletext"/>
              <w:spacing w:before="20" w:after="20"/>
              <w:ind w:firstLine="0"/>
              <w:jc w:val="left"/>
            </w:pPr>
            <w:r>
              <w:rPr>
                <w:sz w:val="15"/>
              </w:rPr>
              <w:t>Middleware &amp; database</w:t>
            </w:r>
          </w:p>
        </w:tc>
        <w:tc>
          <w:tcPr>
            <w:tcW w:type="dxa" w:w="567"/>
          </w:tcPr>
          <w:p>
            <w:pPr>
              <w:pStyle w:val="ICST-Tabletext"/>
              <w:spacing w:before="20" w:after="20"/>
              <w:ind w:firstLine="0"/>
              <w:jc w:val="right"/>
            </w:pPr>
            <w:r>
              <w:rPr>
                <w:sz w:val="15"/>
              </w:rPr>
              <w:t>13</w:t>
            </w:r>
          </w:p>
        </w:tc>
        <w:tc>
          <w:tcPr>
            <w:tcW w:type="dxa" w:w="1134"/>
          </w:tcPr>
          <w:p>
            <w:pPr>
              <w:pStyle w:val="ICST-Tabletext"/>
              <w:spacing w:before="20" w:after="20"/>
              <w:ind w:firstLine="0"/>
              <w:jc w:val="right"/>
            </w:pPr>
            <w:r>
              <w:rPr>
                <w:sz w:val="15"/>
              </w:rPr>
              <w:t>8 (62%)</w:t>
            </w:r>
          </w:p>
        </w:tc>
        <w:tc>
          <w:tcPr>
            <w:tcW w:type="dxa" w:w="1134"/>
          </w:tcPr>
          <w:p>
            <w:pPr>
              <w:pStyle w:val="ICST-Tabletext"/>
              <w:spacing w:before="20" w:after="20"/>
              <w:ind w:firstLine="0"/>
              <w:jc w:val="right"/>
            </w:pPr>
            <w:r>
              <w:rPr>
                <w:sz w:val="15"/>
              </w:rPr>
              <w:t>3 (23%)</w:t>
            </w:r>
          </w:p>
        </w:tc>
        <w:tc>
          <w:tcPr>
            <w:tcW w:type="dxa" w:w="794"/>
          </w:tcPr>
          <w:p>
            <w:pPr>
              <w:pStyle w:val="ICST-Tabletext"/>
              <w:spacing w:before="20" w:after="20"/>
              <w:ind w:firstLine="0"/>
              <w:jc w:val="right"/>
            </w:pPr>
            <w:r>
              <w:rPr>
                <w:sz w:val="15"/>
              </w:rPr>
              <w:t>66.4</w:t>
            </w:r>
          </w:p>
        </w:tc>
        <w:tc>
          <w:tcPr>
            <w:tcW w:type="dxa" w:w="794"/>
          </w:tcPr>
          <w:p>
            <w:pPr>
              <w:pStyle w:val="ICST-Tabletext"/>
              <w:spacing w:before="20" w:after="20"/>
              <w:ind w:firstLine="0"/>
              <w:jc w:val="right"/>
            </w:pPr>
            <w:r>
              <w:rPr>
                <w:sz w:val="15"/>
              </w:rPr>
              <w:t>23.1</w:t>
            </w:r>
          </w:p>
        </w:tc>
        <w:tc>
          <w:tcPr>
            <w:tcW w:type="dxa" w:w="794"/>
          </w:tcPr>
          <w:p>
            <w:pPr>
              <w:pStyle w:val="ICST-Tabletext"/>
              <w:spacing w:before="20" w:after="20"/>
              <w:ind w:firstLine="0"/>
              <w:jc w:val="right"/>
            </w:pPr>
            <w:r>
              <w:rPr>
                <w:sz w:val="15"/>
              </w:rPr>
              <w:t>67.7</w:t>
            </w:r>
          </w:p>
        </w:tc>
        <w:tc>
          <w:tcPr>
            <w:tcW w:type="dxa" w:w="794"/>
          </w:tcPr>
          <w:p>
            <w:pPr>
              <w:pStyle w:val="ICST-Tabletext"/>
              <w:spacing w:before="20" w:after="20"/>
              <w:ind w:firstLine="0"/>
              <w:jc w:val="right"/>
            </w:pPr>
            <w:r>
              <w:rPr>
                <w:sz w:val="15"/>
              </w:rPr>
              <w:t>53.8</w:t>
            </w:r>
          </w:p>
        </w:tc>
      </w:tr>
      <w:tr>
        <w:trPr>
          <w:cantSplit/>
        </w:trPr>
        <w:tc>
          <w:tcPr>
            <w:tcW w:type="dxa" w:w="2608"/>
          </w:tcPr>
          <w:p>
            <w:pPr>
              <w:pStyle w:val="ICST-Tabletext"/>
              <w:spacing w:before="20" w:after="20"/>
              <w:ind w:firstLine="0"/>
              <w:jc w:val="left"/>
            </w:pPr>
            <w:r>
              <w:rPr>
                <w:sz w:val="15"/>
              </w:rPr>
              <w:t>Application logic</w:t>
            </w:r>
          </w:p>
        </w:tc>
        <w:tc>
          <w:tcPr>
            <w:tcW w:type="dxa" w:w="567"/>
          </w:tcPr>
          <w:p>
            <w:pPr>
              <w:pStyle w:val="ICST-Tabletext"/>
              <w:spacing w:before="20" w:after="20"/>
              <w:ind w:firstLine="0"/>
              <w:jc w:val="right"/>
            </w:pPr>
            <w:r>
              <w:rPr>
                <w:sz w:val="15"/>
              </w:rPr>
              <w:t>38</w:t>
            </w:r>
          </w:p>
        </w:tc>
        <w:tc>
          <w:tcPr>
            <w:tcW w:type="dxa" w:w="1134"/>
          </w:tcPr>
          <w:p>
            <w:pPr>
              <w:pStyle w:val="ICST-Tabletext"/>
              <w:spacing w:before="20" w:after="20"/>
              <w:ind w:firstLine="0"/>
              <w:jc w:val="right"/>
            </w:pPr>
            <w:r>
              <w:rPr>
                <w:sz w:val="15"/>
              </w:rPr>
              <w:t>12 (32%)</w:t>
            </w:r>
          </w:p>
        </w:tc>
        <w:tc>
          <w:tcPr>
            <w:tcW w:type="dxa" w:w="1134"/>
          </w:tcPr>
          <w:p>
            <w:pPr>
              <w:pStyle w:val="ICST-Tabletext"/>
              <w:spacing w:before="20" w:after="20"/>
              <w:ind w:firstLine="0"/>
              <w:jc w:val="right"/>
            </w:pPr>
            <w:r>
              <w:rPr>
                <w:sz w:val="15"/>
              </w:rPr>
              <w:t>4 (11%)</w:t>
            </w:r>
          </w:p>
        </w:tc>
        <w:tc>
          <w:tcPr>
            <w:tcW w:type="dxa" w:w="794"/>
          </w:tcPr>
          <w:p>
            <w:pPr>
              <w:pStyle w:val="ICST-Tabletext"/>
              <w:spacing w:before="20" w:after="20"/>
              <w:ind w:firstLine="0"/>
              <w:jc w:val="right"/>
            </w:pPr>
            <w:r>
              <w:rPr>
                <w:sz w:val="15"/>
              </w:rPr>
              <w:t>45.1</w:t>
            </w:r>
          </w:p>
        </w:tc>
        <w:tc>
          <w:tcPr>
            <w:tcW w:type="dxa" w:w="794"/>
          </w:tcPr>
          <w:p>
            <w:pPr>
              <w:pStyle w:val="ICST-Tabletext"/>
              <w:spacing w:before="20" w:after="20"/>
              <w:ind w:firstLine="0"/>
              <w:jc w:val="right"/>
            </w:pPr>
            <w:r>
              <w:rPr>
                <w:sz w:val="15"/>
              </w:rPr>
              <w:t>10.5</w:t>
            </w:r>
          </w:p>
        </w:tc>
        <w:tc>
          <w:tcPr>
            <w:tcW w:type="dxa" w:w="794"/>
          </w:tcPr>
          <w:p>
            <w:pPr>
              <w:pStyle w:val="ICST-Tabletext"/>
              <w:spacing w:before="20" w:after="20"/>
              <w:ind w:firstLine="0"/>
              <w:jc w:val="right"/>
            </w:pPr>
            <w:r>
              <w:rPr>
                <w:sz w:val="15"/>
              </w:rPr>
              <w:t>76.9</w:t>
            </w:r>
          </w:p>
        </w:tc>
        <w:tc>
          <w:tcPr>
            <w:tcW w:type="dxa" w:w="794"/>
          </w:tcPr>
          <w:p>
            <w:pPr>
              <w:pStyle w:val="ICST-Tabletext"/>
              <w:spacing w:before="20" w:after="20"/>
              <w:ind w:firstLine="0"/>
              <w:jc w:val="right"/>
            </w:pPr>
            <w:r>
              <w:rPr>
                <w:sz w:val="15"/>
              </w:rPr>
              <w:t>44.3</w:t>
            </w:r>
          </w:p>
        </w:tc>
      </w:tr>
      <w:tr>
        <w:trPr>
          <w:cantSplit/>
        </w:trPr>
        <w:tc>
          <w:tcPr>
            <w:tcW w:type="dxa" w:w="2608"/>
          </w:tcPr>
          <w:p>
            <w:pPr>
              <w:pStyle w:val="ICST-Tabletext"/>
              <w:spacing w:before="20" w:after="20"/>
              <w:ind w:firstLine="0"/>
              <w:jc w:val="left"/>
            </w:pPr>
            <w:r>
              <w:rPr>
                <w:sz w:val="15"/>
              </w:rPr>
              <w:t>Cloud resource</w:t>
            </w:r>
          </w:p>
        </w:tc>
        <w:tc>
          <w:tcPr>
            <w:tcW w:type="dxa" w:w="567"/>
          </w:tcPr>
          <w:p>
            <w:pPr>
              <w:pStyle w:val="ICST-Tabletext"/>
              <w:spacing w:before="20" w:after="20"/>
              <w:ind w:firstLine="0"/>
              <w:jc w:val="right"/>
            </w:pPr>
            <w:r>
              <w:rPr>
                <w:sz w:val="15"/>
              </w:rPr>
              <w:t>14</w:t>
            </w:r>
          </w:p>
        </w:tc>
        <w:tc>
          <w:tcPr>
            <w:tcW w:type="dxa" w:w="1134"/>
          </w:tcPr>
          <w:p>
            <w:pPr>
              <w:pStyle w:val="ICST-Tabletext"/>
              <w:spacing w:before="20" w:after="20"/>
              <w:ind w:firstLine="0"/>
              <w:jc w:val="right"/>
            </w:pPr>
            <w:r>
              <w:rPr>
                <w:sz w:val="15"/>
              </w:rPr>
              <w:t>3 (21%)</w:t>
            </w:r>
          </w:p>
        </w:tc>
        <w:tc>
          <w:tcPr>
            <w:tcW w:type="dxa" w:w="1134"/>
          </w:tcPr>
          <w:p>
            <w:pPr>
              <w:pStyle w:val="ICST-Tabletext"/>
              <w:spacing w:before="20" w:after="20"/>
              <w:ind w:firstLine="0"/>
              <w:jc w:val="right"/>
            </w:pPr>
            <w:r>
              <w:rPr>
                <w:sz w:val="15"/>
              </w:rPr>
              <w:t>3 (21%)</w:t>
            </w:r>
          </w:p>
        </w:tc>
        <w:tc>
          <w:tcPr>
            <w:tcW w:type="dxa" w:w="794"/>
          </w:tcPr>
          <w:p>
            <w:pPr>
              <w:pStyle w:val="ICST-Tabletext"/>
              <w:spacing w:before="20" w:after="20"/>
              <w:ind w:firstLine="0"/>
              <w:jc w:val="right"/>
            </w:pPr>
            <w:r>
              <w:rPr>
                <w:sz w:val="15"/>
              </w:rPr>
              <w:t>31.7</w:t>
            </w:r>
          </w:p>
        </w:tc>
        <w:tc>
          <w:tcPr>
            <w:tcW w:type="dxa" w:w="794"/>
          </w:tcPr>
          <w:p>
            <w:pPr>
              <w:pStyle w:val="ICST-Tabletext"/>
              <w:spacing w:before="20" w:after="20"/>
              <w:ind w:firstLine="0"/>
              <w:jc w:val="right"/>
            </w:pPr>
            <w:r>
              <w:rPr>
                <w:sz w:val="15"/>
              </w:rPr>
              <w:t>21.4</w:t>
            </w:r>
          </w:p>
        </w:tc>
        <w:tc>
          <w:tcPr>
            <w:tcW w:type="dxa" w:w="794"/>
          </w:tcPr>
          <w:p>
            <w:pPr>
              <w:pStyle w:val="ICST-Tabletext"/>
              <w:spacing w:before="20" w:after="20"/>
              <w:ind w:firstLine="0"/>
              <w:jc w:val="right"/>
            </w:pPr>
            <w:r>
              <w:rPr>
                <w:sz w:val="15"/>
              </w:rPr>
              <w:t>65.8</w:t>
            </w:r>
          </w:p>
        </w:tc>
        <w:tc>
          <w:tcPr>
            <w:tcW w:type="dxa" w:w="794"/>
          </w:tcPr>
          <w:p>
            <w:pPr>
              <w:pStyle w:val="ICST-Tabletext"/>
              <w:spacing w:before="20" w:after="20"/>
              <w:ind w:firstLine="0"/>
              <w:jc w:val="right"/>
            </w:pPr>
            <w:r>
              <w:rPr>
                <w:sz w:val="15"/>
              </w:rPr>
              <w:t>38.8</w:t>
            </w:r>
          </w:p>
        </w:tc>
      </w:tr>
      <w:tr>
        <w:trPr>
          <w:cantSplit/>
        </w:trPr>
        <w:tc>
          <w:tcPr>
            <w:tcW w:type="dxa" w:w="2608"/>
          </w:tcPr>
          <w:p>
            <w:pPr>
              <w:pStyle w:val="ICST-Tabletext"/>
              <w:spacing w:before="20" w:after="20"/>
              <w:ind w:firstLine="0"/>
              <w:jc w:val="left"/>
            </w:pPr>
            <w:r>
              <w:rPr>
                <w:sz w:val="15"/>
              </w:rPr>
              <w:t>Kubernetes lifecycle</w:t>
            </w:r>
          </w:p>
        </w:tc>
        <w:tc>
          <w:tcPr>
            <w:tcW w:type="dxa" w:w="567"/>
          </w:tcPr>
          <w:p>
            <w:pPr>
              <w:pStyle w:val="ICST-Tabletext"/>
              <w:spacing w:before="20" w:after="20"/>
              <w:ind w:firstLine="0"/>
              <w:jc w:val="right"/>
            </w:pPr>
            <w:r>
              <w:rPr>
                <w:sz w:val="15"/>
              </w:rPr>
              <w:t>12</w:t>
            </w:r>
          </w:p>
        </w:tc>
        <w:tc>
          <w:tcPr>
            <w:tcW w:type="dxa" w:w="1134"/>
          </w:tcPr>
          <w:p>
            <w:pPr>
              <w:pStyle w:val="ICST-Tabletext"/>
              <w:spacing w:before="20" w:after="20"/>
              <w:ind w:firstLine="0"/>
              <w:jc w:val="right"/>
            </w:pPr>
            <w:r>
              <w:rPr>
                <w:sz w:val="15"/>
              </w:rPr>
              <w:t>2 (17%)</w:t>
            </w:r>
          </w:p>
        </w:tc>
        <w:tc>
          <w:tcPr>
            <w:tcW w:type="dxa" w:w="1134"/>
          </w:tcPr>
          <w:p>
            <w:pPr>
              <w:pStyle w:val="ICST-Tabletext"/>
              <w:spacing w:before="20" w:after="20"/>
              <w:ind w:firstLine="0"/>
              <w:jc w:val="right"/>
            </w:pPr>
            <w:r>
              <w:rPr>
                <w:sz w:val="15"/>
              </w:rPr>
              <w:t>2 (17%)</w:t>
            </w:r>
          </w:p>
        </w:tc>
        <w:tc>
          <w:tcPr>
            <w:tcW w:type="dxa" w:w="794"/>
          </w:tcPr>
          <w:p>
            <w:pPr>
              <w:pStyle w:val="ICST-Tabletext"/>
              <w:spacing w:before="20" w:after="20"/>
              <w:ind w:firstLine="0"/>
              <w:jc w:val="right"/>
            </w:pPr>
            <w:r>
              <w:rPr>
                <w:sz w:val="15"/>
              </w:rPr>
              <w:t>34.1</w:t>
            </w:r>
          </w:p>
        </w:tc>
        <w:tc>
          <w:tcPr>
            <w:tcW w:type="dxa" w:w="794"/>
          </w:tcPr>
          <w:p>
            <w:pPr>
              <w:pStyle w:val="ICST-Tabletext"/>
              <w:spacing w:before="20" w:after="20"/>
              <w:ind w:firstLine="0"/>
              <w:jc w:val="right"/>
            </w:pPr>
            <w:r>
              <w:rPr>
                <w:sz w:val="15"/>
              </w:rPr>
              <w:t>16.7</w:t>
            </w:r>
          </w:p>
        </w:tc>
        <w:tc>
          <w:tcPr>
            <w:tcW w:type="dxa" w:w="794"/>
          </w:tcPr>
          <w:p>
            <w:pPr>
              <w:pStyle w:val="ICST-Tabletext"/>
              <w:spacing w:before="20" w:after="20"/>
              <w:ind w:firstLine="0"/>
              <w:jc w:val="right"/>
            </w:pPr>
            <w:r>
              <w:rPr>
                <w:sz w:val="15"/>
              </w:rPr>
              <w:t>58.5</w:t>
            </w:r>
          </w:p>
        </w:tc>
        <w:tc>
          <w:tcPr>
            <w:tcW w:type="dxa" w:w="794"/>
          </w:tcPr>
          <w:p>
            <w:pPr>
              <w:pStyle w:val="ICST-Tabletext"/>
              <w:spacing w:before="20" w:after="20"/>
              <w:ind w:firstLine="0"/>
              <w:jc w:val="right"/>
            </w:pPr>
            <w:r>
              <w:rPr>
                <w:sz w:val="15"/>
              </w:rPr>
              <w:t>36.2</w:t>
            </w:r>
          </w:p>
        </w:tc>
      </w:tr>
      <w:tr>
        <w:trPr>
          <w:cantSplit/>
        </w:trPr>
        <w:tc>
          <w:tcPr>
            <w:tcW w:type="dxa" w:w="2608"/>
            <w:tcBorders>
              <w:top w:val="single" w:sz="4" w:color="000000"/>
            </w:tcBorders>
          </w:tcPr>
          <w:p>
            <w:pPr>
              <w:pStyle w:val="ICST-Tabletext"/>
              <w:spacing w:before="20" w:after="20"/>
              <w:ind w:firstLine="0"/>
              <w:jc w:val="left"/>
            </w:pPr>
            <w:r>
              <w:rPr>
                <w:b/>
                <w:sz w:val="15"/>
              </w:rPr>
              <w:t>All</w:t>
            </w:r>
          </w:p>
        </w:tc>
        <w:tc>
          <w:tcPr>
            <w:tcW w:type="dxa" w:w="567"/>
            <w:tcBorders>
              <w:top w:val="single" w:sz="4" w:color="000000"/>
            </w:tcBorders>
          </w:tcPr>
          <w:p>
            <w:pPr>
              <w:pStyle w:val="ICST-Tabletext"/>
              <w:spacing w:before="20" w:after="20"/>
              <w:ind w:firstLine="0"/>
              <w:jc w:val="right"/>
            </w:pPr>
            <w:r>
              <w:rPr>
                <w:b/>
                <w:sz w:val="15"/>
              </w:rPr>
              <w:t>103</w:t>
            </w:r>
          </w:p>
        </w:tc>
        <w:tc>
          <w:tcPr>
            <w:tcW w:type="dxa" w:w="1134"/>
            <w:tcBorders>
              <w:top w:val="single" w:sz="4" w:color="000000"/>
            </w:tcBorders>
          </w:tcPr>
          <w:p>
            <w:pPr>
              <w:pStyle w:val="ICST-Tabletext"/>
              <w:spacing w:before="20" w:after="20"/>
              <w:ind w:firstLine="0"/>
              <w:jc w:val="right"/>
            </w:pPr>
            <w:r>
              <w:rPr>
                <w:b/>
                <w:sz w:val="15"/>
              </w:rPr>
              <w:t>45 (44%)</w:t>
            </w:r>
          </w:p>
        </w:tc>
        <w:tc>
          <w:tcPr>
            <w:tcW w:type="dxa" w:w="1134"/>
            <w:tcBorders>
              <w:top w:val="single" w:sz="4" w:color="000000"/>
            </w:tcBorders>
          </w:tcPr>
          <w:p>
            <w:pPr>
              <w:pStyle w:val="ICST-Tabletext"/>
              <w:spacing w:before="20" w:after="20"/>
              <w:ind w:firstLine="0"/>
              <w:jc w:val="right"/>
            </w:pPr>
            <w:r>
              <w:rPr>
                <w:b/>
                <w:sz w:val="15"/>
              </w:rPr>
              <w:t>23 (22%)</w:t>
            </w:r>
          </w:p>
        </w:tc>
        <w:tc>
          <w:tcPr>
            <w:tcW w:type="dxa" w:w="794"/>
            <w:tcBorders>
              <w:top w:val="single" w:sz="4" w:color="000000"/>
            </w:tcBorders>
          </w:tcPr>
          <w:p>
            <w:pPr>
              <w:pStyle w:val="ICST-Tabletext"/>
              <w:spacing w:before="20" w:after="20"/>
              <w:ind w:firstLine="0"/>
              <w:jc w:val="right"/>
            </w:pPr>
            <w:r>
              <w:rPr>
                <w:b/>
                <w:sz w:val="15"/>
              </w:rPr>
              <w:t>53.8</w:t>
            </w:r>
          </w:p>
        </w:tc>
        <w:tc>
          <w:tcPr>
            <w:tcW w:type="dxa" w:w="794"/>
            <w:tcBorders>
              <w:top w:val="single" w:sz="4" w:color="000000"/>
            </w:tcBorders>
          </w:tcPr>
          <w:p>
            <w:pPr>
              <w:pStyle w:val="ICST-Tabletext"/>
              <w:spacing w:before="20" w:after="20"/>
              <w:ind w:firstLine="0"/>
              <w:jc w:val="right"/>
            </w:pPr>
            <w:r>
              <w:rPr>
                <w:b/>
                <w:sz w:val="15"/>
              </w:rPr>
              <w:t>22.3</w:t>
            </w:r>
          </w:p>
        </w:tc>
        <w:tc>
          <w:tcPr>
            <w:tcW w:type="dxa" w:w="794"/>
            <w:tcBorders>
              <w:top w:val="single" w:sz="4" w:color="000000"/>
            </w:tcBorders>
          </w:tcPr>
          <w:p>
            <w:pPr>
              <w:pStyle w:val="ICST-Tabletext"/>
              <w:spacing w:before="20" w:after="20"/>
              <w:ind w:firstLine="0"/>
              <w:jc w:val="right"/>
            </w:pPr>
            <w:r>
              <w:rPr>
                <w:b/>
                <w:sz w:val="15"/>
              </w:rPr>
              <w:t>73.9</w:t>
            </w:r>
          </w:p>
        </w:tc>
        <w:tc>
          <w:tcPr>
            <w:tcW w:type="dxa" w:w="794"/>
            <w:tcBorders>
              <w:top w:val="single" w:sz="4" w:color="000000"/>
            </w:tcBorders>
          </w:tcPr>
          <w:p>
            <w:pPr>
              <w:pStyle w:val="ICST-Tabletext"/>
              <w:spacing w:before="20" w:after="20"/>
              <w:ind w:firstLine="0"/>
              <w:jc w:val="right"/>
            </w:pPr>
            <w:r>
              <w:rPr>
                <w:b/>
                <w:sz w:val="15"/>
              </w:rPr>
              <w:t>50.4</w:t>
            </w:r>
          </w:p>
        </w:tc>
      </w:tr>
    </w:tbl>
    <w:p>
      <w:pPr>
        <w:pStyle w:val="ICST-Bodytextnoindent"/>
        <w:spacing w:after="80"/>
      </w:pP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1" w:space="720"/>
          <w:noEndnote/>
          <w:docGrid w:linePitch="272"/>
        </w:sectPr>
      </w:pPr>
    </w:p>
    <w:p>
      <w:pPr>
        <w:pStyle w:val="ICST-Heading2"/>
        <w:numPr>
          <w:ilvl w:val="1"/>
          <w:numId w:val="24"/>
        </w:numPr>
      </w:pPr>
      <w:r>
        <w:rPr/>
        <w:t>Results by Fault Group</w:t>
      </w:r>
    </w:p>
    <w:p>
      <w:pPr>
        <w:pStyle w:val="ICST-Bodytextwithindent"/>
      </w:pPr>
      <w:r>
        <w:rPr/>
        <w:t>Table 3 breaks the results down by the benchmark's fault groups. Faults with a direct numeric signature are diagnosed well: resource and performance faults reach a Final score of 76.3 and JVM faults 66.7, with the entity exact in 70–81% of the cases. Application-logic faults, the largest group (38 cases), reach 44.3: their mechanisms (HTTP 5xx, rate limiting, null pointers) appear in status codes and messages that are shared by many services, and the root is often one hop away from the service with the strongest symptoms. Cloud-resource and Kubernetes-lifecycle faults are the weakest (36–39). Their roots are nodes or deployments, whose evidence is sparse (a replica count, a node CPU series) and easily confused with the load they cause on the services they host.</w:t>
      </w:r>
    </w:p>
    <w:p>
      <w:pPr>
        <w:pStyle w:val="ICST-Heading2"/>
        <w:numPr>
          <w:ilvl w:val="1"/>
          <w:numId w:val="24"/>
        </w:numPr>
      </w:pPr>
      <w:r>
        <w:rPr/>
        <w:t>Ablation</w:t>
      </w:r>
    </w:p>
    <w:p>
      <w:pPr>
        <w:pStyle w:val="ICST-Bodytextwithindent"/>
      </w:pPr>
      <w:r>
        <w:rPr/>
        <w:t>Table 4 reports the change when one component is included, each pair of runs differing only in that component. Estimating the propagation probability by EM is the most important component (+11.5 EL, +5.9 Final, p = 0.008): without it, the model either punishes a root for every quiet downstream service or ignores quiet services altogether, and both extremes favour the wrong entity. Onset precedence adds +1.3. Operation-level evidence lowered the score and is excluded from the default configuration. Self-normalisation, the retry symptom and the LLM change the Final score by less than 1.5 points, which is within the noise of 103 cases.</w:t>
      </w:r>
    </w:p>
    <w:p>
      <w:pPr>
        <w:pStyle w:val="ICST-Captions"/>
        <w:keepNext/>
      </w:pPr>
      <w:r>
        <w:rPr/>
        <w:t>Table 4. Ablation: change when the component is included (0–100 scale).</w:t>
      </w:r>
    </w:p>
    <w:tbl>
      <w:tblPr>
        <w:tblW w:type="auto" w:w="0"/>
        <w:jc w:val="center"/>
        <w:tblBorders>
          <w:top w:val="single" w:sz="10" w:color="000000"/>
          <w:bottom w:val="single" w:sz="10" w:color="000000"/>
        </w:tblBorders>
        <w:tblLook w:firstColumn="1" w:firstRow="1" w:lastColumn="0" w:lastRow="0" w:noHBand="0" w:noVBand="1" w:val="04A0"/>
      </w:tblPr>
      <w:tblGrid>
        <w:gridCol w:w="2154"/>
        <w:gridCol w:w="623"/>
        <w:gridCol w:w="623"/>
        <w:gridCol w:w="680"/>
        <w:gridCol w:w="510"/>
      </w:tblGrid>
      <w:tr>
        <w:trPr>
          <w:tblHeader/>
          <w:cantSplit/>
        </w:trPr>
        <w:tc>
          <w:tcPr>
            <w:tcW w:type="dxa" w:w="2154"/>
            <w:tcBorders>
              <w:bottom w:val="single" w:sz="6" w:color="000000"/>
            </w:tcBorders>
          </w:tcPr>
          <w:p>
            <w:pPr>
              <w:pStyle w:val="ICST-Tabletext"/>
              <w:spacing w:before="20" w:after="20"/>
              <w:ind w:firstLine="0"/>
              <w:jc w:val="left"/>
            </w:pPr>
            <w:r>
              <w:rPr>
                <w:b/>
                <w:sz w:val="15"/>
              </w:rPr>
              <w:t>Component</w:t>
            </w:r>
          </w:p>
        </w:tc>
        <w:tc>
          <w:tcPr>
            <w:tcW w:type="dxa" w:w="624"/>
            <w:tcBorders>
              <w:bottom w:val="single" w:sz="6" w:color="000000"/>
            </w:tcBorders>
          </w:tcPr>
          <w:p>
            <w:pPr>
              <w:pStyle w:val="ICST-Tabletext"/>
              <w:spacing w:before="20" w:after="20"/>
              <w:ind w:firstLine="0"/>
              <w:jc w:val="right"/>
            </w:pPr>
            <w:r>
              <w:rPr>
                <w:b/>
                <w:sz w:val="15"/>
              </w:rPr>
              <w:t>Δ EL</w:t>
            </w:r>
          </w:p>
        </w:tc>
        <w:tc>
          <w:tcPr>
            <w:tcW w:type="dxa" w:w="624"/>
            <w:tcBorders>
              <w:bottom w:val="single" w:sz="6" w:color="000000"/>
            </w:tcBorders>
          </w:tcPr>
          <w:p>
            <w:pPr>
              <w:pStyle w:val="ICST-Tabletext"/>
              <w:spacing w:before="20" w:after="20"/>
              <w:ind w:firstLine="0"/>
              <w:jc w:val="right"/>
            </w:pPr>
            <w:r>
              <w:rPr>
                <w:b/>
                <w:sz w:val="15"/>
              </w:rPr>
              <w:t>Δ FI</w:t>
            </w:r>
          </w:p>
        </w:tc>
        <w:tc>
          <w:tcPr>
            <w:tcW w:type="dxa" w:w="680"/>
            <w:tcBorders>
              <w:bottom w:val="single" w:sz="6" w:color="000000"/>
            </w:tcBorders>
          </w:tcPr>
          <w:p>
            <w:pPr>
              <w:pStyle w:val="ICST-Tabletext"/>
              <w:spacing w:before="20" w:after="20"/>
              <w:ind w:firstLine="0"/>
              <w:jc w:val="right"/>
            </w:pPr>
            <w:r>
              <w:rPr>
                <w:b/>
                <w:sz w:val="15"/>
              </w:rPr>
              <w:t>Δ Final</w:t>
            </w:r>
          </w:p>
        </w:tc>
        <w:tc>
          <w:tcPr>
            <w:tcW w:type="dxa" w:w="510"/>
            <w:tcBorders>
              <w:bottom w:val="single" w:sz="6" w:color="000000"/>
            </w:tcBorders>
          </w:tcPr>
          <w:p>
            <w:pPr>
              <w:pStyle w:val="ICST-Tabletext"/>
              <w:spacing w:before="20" w:after="20"/>
              <w:ind w:firstLine="0"/>
              <w:jc w:val="right"/>
            </w:pPr>
            <w:r>
              <w:rPr>
                <w:b/>
                <w:sz w:val="15"/>
              </w:rPr>
              <w:t>p</w:t>
            </w:r>
          </w:p>
        </w:tc>
      </w:tr>
      <w:tr>
        <w:trPr>
          <w:cantSplit/>
        </w:trPr>
        <w:tc>
          <w:tcPr>
            <w:tcW w:type="dxa" w:w="2154"/>
          </w:tcPr>
          <w:p>
            <w:pPr>
              <w:pStyle w:val="ICST-Tabletext"/>
              <w:spacing w:before="20" w:after="20"/>
              <w:ind w:firstLine="0"/>
              <w:jc w:val="left"/>
            </w:pPr>
            <w:r>
              <w:rPr>
                <w:b/>
                <w:sz w:val="15"/>
              </w:rPr>
              <w:t>Propagation probability by EM</w:t>
            </w:r>
          </w:p>
        </w:tc>
        <w:tc>
          <w:tcPr>
            <w:tcW w:type="dxa" w:w="624"/>
          </w:tcPr>
          <w:p>
            <w:pPr>
              <w:pStyle w:val="ICST-Tabletext"/>
              <w:spacing w:before="20" w:after="20"/>
              <w:ind w:firstLine="0"/>
              <w:jc w:val="right"/>
            </w:pPr>
            <w:r>
              <w:rPr>
                <w:b/>
                <w:sz w:val="15"/>
              </w:rPr>
              <w:t>+11.5</w:t>
            </w:r>
          </w:p>
        </w:tc>
        <w:tc>
          <w:tcPr>
            <w:tcW w:type="dxa" w:w="624"/>
          </w:tcPr>
          <w:p>
            <w:pPr>
              <w:pStyle w:val="ICST-Tabletext"/>
              <w:spacing w:before="20" w:after="20"/>
              <w:ind w:firstLine="0"/>
              <w:jc w:val="right"/>
            </w:pPr>
            <w:r>
              <w:rPr>
                <w:b/>
                <w:sz w:val="15"/>
              </w:rPr>
              <w:t>+3.9</w:t>
            </w:r>
          </w:p>
        </w:tc>
        <w:tc>
          <w:tcPr>
            <w:tcW w:type="dxa" w:w="680"/>
          </w:tcPr>
          <w:p>
            <w:pPr>
              <w:pStyle w:val="ICST-Tabletext"/>
              <w:spacing w:before="20" w:after="20"/>
              <w:ind w:firstLine="0"/>
              <w:jc w:val="right"/>
            </w:pPr>
            <w:r>
              <w:rPr>
                <w:b/>
                <w:sz w:val="15"/>
              </w:rPr>
              <w:t>+5.9</w:t>
            </w:r>
          </w:p>
        </w:tc>
        <w:tc>
          <w:tcPr>
            <w:tcW w:type="dxa" w:w="510"/>
          </w:tcPr>
          <w:p>
            <w:pPr>
              <w:pStyle w:val="ICST-Tabletext"/>
              <w:spacing w:before="20" w:after="20"/>
              <w:ind w:firstLine="0"/>
              <w:jc w:val="right"/>
            </w:pPr>
            <w:r>
              <w:rPr>
                <w:b/>
                <w:sz w:val="15"/>
              </w:rPr>
              <w:t>0.008</w:t>
            </w:r>
          </w:p>
        </w:tc>
      </w:tr>
      <w:tr>
        <w:trPr>
          <w:cantSplit/>
        </w:trPr>
        <w:tc>
          <w:tcPr>
            <w:tcW w:type="dxa" w:w="2154"/>
          </w:tcPr>
          <w:p>
            <w:pPr>
              <w:pStyle w:val="ICST-Tabletext"/>
              <w:spacing w:before="20" w:after="20"/>
              <w:ind w:firstLine="0"/>
              <w:jc w:val="left"/>
            </w:pPr>
            <w:r>
              <w:rPr>
                <w:sz w:val="15"/>
              </w:rPr>
              <w:t>Onset precedence</w:t>
            </w:r>
          </w:p>
        </w:tc>
        <w:tc>
          <w:tcPr>
            <w:tcW w:type="dxa" w:w="624"/>
          </w:tcPr>
          <w:p>
            <w:pPr>
              <w:pStyle w:val="ICST-Tabletext"/>
              <w:spacing w:before="20" w:after="20"/>
              <w:ind w:firstLine="0"/>
              <w:jc w:val="right"/>
            </w:pPr>
            <w:r>
              <w:rPr>
                <w:sz w:val="15"/>
              </w:rPr>
              <w:t>+1.6</w:t>
            </w:r>
          </w:p>
        </w:tc>
        <w:tc>
          <w:tcPr>
            <w:tcW w:type="dxa" w:w="624"/>
          </w:tcPr>
          <w:p>
            <w:pPr>
              <w:pStyle w:val="ICST-Tabletext"/>
              <w:spacing w:before="20" w:after="20"/>
              <w:ind w:firstLine="0"/>
              <w:jc w:val="right"/>
            </w:pPr>
            <w:r>
              <w:rPr>
                <w:sz w:val="15"/>
              </w:rPr>
              <w:t>+1.9</w:t>
            </w:r>
          </w:p>
        </w:tc>
        <w:tc>
          <w:tcPr>
            <w:tcW w:type="dxa" w:w="680"/>
          </w:tcPr>
          <w:p>
            <w:pPr>
              <w:pStyle w:val="ICST-Tabletext"/>
              <w:spacing w:before="20" w:after="20"/>
              <w:ind w:firstLine="0"/>
              <w:jc w:val="right"/>
            </w:pPr>
            <w:r>
              <w:rPr>
                <w:sz w:val="15"/>
              </w:rPr>
              <w:t>+1.3</w:t>
            </w:r>
          </w:p>
        </w:tc>
        <w:tc>
          <w:tcPr>
            <w:tcW w:type="dxa" w:w="510"/>
          </w:tcPr>
          <w:p>
            <w:pPr>
              <w:pStyle w:val="ICST-Tabletext"/>
              <w:spacing w:before="20" w:after="20"/>
              <w:ind w:firstLine="0"/>
              <w:jc w:val="right"/>
            </w:pPr>
            <w:r>
              <w:rPr>
                <w:sz w:val="15"/>
              </w:rPr>
              <w:t>0.84</w:t>
            </w:r>
          </w:p>
        </w:tc>
      </w:tr>
      <w:tr>
        <w:trPr>
          <w:cantSplit/>
        </w:trPr>
        <w:tc>
          <w:tcPr>
            <w:tcW w:type="dxa" w:w="2154"/>
          </w:tcPr>
          <w:p>
            <w:pPr>
              <w:pStyle w:val="ICST-Tabletext"/>
              <w:spacing w:before="20" w:after="20"/>
              <w:ind w:firstLine="0"/>
              <w:jc w:val="left"/>
            </w:pPr>
            <w:r>
              <w:rPr>
                <w:sz w:val="15"/>
              </w:rPr>
              <w:t>Operation-level evidence*</w:t>
            </w:r>
          </w:p>
        </w:tc>
        <w:tc>
          <w:tcPr>
            <w:tcW w:type="dxa" w:w="624"/>
          </w:tcPr>
          <w:p>
            <w:pPr>
              <w:pStyle w:val="ICST-Tabletext"/>
              <w:spacing w:before="20" w:after="20"/>
              <w:ind w:firstLine="0"/>
              <w:jc w:val="right"/>
            </w:pPr>
            <w:r>
              <w:rPr>
                <w:sz w:val="15"/>
              </w:rPr>
              <w:t>−2.7</w:t>
            </w:r>
          </w:p>
        </w:tc>
        <w:tc>
          <w:tcPr>
            <w:tcW w:type="dxa" w:w="624"/>
          </w:tcPr>
          <w:p>
            <w:pPr>
              <w:pStyle w:val="ICST-Tabletext"/>
              <w:spacing w:before="20" w:after="20"/>
              <w:ind w:firstLine="0"/>
              <w:jc w:val="right"/>
            </w:pPr>
            <w:r>
              <w:rPr>
                <w:sz w:val="15"/>
              </w:rPr>
              <w:t>−1.0</w:t>
            </w:r>
          </w:p>
        </w:tc>
        <w:tc>
          <w:tcPr>
            <w:tcW w:type="dxa" w:w="680"/>
          </w:tcPr>
          <w:p>
            <w:pPr>
              <w:pStyle w:val="ICST-Tabletext"/>
              <w:spacing w:before="20" w:after="20"/>
              <w:ind w:firstLine="0"/>
              <w:jc w:val="right"/>
            </w:pPr>
            <w:r>
              <w:rPr>
                <w:sz w:val="15"/>
              </w:rPr>
              <w:t>−1.3</w:t>
            </w:r>
          </w:p>
        </w:tc>
        <w:tc>
          <w:tcPr>
            <w:tcW w:type="dxa" w:w="510"/>
          </w:tcPr>
          <w:p>
            <w:pPr>
              <w:pStyle w:val="ICST-Tabletext"/>
              <w:spacing w:before="20" w:after="20"/>
              <w:ind w:firstLine="0"/>
              <w:jc w:val="right"/>
            </w:pPr>
            <w:r>
              <w:rPr>
                <w:sz w:val="15"/>
              </w:rPr>
              <w:t>0.46</w:t>
            </w:r>
          </w:p>
        </w:tc>
      </w:tr>
      <w:tr>
        <w:trPr>
          <w:cantSplit/>
        </w:trPr>
        <w:tc>
          <w:tcPr>
            <w:tcW w:type="dxa" w:w="2154"/>
          </w:tcPr>
          <w:p>
            <w:pPr>
              <w:pStyle w:val="ICST-Tabletext"/>
              <w:spacing w:before="20" w:after="20"/>
              <w:ind w:firstLine="0"/>
              <w:jc w:val="left"/>
            </w:pPr>
            <w:r>
              <w:rPr>
                <w:sz w:val="15"/>
              </w:rPr>
              <w:t>Self-normalisation</w:t>
            </w:r>
          </w:p>
        </w:tc>
        <w:tc>
          <w:tcPr>
            <w:tcW w:type="dxa" w:w="624"/>
          </w:tcPr>
          <w:p>
            <w:pPr>
              <w:pStyle w:val="ICST-Tabletext"/>
              <w:spacing w:before="20" w:after="20"/>
              <w:ind w:firstLine="0"/>
              <w:jc w:val="right"/>
            </w:pPr>
            <w:r>
              <w:rPr>
                <w:sz w:val="15"/>
              </w:rPr>
              <w:t>−2.2</w:t>
            </w:r>
          </w:p>
        </w:tc>
        <w:tc>
          <w:tcPr>
            <w:tcW w:type="dxa" w:w="624"/>
          </w:tcPr>
          <w:p>
            <w:pPr>
              <w:pStyle w:val="ICST-Tabletext"/>
              <w:spacing w:before="20" w:after="20"/>
              <w:ind w:firstLine="0"/>
              <w:jc w:val="right"/>
            </w:pPr>
            <w:r>
              <w:rPr>
                <w:sz w:val="15"/>
              </w:rPr>
              <w:t>−1.0</w:t>
            </w:r>
          </w:p>
        </w:tc>
        <w:tc>
          <w:tcPr>
            <w:tcW w:type="dxa" w:w="680"/>
          </w:tcPr>
          <w:p>
            <w:pPr>
              <w:pStyle w:val="ICST-Tabletext"/>
              <w:spacing w:before="20" w:after="20"/>
              <w:ind w:firstLine="0"/>
              <w:jc w:val="right"/>
            </w:pPr>
            <w:r>
              <w:rPr>
                <w:sz w:val="15"/>
              </w:rPr>
              <w:t>−1.1</w:t>
            </w:r>
          </w:p>
        </w:tc>
        <w:tc>
          <w:tcPr>
            <w:tcW w:type="dxa" w:w="510"/>
          </w:tcPr>
          <w:p>
            <w:pPr>
              <w:pStyle w:val="ICST-Tabletext"/>
              <w:spacing w:before="20" w:after="20"/>
              <w:ind w:firstLine="0"/>
              <w:jc w:val="right"/>
            </w:pPr>
            <w:r>
              <w:rPr>
                <w:sz w:val="15"/>
              </w:rPr>
              <w:t>0.52</w:t>
            </w:r>
          </w:p>
        </w:tc>
      </w:tr>
      <w:tr>
        <w:trPr>
          <w:cantSplit/>
        </w:trPr>
        <w:tc>
          <w:tcPr>
            <w:tcW w:type="dxa" w:w="2154"/>
          </w:tcPr>
          <w:p>
            <w:pPr>
              <w:pStyle w:val="ICST-Tabletext"/>
              <w:spacing w:before="20" w:after="20"/>
              <w:ind w:firstLine="0"/>
              <w:jc w:val="left"/>
            </w:pPr>
            <w:r>
              <w:rPr>
                <w:sz w:val="15"/>
              </w:rPr>
              <w:t>Retry symptom</w:t>
            </w:r>
          </w:p>
        </w:tc>
        <w:tc>
          <w:tcPr>
            <w:tcW w:type="dxa" w:w="624"/>
          </w:tcPr>
          <w:p>
            <w:pPr>
              <w:pStyle w:val="ICST-Tabletext"/>
              <w:spacing w:before="20" w:after="20"/>
              <w:ind w:firstLine="0"/>
              <w:jc w:val="right"/>
            </w:pPr>
            <w:r>
              <w:rPr>
                <w:sz w:val="15"/>
              </w:rPr>
              <w:t>+1.2</w:t>
            </w:r>
          </w:p>
        </w:tc>
        <w:tc>
          <w:tcPr>
            <w:tcW w:type="dxa" w:w="624"/>
          </w:tcPr>
          <w:p>
            <w:pPr>
              <w:pStyle w:val="ICST-Tabletext"/>
              <w:spacing w:before="20" w:after="20"/>
              <w:ind w:firstLine="0"/>
              <w:jc w:val="right"/>
            </w:pPr>
            <w:r>
              <w:rPr>
                <w:sz w:val="15"/>
              </w:rPr>
              <w:t>−1.9</w:t>
            </w:r>
          </w:p>
        </w:tc>
        <w:tc>
          <w:tcPr>
            <w:tcW w:type="dxa" w:w="680"/>
          </w:tcPr>
          <w:p>
            <w:pPr>
              <w:pStyle w:val="ICST-Tabletext"/>
              <w:spacing w:before="20" w:after="20"/>
              <w:ind w:firstLine="0"/>
              <w:jc w:val="right"/>
            </w:pPr>
            <w:r>
              <w:rPr>
                <w:sz w:val="15"/>
              </w:rPr>
              <w:t>−0.1</w:t>
            </w:r>
          </w:p>
        </w:tc>
        <w:tc>
          <w:tcPr>
            <w:tcW w:type="dxa" w:w="510"/>
          </w:tcPr>
          <w:p>
            <w:pPr>
              <w:pStyle w:val="ICST-Tabletext"/>
              <w:spacing w:before="20" w:after="20"/>
              <w:ind w:firstLine="0"/>
              <w:jc w:val="right"/>
            </w:pPr>
            <w:r>
              <w:rPr>
                <w:sz w:val="15"/>
              </w:rPr>
              <w:t>0.85</w:t>
            </w:r>
          </w:p>
        </w:tc>
      </w:tr>
      <w:tr>
        <w:trPr>
          <w:cantSplit/>
        </w:trPr>
        <w:tc>
          <w:tcPr>
            <w:tcW w:type="dxa" w:w="2154"/>
          </w:tcPr>
          <w:p>
            <w:pPr>
              <w:pStyle w:val="ICST-Tabletext"/>
              <w:spacing w:before="20" w:after="20"/>
              <w:ind w:firstLine="0"/>
              <w:jc w:val="left"/>
            </w:pPr>
            <w:r>
              <w:rPr>
                <w:sz w:val="15"/>
              </w:rPr>
              <w:t>Local LLM (sensor, typing, narrator)</w:t>
            </w:r>
          </w:p>
        </w:tc>
        <w:tc>
          <w:tcPr>
            <w:tcW w:type="dxa" w:w="624"/>
          </w:tcPr>
          <w:p>
            <w:pPr>
              <w:pStyle w:val="ICST-Tabletext"/>
              <w:spacing w:before="20" w:after="20"/>
              <w:ind w:firstLine="0"/>
              <w:jc w:val="right"/>
            </w:pPr>
            <w:r>
              <w:rPr>
                <w:sz w:val="15"/>
              </w:rPr>
              <w:t>−1.7</w:t>
            </w:r>
          </w:p>
        </w:tc>
        <w:tc>
          <w:tcPr>
            <w:tcW w:type="dxa" w:w="624"/>
          </w:tcPr>
          <w:p>
            <w:pPr>
              <w:pStyle w:val="ICST-Tabletext"/>
              <w:spacing w:before="20" w:after="20"/>
              <w:ind w:firstLine="0"/>
              <w:jc w:val="right"/>
            </w:pPr>
            <w:r>
              <w:rPr>
                <w:sz w:val="15"/>
              </w:rPr>
              <w:t>+1.9</w:t>
            </w:r>
          </w:p>
        </w:tc>
        <w:tc>
          <w:tcPr>
            <w:tcW w:type="dxa" w:w="680"/>
          </w:tcPr>
          <w:p>
            <w:pPr>
              <w:pStyle w:val="ICST-Tabletext"/>
              <w:spacing w:before="20" w:after="20"/>
              <w:ind w:firstLine="0"/>
              <w:jc w:val="right"/>
            </w:pPr>
            <w:r>
              <w:rPr>
                <w:sz w:val="15"/>
              </w:rPr>
              <w:t>+0.4</w:t>
            </w:r>
          </w:p>
        </w:tc>
        <w:tc>
          <w:tcPr>
            <w:tcW w:type="dxa" w:w="510"/>
          </w:tcPr>
          <w:p>
            <w:pPr>
              <w:pStyle w:val="ICST-Tabletext"/>
              <w:spacing w:before="20" w:after="20"/>
              <w:ind w:firstLine="0"/>
              <w:jc w:val="right"/>
            </w:pPr>
            <w:r>
              <w:rPr>
                <w:sz w:val="15"/>
              </w:rPr>
              <w:t>0.31</w:t>
            </w:r>
          </w:p>
        </w:tc>
      </w:tr>
    </w:tbl>
    <w:p>
      <w:pPr>
        <w:pStyle w:val="ICST-Bodytextnoindent"/>
        <w:spacing w:before="40" w:after="160"/>
      </w:pPr>
      <w:r>
        <w:rPr>
          <w:sz w:val="14"/>
        </w:rPr>
        <w:t>p: Wilcoxon signed-rank test on per-case Final. *Not in the default configuration. The first three rows were measured on an earlier development version whose RP used a word-overlap chain score; each pair shares its scorer.</w:t>
      </w:r>
    </w:p>
    <w:p>
      <w:pPr>
        <w:pStyle w:val="ICST-Heading2"/>
        <w:numPr>
          <w:ilvl w:val="1"/>
          <w:numId w:val="24"/>
        </w:numPr>
      </w:pPr>
      <w:r>
        <w:rPr/>
        <w:t>What the LLM Contributes</w:t>
      </w:r>
    </w:p>
    <w:p>
      <w:pPr>
        <w:pStyle w:val="ICST-Bodytextwithindent"/>
      </w:pPr>
      <w:r>
        <w:rPr/>
        <w:t>The typing step was accepted in 99 of 103 cases and changed the statistical type in 22: 5 changes turned a wrong type into the right one and 2 did the opposite (Appendix E). Seventeen of the 22 changes replaced cpuDeadLoop with cpuFullLoad, two fault types whose fingerprints differ only in a few supporting signals; three of these changes were correct. The sensor was used in 31 cases (38 readings, 34 with a verbatim quote); the most frequent readings were "none" (20), "redis" (6) and "refused" (5). It moved the entity in 4 cases, each time away from the correct one, which explains the lower EL. The narrator's chains passed the numeric check in all cases and raised the chain node-match rate from 69.3 to 72.2, whereas the checkpoint hit rate (75.6) is the same with and without the LLM because the checkpoints are matched against the decided evidence. In short, the LLM never broke a correct diagnosis through typing, but it did not change the overall score significantly; the statistical core carries the result.</w:t>
      </w:r>
    </w:p>
    <w:p>
      <w:pPr>
        <w:pStyle w:val="ICST-Heading2"/>
        <w:numPr>
          <w:ilvl w:val="1"/>
          <w:numId w:val="24"/>
        </w:numPr>
      </w:pPr>
      <w:r>
        <w:rPr/>
        <w:t>Where the Diagnosis Fails</w:t>
      </w:r>
    </w:p>
    <w:p>
      <w:pPr>
        <w:pStyle w:val="ICST-Bodytextwithindent"/>
      </w:pPr>
      <w:r>
        <w:rPr/>
        <w:t>Figure 2 shows how far the predicted root is from the true one. Forty-five predictions are exact, and the largest group of errors lies three hops away: typically the model names a downstream service or the node that hosts it when the true root is its caller, or the reverse. Errors of the type (Fig. 4) concentrate on a few attractor classes: cpuFullLoad absorbed 8 of the 12 memoryPressure cases, and trafficSurge absorbed 6 of the 11 rateLimiting cases. In 26 cases the entity is right but the type is wrong; these are the cases where better discrimination between related fingerprints would pay most.</w:t>
      </w:r>
    </w:p>
    <w:p>
      <w:pPr>
        <w:pStyle w:val="ICST-Bodytextnoindent"/>
        <w:keepNext/>
        <w:ind w:firstLine="0"/>
        <w:jc w:val="center"/>
      </w:pPr>
      <w:r>
        <w:drawing>
          <wp:inline xmlns:a="http://schemas.openxmlformats.org/drawingml/2006/main" xmlns:pic="http://schemas.openxmlformats.org/drawingml/2006/picture">
            <wp:extent cx="2880000" cy="1948235"/>
            <wp:docPr id="2" name="Picture 2"/>
            <wp:cNvGraphicFramePr>
              <a:graphicFrameLocks noChangeAspect="1"/>
            </wp:cNvGraphicFramePr>
            <a:graphic>
              <a:graphicData uri="http://schemas.openxmlformats.org/drawingml/2006/picture">
                <pic:pic>
                  <pic:nvPicPr>
                    <pic:cNvPr id="0" name="fig2_hops.png"/>
                    <pic:cNvPicPr/>
                  </pic:nvPicPr>
                  <pic:blipFill>
                    <a:blip r:embed="rId25"/>
                    <a:stretch>
                      <a:fillRect/>
                    </a:stretch>
                  </pic:blipFill>
                  <pic:spPr>
                    <a:xfrm>
                      <a:off x="0" y="0"/>
                      <a:ext cx="2880000" cy="1948235"/>
                    </a:xfrm>
                    <a:prstGeom prst="rect"/>
                  </pic:spPr>
                </pic:pic>
              </a:graphicData>
            </a:graphic>
          </wp:inline>
        </w:drawing>
      </w:r>
    </w:p>
    <w:p>
      <w:pPr>
        <w:pStyle w:val="ICST-Captions"/>
      </w:pPr>
      <w:r>
        <w:rPr/>
        <w:t>Figure 2. Distance between the predicted and the true root cause in topology hops (EL = 0.5^h). ≥4 includes answers outside the scored neighbourhood.</w:t>
      </w:r>
    </w:p>
    <w:p>
      <w:pPr>
        <w:pStyle w:val="ICST-Bodytextwithindent"/>
      </w:pPr>
      <w:r>
        <w:rPr/>
        <w:t>The posterior is useful beyond the answer itself (Fig. 3). Ordering the cases by the posterior probability of the chosen entity, the exact-localisation rate rises from 12% in the lowest quartile to 69% in the highest. The type probability behaves similarly (FI 8.6%, 26.5% and 32.4% in its terciles). An operator can therefore treat low-confidence diagnoses as hypotheses to verify and inspect the observations with the largest Bayes factors first.</w:t>
      </w:r>
    </w:p>
    <w:p>
      <w:pPr>
        <w:pStyle w:val="ICST-Bodytextnoindent"/>
        <w:keepNext/>
        <w:ind w:firstLine="0"/>
        <w:jc w:val="center"/>
      </w:pPr>
      <w:r>
        <w:drawing>
          <wp:inline xmlns:a="http://schemas.openxmlformats.org/drawingml/2006/main" xmlns:pic="http://schemas.openxmlformats.org/drawingml/2006/picture">
            <wp:extent cx="2880000" cy="1863529"/>
            <wp:docPr id="3" name="Picture 3"/>
            <wp:cNvGraphicFramePr>
              <a:graphicFrameLocks noChangeAspect="1"/>
            </wp:cNvGraphicFramePr>
            <a:graphic>
              <a:graphicData uri="http://schemas.openxmlformats.org/drawingml/2006/picture">
                <pic:pic>
                  <pic:nvPicPr>
                    <pic:cNvPr id="0" name="fig3_confidence.png"/>
                    <pic:cNvPicPr/>
                  </pic:nvPicPr>
                  <pic:blipFill>
                    <a:blip r:embed="rId26"/>
                    <a:stretch>
                      <a:fillRect/>
                    </a:stretch>
                  </pic:blipFill>
                  <pic:spPr>
                    <a:xfrm>
                      <a:off x="0" y="0"/>
                      <a:ext cx="2880000" cy="1863529"/>
                    </a:xfrm>
                    <a:prstGeom prst="rect"/>
                  </pic:spPr>
                </pic:pic>
              </a:graphicData>
            </a:graphic>
          </wp:inline>
        </w:drawing>
      </w:r>
    </w:p>
    <w:p>
      <w:pPr>
        <w:pStyle w:val="ICST-Captions"/>
      </w:pPr>
      <w:r>
        <w:rPr/>
        <w:t>Figure 3. Exact entity localisation by quartile of the posterior probability of the chosen entity (26 cases per quartile).</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2" w:space="720"/>
          <w:noEndnote/>
          <w:docGrid w:linePitch="272"/>
        </w:sectPr>
      </w:pPr>
    </w:p>
    <w:p>
      <w:pPr>
        <w:pStyle w:val="ICST-Bodytextnoindent"/>
        <w:keepNext/>
        <w:ind w:firstLine="0"/>
        <w:jc w:val="center"/>
      </w:pPr>
      <w:r>
        <w:drawing>
          <wp:inline xmlns:a="http://schemas.openxmlformats.org/drawingml/2006/main" xmlns:pic="http://schemas.openxmlformats.org/drawingml/2006/picture">
            <wp:extent cx="5580000" cy="2379706"/>
            <wp:docPr id="4" name="Picture 4"/>
            <wp:cNvGraphicFramePr>
              <a:graphicFrameLocks noChangeAspect="1"/>
            </wp:cNvGraphicFramePr>
            <a:graphic>
              <a:graphicData uri="http://schemas.openxmlformats.org/drawingml/2006/picture">
                <pic:pic>
                  <pic:nvPicPr>
                    <pic:cNvPr id="0" name="fig4_confusion.png"/>
                    <pic:cNvPicPr/>
                  </pic:nvPicPr>
                  <pic:blipFill>
                    <a:blip r:embed="rId27"/>
                    <a:stretch>
                      <a:fillRect/>
                    </a:stretch>
                  </pic:blipFill>
                  <pic:spPr>
                    <a:xfrm>
                      <a:off x="0" y="0"/>
                      <a:ext cx="5580000" cy="2379706"/>
                    </a:xfrm>
                    <a:prstGeom prst="rect"/>
                  </pic:spPr>
                </pic:pic>
              </a:graphicData>
            </a:graphic>
          </wp:inline>
        </w:drawing>
      </w:r>
    </w:p>
    <w:p>
      <w:pPr>
        <w:pStyle w:val="ICST-Captions"/>
      </w:pPr>
      <w:r>
        <w:rPr/>
        <w:t>Figure 4. Fault-type confusion of GAMA-RCA + LLM for the true types with at least four cases. Outlined cells: correct type.</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1" w:space="720"/>
          <w:noEndnote/>
          <w:docGrid w:linePitch="272"/>
        </w:sectPr>
      </w:pPr>
    </w:p>
    <w:p>
      <w:pPr>
        <w:pStyle w:val="ICST-Heading1"/>
        <w:numPr>
          <w:ilvl w:val="0"/>
          <w:numId w:val="24"/>
        </w:numPr>
      </w:pPr>
      <w:r>
        <w:rPr/>
        <w:t>Discussion and Limitations</w:t>
      </w:r>
    </w:p>
    <w:p>
      <w:pPr>
        <w:pStyle w:val="ICST-Bodytextwithindent"/>
      </w:pPr>
      <w:r>
        <w:rPr>
          <w:b/>
        </w:rPr>
        <w:t>Development data.</w:t>
      </w:r>
      <w:r>
        <w:rPr/>
        <w:t xml:space="preserve"> All results come from RCA100, which was used to design the method; the reported scores are therefore optimistic. The configuration will be frozen and evaluated on held-out incidents, such as the AIOps2025 dataset of the same benchmark [6], before any claim of generalisation.</w:t>
      </w:r>
    </w:p>
    <w:p>
      <w:pPr>
        <w:pStyle w:val="ICST-Bodytextwithindent"/>
      </w:pPr>
      <w:r>
        <w:rPr>
          <w:b/>
        </w:rPr>
        <w:t>Comparison with LLM agents.</w:t>
      </w:r>
      <w:r>
        <w:rPr/>
        <w:t xml:space="preserve"> We did not re-run the benchmark's agent: run locally with an open model on two T4 GPUs it did not finish a single case within two hours. Its reported joint accuracy with API-hosted LLMs (38.8–51.5% [6]) is higher than ours (18% with the LLM), and our contribution is not accuracy at any cost but a diagnosis that is cheap, local and traceable. A direct comparison with a single-call LLM baseline on the same compressed evidence is planned.</w:t>
      </w:r>
    </w:p>
    <w:p>
      <w:pPr>
        <w:pStyle w:val="ICST-Bodytextwithindent"/>
      </w:pPr>
      <w:r>
        <w:rPr>
          <w:b/>
        </w:rPr>
        <w:t>Fingerprints.</w:t>
      </w:r>
      <w:r>
        <w:rPr/>
        <w:t xml:space="preserve"> The fingerprints encode expert knowledge of the taxonomy and must be written for a new fault taxonomy. They are short (Appendix A), and they make the reasoning inspectable, but near-duplicate fingerprints (cpuDeadLoop vs cpuFullLoad, memoryPressure vs resourceLimitMisconfig) remain hard to separate with the available signals.</w:t>
      </w:r>
    </w:p>
    <w:p>
      <w:pPr>
        <w:pStyle w:val="ICST-Bodytextwithindent"/>
      </w:pPr>
      <w:r>
        <w:rPr>
          <w:b/>
        </w:rPr>
        <w:t>Scoring.</w:t>
      </w:r>
      <w:r>
        <w:rPr/>
        <w:t xml:space="preserve"> Our RP implementation follows the benchmark's definition (node-match rate and checkpoint hit rate); the official scorer was not available to us, so absolute RP and Final values may differ slightly from official ones.</w:t>
      </w:r>
    </w:p>
    <w:p>
      <w:pPr>
        <w:pStyle w:val="ICST-Heading1"/>
        <w:numPr>
          <w:ilvl w:val="0"/>
          <w:numId w:val="24"/>
        </w:numPr>
      </w:pPr>
      <w:r>
        <w:rPr/>
        <w:t>Conclusion</w:t>
      </w:r>
    </w:p>
    <w:p>
      <w:pPr>
        <w:pStyle w:val="ICST-Bodytextwithindent"/>
      </w:pPr>
      <w:r>
        <w:rPr/>
        <w:t>GAMA-RCA diagnoses microservice incidents by compressing six telemetry modalities into calibrated observations and inferring the root cause with an explicit Bayesian model over the service topology, while a small local LLM acts only as a grounded sensor. On RCA100 it reached a Final score of 50.0 without any LLM call and 50.4 with Qwen3-8B, at about 8.5 thousand tokens and three minutes per incident on free hardware. Estimating the propagation probability per incident was the decisive component, and the posterior indicates which diagnoses can be trusted. Fault-type identification remains the main limitation. Future work will freeze the configuration and evaluate it on held-out data, compare it with LLM baselines on the same evidence, and sharpen the separation of related fault types.</w:t>
      </w:r>
    </w:p>
    <w:p>
      <w:pPr>
        <w:pStyle w:val="ICST-Acknowledgementheading"/>
      </w:pPr>
      <w:r>
        <w:rPr/>
        <w:t>Acknowledgements</w:t>
      </w:r>
    </w:p>
    <w:p>
      <w:pPr>
        <w:pStyle w:val="ICST-Acknowlegementtext"/>
      </w:pPr>
      <w:r>
        <w:rPr/>
        <w:t>The authors gratefully acknowledge the Hibah Damas Penelitian Tahun 2026 from Sekolah Vokasi for supporting this research.</w:t>
      </w:r>
    </w:p>
    <w:p>
      <w:pPr>
        <w:pStyle w:val="ICST-Heading1"/>
      </w:pPr>
      <w:r>
        <w:rPr/>
        <w:t>References</w:t>
      </w:r>
    </w:p>
    <w:p>
      <w:pPr>
        <w:pStyle w:val="ICST-References"/>
      </w:pPr>
      <w:r>
        <w:rPr/>
        <w:t>S. Yao et al., “ReAct: Synergizing reasoning and acting in language models,” arXiv preprint arXiv:2210.03629, 2022.</w:t>
      </w:r>
    </w:p>
    <w:p>
      <w:pPr>
        <w:pStyle w:val="ICST-References"/>
      </w:pPr>
      <w:r>
        <w:rPr/>
        <w:t>P. Lewis et al., “Retrieval-augmented generation for knowledge-intensive NLP tasks,” Adv. Neural Inf. Process. Syst., vol. 33, pp. 9459–9474, 2020.</w:t>
      </w:r>
    </w:p>
    <w:p>
      <w:pPr>
        <w:pStyle w:val="ICST-References"/>
      </w:pPr>
      <w:r>
        <w:rPr/>
        <w:t>D. Edge et al., “From local to global: A graph RAG approach to query-focused summarization,” arXiv preprint arXiv:2404.16130, 2024.</w:t>
      </w:r>
    </w:p>
    <w:p>
      <w:pPr>
        <w:pStyle w:val="ICST-References"/>
      </w:pPr>
      <w:r>
        <w:rPr/>
        <w:t>C. Pei et al., “Flow-of-Action: SOP enhanced LLM-based multi-agent system for root cause analysis,” in Companion Proc. ACM Web Conf. 2025, pp. 422–431.</w:t>
      </w:r>
    </w:p>
    <w:p>
      <w:pPr>
        <w:pStyle w:val="ICST-References"/>
      </w:pPr>
      <w:r>
        <w:rPr/>
        <w:t>W. Zhang et al., “mABC: Multi-agent blockchain-inspired collaboration for root cause analysis in micro-services architecture,” in Findings of EMNLP 2024, pp. 4017–4033.</w:t>
      </w:r>
    </w:p>
    <w:p>
      <w:pPr>
        <w:pStyle w:val="ICST-References"/>
      </w:pPr>
      <w:r>
        <w:rPr/>
        <w:t>Y. Cai et al., “A multi-dataset benchmark for evaluating LLM agents in microservice failure diagnosis,” arXiv preprint arXiv:2606.29193, 2026.</w:t>
      </w:r>
    </w:p>
    <w:p>
      <w:pPr>
        <w:pStyle w:val="ICST-References"/>
      </w:pPr>
      <w:r>
        <w:rPr/>
        <w:t>L. Wu, J. Tordsson, E. Elmroth, and O. Kao, “MicroRCA: Root cause localization of performance issues in microservices,” in IEEE/IFIP NOMS, 2020.</w:t>
      </w:r>
    </w:p>
    <w:p>
      <w:pPr>
        <w:pStyle w:val="ICST-References"/>
      </w:pPr>
      <w:r>
        <w:rPr/>
        <w:t>J. Lin, P. Chen, and Z. Zheng, “Microscope: Pinpoint performance issues with causal graphs in micro-service environments,” in ICSOC, Springer, 2018, pp. 3–20.</w:t>
      </w:r>
    </w:p>
    <w:p>
      <w:pPr>
        <w:pStyle w:val="ICST-References"/>
      </w:pPr>
      <w:r>
        <w:rPr/>
        <w:t>A. Ikram et al., “Root cause analysis of failures in microservices through causal discovery,” Adv. Neural Inf. Process. Syst., vol. 35, pp. 31158–31170, 2022.</w:t>
      </w:r>
    </w:p>
    <w:p>
      <w:pPr>
        <w:pStyle w:val="ICST-References"/>
      </w:pPr>
      <w:r>
        <w:rPr/>
        <w:t>R. Xin, P. Chen, and Z. Zhao, “CausalRCA: Causal inference based precise fine-grained root cause localization for microservice applications,” J. Syst. Softw., vol. 203, 111724, 2023.</w:t>
      </w:r>
    </w:p>
    <w:p>
      <w:pPr>
        <w:pStyle w:val="ICST-References"/>
      </w:pPr>
      <w:r>
        <w:rPr/>
        <w:t>M. Li et al., “Causal inference-based root cause analysis for online service systems with intervention recognition,” in Proc. ACM SIGKDD, 2022, pp. 3230–3240.</w:t>
      </w:r>
    </w:p>
    <w:p>
      <w:pPr>
        <w:pStyle w:val="ICST-References"/>
      </w:pPr>
      <w:r>
        <w:rPr/>
        <w:t>L. Pham, H. Ha, and H. Zhang, “BARO: Robust root cause analysis for microservices via multivariate Bayesian online change point detection,” Proc. ACM Softw. Eng., vol. 1, no. FSE, pp. 2214–2237, 2024.</w:t>
      </w:r>
    </w:p>
    <w:p>
      <w:pPr>
        <w:pStyle w:val="ICST-References"/>
      </w:pPr>
      <w:r>
        <w:rPr/>
        <w:t>Y. Meng et al., “Localizing failure root causes in a microservice through causality inference,” in IEEE/ACM IWQoS, 2020, pp. 1–10.</w:t>
      </w:r>
    </w:p>
    <w:p>
      <w:pPr>
        <w:pStyle w:val="ICST-References"/>
      </w:pPr>
      <w:r>
        <w:rPr/>
        <w:t>Z. Li et al., “Practical root cause localization for microservice systems via trace analysis,” in IEEE/ACM IWQoS, 2021, pp. 1–10.</w:t>
      </w:r>
    </w:p>
    <w:p>
      <w:pPr>
        <w:pStyle w:val="ICST-References"/>
      </w:pPr>
      <w:r>
        <w:rPr/>
        <w:t>G. Yu et al., “Nezha: Interpretable fine-grained root causes analysis for microservices on multi-modal observability data,” in Proc. ESEC/FSE, 2023, pp. 553–565.</w:t>
      </w:r>
    </w:p>
    <w:p>
      <w:pPr>
        <w:pStyle w:val="ICST-References"/>
      </w:pPr>
      <w:r>
        <w:rPr/>
        <w:t>L. Zheng, Z. Chen, J. He, and H. Chen, “MULAN: Multi-modal causal structure learning and root cause analysis for microservice systems,” in Proc. ACM Web Conf. 2024, pp. 4107–4116.</w:t>
      </w:r>
    </w:p>
    <w:p>
      <w:pPr>
        <w:pStyle w:val="ICST-References"/>
      </w:pPr>
      <w:r>
        <w:rPr/>
        <w:t>Y. Chen et al., “Automatic root cause analysis via large language models for cloud incidents,” in Proc. EuroSys, 2024, pp. 674–688.</w:t>
      </w:r>
    </w:p>
    <w:p>
      <w:pPr>
        <w:pStyle w:val="ICST-References"/>
      </w:pPr>
      <w:r>
        <w:rPr/>
        <w:t>J. Xu et al., “OpenRCA: Can large language models locate the root cause of software failures?,” in ICLR, 2025.</w:t>
      </w:r>
    </w:p>
    <w:p>
      <w:pPr>
        <w:pStyle w:val="ICST-References"/>
      </w:pPr>
      <w:r>
        <w:rPr/>
        <w:t>L. Pham, H. Zhang, H. Ha, F. Salim, and X. Zhang, “RCAEval: A benchmark for root cause analysis of microservice systems with telemetry data,” in Companion Proc. ACM Web Conf. 2025, pp. 777–780.</w:t>
      </w:r>
    </w:p>
    <w:p>
      <w:pPr>
        <w:pStyle w:val="ICST-References"/>
      </w:pPr>
      <w:r>
        <w:rPr/>
        <w:t>Y. Chen et al., “AIOpsLab: A holistic framework to evaluate AI agents for enabling autonomous clouds,” Proc. Mach. Learn. Syst., vol. 7, 2025.</w:t>
      </w:r>
    </w:p>
    <w:p>
      <w:pPr>
        <w:pStyle w:val="ICST-References"/>
      </w:pPr>
      <w:r>
        <w:rPr/>
        <w:t>S. Jha et al., “ITBench: Evaluating AI agents across diverse real-world IT automation tasks,” arXiv preprint arXiv:2502.05352, 2025.</w:t>
      </w:r>
    </w:p>
    <w:p>
      <w:pPr>
        <w:pStyle w:val="ICST-References"/>
      </w:pPr>
      <w:r>
        <w:rPr/>
        <w:t>J. Clark et al., “SREGym: A live benchmark for AI SRE agents with high-fidelity failure scenarios,” arXiv preprint arXiv:2605.07161, 2026.</w:t>
      </w:r>
    </w:p>
    <w:p>
      <w:pPr>
        <w:pStyle w:val="ICST-References"/>
      </w:pPr>
      <w:r>
        <w:rPr/>
        <w:t>Y. Tian, Y. Liu, Z. Chong, Z. Huang, and H.-A. Jacobsen, “GALA: Can graph-augmented large language model agentic workflows elevate root cause analysis?,” arXiv preprint arXiv:2508.12472, 2025.</w:t>
      </w:r>
    </w:p>
    <w:p>
      <w:pPr>
        <w:pStyle w:val="ICST-References"/>
      </w:pPr>
      <w:r>
        <w:rPr/>
        <w:t>J. Pearl, Probabilistic Reasoning in Intelligent Systems: Networks of Plausible Inference. San Mateo, CA: Morgan Kaufmann, 1988.</w:t>
      </w:r>
    </w:p>
    <w:p>
      <w:pPr>
        <w:pStyle w:val="ICST-References"/>
      </w:pPr>
      <w:r>
        <w:rPr/>
        <w:t>D. V. Lindley, “On a measure of the information provided by an experiment,” Ann. Math. Statist., vol. 27, no. 4, pp. 986–1005, 1956.</w:t>
      </w:r>
    </w:p>
    <w:p>
      <w:pPr>
        <w:pStyle w:val="ICST-References"/>
      </w:pPr>
      <w:r>
        <w:rPr/>
        <w:t>B. Efron, “Large-scale simultaneous hypothesis testing: The choice of a null hypothesis,” J. Amer. Statist. Assoc., vol. 99, no. 465, pp. 96–104, 2004.</w:t>
      </w:r>
    </w:p>
    <w:p>
      <w:pPr>
        <w:pStyle w:val="ICST-References"/>
      </w:pPr>
      <w:r>
        <w:rPr/>
        <w:t>V. Vovk, A. Gammerman, and G. Shafer, Algorithmic Learning in a Random World. New York: Springer, 2005.</w:t>
      </w:r>
    </w:p>
    <w:p>
      <w:pPr>
        <w:pStyle w:val="ICST-References"/>
      </w:pPr>
      <w:r>
        <w:rPr/>
        <w:t>P. He, J. Zhu, Z. Zheng, and M. R. Lyu, “Drain: An online log parsing approach with fixed depth tree,” in Proc. IEEE ICWS, 2017, pp. 33–40.</w:t>
      </w:r>
    </w:p>
    <w:p>
      <w:pPr>
        <w:pStyle w:val="ICST-References"/>
      </w:pPr>
      <w:r>
        <w:rPr/>
        <w:t>Y. Benjamini and Y. Hochberg, “Controlling the false discovery rate: A practical and powerful approach to multiple testing,” J. R. Statist. Soc. B, vol. 57, no. 1, pp. 289–300, 1995.</w:t>
      </w:r>
    </w:p>
    <w:p>
      <w:pPr>
        <w:pStyle w:val="ICST-References"/>
      </w:pPr>
      <w:r>
        <w:rPr/>
        <w:t>N. F. Liu et al., “Lost in the middle: How language models use long contexts,” Trans. Assoc. Comput. Linguist., vol. 12, pp. 157–173, 2024.</w:t>
      </w:r>
    </w:p>
    <w:p>
      <w:pPr>
        <w:pStyle w:val="ICST-References"/>
      </w:pPr>
      <w:r>
        <w:rPr/>
        <w:t>A. P. Dempster, N. M. Laird, and D. B. Rubin, “Maximum likelihood from incomplete data via the EM algorithm,” J. R. Statist. Soc. B, vol. 39, no. 1, pp. 1–38, 1977.</w:t>
      </w:r>
    </w:p>
    <w:p>
      <w:pPr>
        <w:pStyle w:val="ICST-References"/>
      </w:pPr>
      <w:r>
        <w:rPr/>
        <w:t>A. Yang et al. (Qwen Team), “Qwen3 technical report,” arXiv preprint arXiv:2505.09388, 2025.</w:t>
      </w:r>
    </w:p>
    <w:p>
      <w:pPr>
        <w:pStyle w:val="ICST-Bodytextnoindent"/>
        <w:spacing w:after="0"/>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2" w:space="720"/>
          <w:noEndnote/>
          <w:docGrid w:linePitch="272"/>
        </w:sectPr>
      </w:pPr>
    </w:p>
    <w:p>
      <w:pPr>
        <w:pStyle w:val="ICST-Heading1"/>
      </w:pPr>
      <w:r>
        <w:rPr/>
        <w:t>Appendix A. Fault Fingerprints</w:t>
      </w:r>
    </w:p>
    <w:p>
      <w:pPr>
        <w:pStyle w:val="ICST-Bodytextnoindent"/>
      </w:pPr>
      <w:r>
        <w:rPr/>
        <w:t>Roles of the observable signals for each fault type in the default configuration. Key: at least one must hold (alternatives; &amp; = both). Support: expected but not required. May: a possible consequence (uninformative when absent). Contradict: unlikely under the type. Level: entity level of the root. msg_x: a log/trace message of category x; log_x_rise: a significant rise of such messages; ev_x: a Kubernetes event.</w:t>
      </w:r>
    </w:p>
    <w:p>
      <w:pPr>
        <w:pStyle w:val="ICST-Captions"/>
        <w:keepNext/>
      </w:pPr>
      <w:r>
        <w:rPr/>
        <w:t>Table A1. Fault fingerprints (28 types).</w:t>
      </w:r>
    </w:p>
    <w:tbl>
      <w:tblPr>
        <w:tblW w:type="auto" w:w="0"/>
        <w:jc w:val="center"/>
        <w:tblBorders>
          <w:top w:val="single" w:sz="10" w:color="000000"/>
          <w:bottom w:val="single" w:sz="10" w:color="000000"/>
        </w:tblBorders>
        <w:tblLook w:firstColumn="1" w:firstRow="1" w:lastColumn="0" w:lastRow="0" w:noHBand="0" w:noVBand="1" w:val="04A0"/>
      </w:tblPr>
      <w:tblGrid>
        <w:gridCol w:w="1190"/>
        <w:gridCol w:w="1700"/>
        <w:gridCol w:w="510"/>
        <w:gridCol w:w="2324"/>
        <w:gridCol w:w="1700"/>
        <w:gridCol w:w="1247"/>
        <w:gridCol w:w="1303"/>
      </w:tblGrid>
      <w:tr>
        <w:trPr>
          <w:tblHeader/>
          <w:cantSplit/>
        </w:trPr>
        <w:tc>
          <w:tcPr>
            <w:tcW w:type="dxa" w:w="1191"/>
            <w:tcBorders>
              <w:bottom w:val="single" w:sz="6" w:color="000000"/>
            </w:tcBorders>
          </w:tcPr>
          <w:p>
            <w:pPr>
              <w:pStyle w:val="ICST-Tabletext"/>
              <w:spacing w:before="20" w:after="20"/>
              <w:ind w:firstLine="0"/>
              <w:jc w:val="left"/>
            </w:pPr>
            <w:r>
              <w:rPr>
                <w:b/>
                <w:sz w:val="13"/>
              </w:rPr>
              <w:t>Group</w:t>
            </w:r>
          </w:p>
        </w:tc>
        <w:tc>
          <w:tcPr>
            <w:tcW w:type="dxa" w:w="1701"/>
            <w:tcBorders>
              <w:bottom w:val="single" w:sz="6" w:color="000000"/>
            </w:tcBorders>
          </w:tcPr>
          <w:p>
            <w:pPr>
              <w:pStyle w:val="ICST-Tabletext"/>
              <w:spacing w:before="20" w:after="20"/>
              <w:ind w:firstLine="0"/>
              <w:jc w:val="left"/>
            </w:pPr>
            <w:r>
              <w:rPr>
                <w:b/>
                <w:sz w:val="13"/>
              </w:rPr>
              <w:t>Fault type</w:t>
            </w:r>
          </w:p>
        </w:tc>
        <w:tc>
          <w:tcPr>
            <w:tcW w:type="dxa" w:w="510"/>
            <w:tcBorders>
              <w:bottom w:val="single" w:sz="6" w:color="000000"/>
            </w:tcBorders>
          </w:tcPr>
          <w:p>
            <w:pPr>
              <w:pStyle w:val="ICST-Tabletext"/>
              <w:spacing w:before="20" w:after="20"/>
              <w:ind w:firstLine="0"/>
              <w:jc w:val="left"/>
            </w:pPr>
            <w:r>
              <w:rPr>
                <w:b/>
                <w:sz w:val="13"/>
              </w:rPr>
              <w:t>Level</w:t>
            </w:r>
          </w:p>
        </w:tc>
        <w:tc>
          <w:tcPr>
            <w:tcW w:type="dxa" w:w="2324"/>
            <w:tcBorders>
              <w:bottom w:val="single" w:sz="6" w:color="000000"/>
            </w:tcBorders>
          </w:tcPr>
          <w:p>
            <w:pPr>
              <w:pStyle w:val="ICST-Tabletext"/>
              <w:spacing w:before="20" w:after="20"/>
              <w:ind w:firstLine="0"/>
              <w:jc w:val="left"/>
            </w:pPr>
            <w:r>
              <w:rPr>
                <w:b/>
                <w:sz w:val="13"/>
              </w:rPr>
              <w:t>Key (alternatives)</w:t>
            </w:r>
          </w:p>
        </w:tc>
        <w:tc>
          <w:tcPr>
            <w:tcW w:type="dxa" w:w="1701"/>
            <w:tcBorders>
              <w:bottom w:val="single" w:sz="6" w:color="000000"/>
            </w:tcBorders>
          </w:tcPr>
          <w:p>
            <w:pPr>
              <w:pStyle w:val="ICST-Tabletext"/>
              <w:spacing w:before="20" w:after="20"/>
              <w:ind w:firstLine="0"/>
              <w:jc w:val="left"/>
            </w:pPr>
            <w:r>
              <w:rPr>
                <w:b/>
                <w:sz w:val="13"/>
              </w:rPr>
              <w:t>Support</w:t>
            </w:r>
          </w:p>
        </w:tc>
        <w:tc>
          <w:tcPr>
            <w:tcW w:type="dxa" w:w="1247"/>
            <w:tcBorders>
              <w:bottom w:val="single" w:sz="6" w:color="000000"/>
            </w:tcBorders>
          </w:tcPr>
          <w:p>
            <w:pPr>
              <w:pStyle w:val="ICST-Tabletext"/>
              <w:spacing w:before="20" w:after="20"/>
              <w:ind w:firstLine="0"/>
              <w:jc w:val="left"/>
            </w:pPr>
            <w:r>
              <w:rPr>
                <w:b/>
                <w:sz w:val="13"/>
              </w:rPr>
              <w:t>May</w:t>
            </w:r>
          </w:p>
        </w:tc>
        <w:tc>
          <w:tcPr>
            <w:tcW w:type="dxa" w:w="1304"/>
            <w:tcBorders>
              <w:bottom w:val="single" w:sz="6" w:color="000000"/>
            </w:tcBorders>
          </w:tcPr>
          <w:p>
            <w:pPr>
              <w:pStyle w:val="ICST-Tabletext"/>
              <w:spacing w:before="20" w:after="20"/>
              <w:ind w:firstLine="0"/>
              <w:jc w:val="left"/>
            </w:pPr>
            <w:r>
              <w:rPr>
                <w:b/>
                <w:sz w:val="13"/>
              </w:rPr>
              <w:t>Contradict</w:t>
            </w:r>
          </w:p>
        </w:tc>
      </w:tr>
      <w:tr>
        <w:trPr>
          <w:cantSplit/>
        </w:trPr>
        <w:tc>
          <w:tcPr>
            <w:tcW w:type="dxa" w:w="1191"/>
          </w:tcPr>
          <w:p>
            <w:pPr>
              <w:pStyle w:val="ICST-Tabletext"/>
              <w:spacing w:before="20" w:after="20"/>
              <w:ind w:firstLine="0"/>
              <w:jc w:val="left"/>
            </w:pPr>
            <w:r>
              <w:rPr>
                <w:sz w:val="13"/>
              </w:rPr>
              <w:t>Cloud resource</w:t>
            </w:r>
          </w:p>
        </w:tc>
        <w:tc>
          <w:tcPr>
            <w:tcW w:type="dxa" w:w="1701"/>
          </w:tcPr>
          <w:p>
            <w:pPr>
              <w:pStyle w:val="ICST-Tabletext"/>
              <w:spacing w:before="20" w:after="20"/>
              <w:ind w:firstLine="0"/>
              <w:jc w:val="left"/>
            </w:pPr>
            <w:r>
              <w:rPr>
                <w:sz w:val="13"/>
              </w:rPr>
              <w:t>nodeCpuHigh</w:t>
            </w:r>
          </w:p>
        </w:tc>
        <w:tc>
          <w:tcPr>
            <w:tcW w:type="dxa" w:w="510"/>
          </w:tcPr>
          <w:p>
            <w:pPr>
              <w:pStyle w:val="ICST-Tabletext"/>
              <w:spacing w:before="20" w:after="20"/>
              <w:ind w:firstLine="0"/>
              <w:jc w:val="left"/>
            </w:pPr>
            <w:r>
              <w:rPr>
                <w:sz w:val="13"/>
              </w:rPr>
              <w:t>node</w:t>
            </w:r>
          </w:p>
        </w:tc>
        <w:tc>
          <w:tcPr>
            <w:tcW w:type="dxa" w:w="2324"/>
          </w:tcPr>
          <w:p>
            <w:pPr>
              <w:pStyle w:val="ICST-Tabletext"/>
              <w:spacing w:before="20" w:after="20"/>
              <w:ind w:firstLine="0"/>
              <w:jc w:val="left"/>
            </w:pPr>
            <w:r>
              <w:rPr>
                <w:rFonts w:ascii="Courier New" w:hAnsi="Courier New"/>
                <w:sz w:val="12"/>
              </w:rPr>
              <w:t>node_cpu_rise</w:t>
            </w:r>
          </w:p>
        </w:tc>
        <w:tc>
          <w:tcPr>
            <w:tcW w:type="dxa" w:w="1701"/>
          </w:tcPr>
          <w:p>
            <w:pPr>
              <w:pStyle w:val="ICST-Tabletext"/>
              <w:spacing w:before="20" w:after="20"/>
              <w:ind w:firstLine="0"/>
              <w:jc w:val="left"/>
            </w:pPr>
            <w:r>
              <w:rPr>
                <w:rFonts w:ascii="Courier New" w:hAnsi="Courier New"/>
                <w:sz w:val="12"/>
              </w:rPr>
              <w:t>–</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nodeMemoryOOM</w:t>
            </w:r>
          </w:p>
        </w:tc>
        <w:tc>
          <w:tcPr>
            <w:tcW w:type="dxa" w:w="510"/>
          </w:tcPr>
          <w:p>
            <w:pPr>
              <w:pStyle w:val="ICST-Tabletext"/>
              <w:spacing w:before="20" w:after="20"/>
              <w:ind w:firstLine="0"/>
              <w:jc w:val="left"/>
            </w:pPr>
            <w:r>
              <w:rPr>
                <w:sz w:val="13"/>
              </w:rPr>
              <w:t>node</w:t>
            </w:r>
          </w:p>
        </w:tc>
        <w:tc>
          <w:tcPr>
            <w:tcW w:type="dxa" w:w="2324"/>
          </w:tcPr>
          <w:p>
            <w:pPr>
              <w:pStyle w:val="ICST-Tabletext"/>
              <w:spacing w:before="20" w:after="20"/>
              <w:ind w:firstLine="0"/>
              <w:jc w:val="left"/>
            </w:pPr>
            <w:r>
              <w:rPr>
                <w:rFonts w:ascii="Courier New" w:hAnsi="Courier New"/>
                <w:sz w:val="12"/>
              </w:rPr>
              <w:t>ev_node_oom; node_mem_rise&amp;ev_evicted</w:t>
            </w:r>
          </w:p>
        </w:tc>
        <w:tc>
          <w:tcPr>
            <w:tcW w:type="dxa" w:w="1701"/>
          </w:tcPr>
          <w:p>
            <w:pPr>
              <w:pStyle w:val="ICST-Tabletext"/>
              <w:spacing w:before="20" w:after="20"/>
              <w:ind w:firstLine="0"/>
              <w:jc w:val="left"/>
            </w:pPr>
            <w:r>
              <w:rPr>
                <w:rFonts w:ascii="Courier New" w:hAnsi="Courier New"/>
                <w:sz w:val="12"/>
              </w:rPr>
              <w:t>node_mem_rise, ev_evicted</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nodeDown</w:t>
            </w:r>
          </w:p>
        </w:tc>
        <w:tc>
          <w:tcPr>
            <w:tcW w:type="dxa" w:w="510"/>
          </w:tcPr>
          <w:p>
            <w:pPr>
              <w:pStyle w:val="ICST-Tabletext"/>
              <w:spacing w:before="20" w:after="20"/>
              <w:ind w:firstLine="0"/>
              <w:jc w:val="left"/>
            </w:pPr>
            <w:r>
              <w:rPr>
                <w:sz w:val="13"/>
              </w:rPr>
              <w:t>node</w:t>
            </w:r>
          </w:p>
        </w:tc>
        <w:tc>
          <w:tcPr>
            <w:tcW w:type="dxa" w:w="2324"/>
          </w:tcPr>
          <w:p>
            <w:pPr>
              <w:pStyle w:val="ICST-Tabletext"/>
              <w:spacing w:before="20" w:after="20"/>
              <w:ind w:firstLine="0"/>
              <w:jc w:val="left"/>
            </w:pPr>
            <w:r>
              <w:rPr>
                <w:rFonts w:ascii="Courier New" w:hAnsi="Courier New"/>
                <w:sz w:val="12"/>
              </w:rPr>
              <w:t>ev_node_notready; node_ready_drop</w:t>
            </w:r>
          </w:p>
        </w:tc>
        <w:tc>
          <w:tcPr>
            <w:tcW w:type="dxa" w:w="1701"/>
          </w:tcPr>
          <w:p>
            <w:pPr>
              <w:pStyle w:val="ICST-Tabletext"/>
              <w:spacing w:before="20" w:after="20"/>
              <w:ind w:firstLine="0"/>
              <w:jc w:val="left"/>
            </w:pPr>
            <w:r>
              <w:rPr>
                <w:rFonts w:ascii="Courier New" w:hAnsi="Courier New"/>
                <w:sz w:val="12"/>
              </w:rPr>
              <w:t>node_pods_drop</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ev_scale_down</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diskIOHigh</w:t>
            </w:r>
          </w:p>
        </w:tc>
        <w:tc>
          <w:tcPr>
            <w:tcW w:type="dxa" w:w="510"/>
          </w:tcPr>
          <w:p>
            <w:pPr>
              <w:pStyle w:val="ICST-Tabletext"/>
              <w:spacing w:before="20" w:after="20"/>
              <w:ind w:firstLine="0"/>
              <w:jc w:val="left"/>
            </w:pPr>
            <w:r>
              <w:rPr>
                <w:sz w:val="13"/>
              </w:rPr>
              <w:t>any</w:t>
            </w:r>
          </w:p>
        </w:tc>
        <w:tc>
          <w:tcPr>
            <w:tcW w:type="dxa" w:w="2324"/>
          </w:tcPr>
          <w:p>
            <w:pPr>
              <w:pStyle w:val="ICST-Tabletext"/>
              <w:spacing w:before="20" w:after="20"/>
              <w:ind w:firstLine="0"/>
              <w:jc w:val="left"/>
            </w:pPr>
            <w:r>
              <w:rPr>
                <w:rFonts w:ascii="Courier New" w:hAnsi="Courier New"/>
                <w:sz w:val="12"/>
              </w:rPr>
              <w:t>node_disk_rise; svc_disk_rise</w:t>
            </w:r>
          </w:p>
        </w:tc>
        <w:tc>
          <w:tcPr>
            <w:tcW w:type="dxa" w:w="1701"/>
          </w:tcPr>
          <w:p>
            <w:pPr>
              <w:pStyle w:val="ICST-Tabletext"/>
              <w:spacing w:before="20" w:after="20"/>
              <w:ind w:firstLine="0"/>
              <w:jc w:val="left"/>
            </w:pPr>
            <w:r>
              <w:rPr>
                <w:rFonts w:ascii="Courier New" w:hAnsi="Courier New"/>
                <w:sz w:val="12"/>
              </w:rPr>
              <w:t>svc_latency_rise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Borders>
              <w:top w:val="single" w:sz="4" w:color="000000"/>
            </w:tcBorders>
          </w:tcPr>
          <w:p>
            <w:pPr>
              <w:pStyle w:val="ICST-Tabletext"/>
              <w:spacing w:before="20" w:after="20"/>
              <w:ind w:firstLine="0"/>
              <w:jc w:val="left"/>
            </w:pPr>
            <w:r>
              <w:rPr>
                <w:sz w:val="13"/>
              </w:rPr>
              <w:t>K8s lifecycle</w:t>
            </w:r>
          </w:p>
        </w:tc>
        <w:tc>
          <w:tcPr>
            <w:tcW w:type="dxa" w:w="1701"/>
            <w:tcBorders>
              <w:top w:val="single" w:sz="4" w:color="000000"/>
            </w:tcBorders>
          </w:tcPr>
          <w:p>
            <w:pPr>
              <w:pStyle w:val="ICST-Tabletext"/>
              <w:spacing w:before="20" w:after="20"/>
              <w:ind w:firstLine="0"/>
              <w:jc w:val="left"/>
            </w:pPr>
            <w:r>
              <w:rPr>
                <w:sz w:val="13"/>
              </w:rPr>
              <w:t>podPendingUnschedulable</w:t>
            </w:r>
          </w:p>
        </w:tc>
        <w:tc>
          <w:tcPr>
            <w:tcW w:type="dxa" w:w="510"/>
            <w:tcBorders>
              <w:top w:val="single" w:sz="4" w:color="000000"/>
            </w:tcBorders>
          </w:tcPr>
          <w:p>
            <w:pPr>
              <w:pStyle w:val="ICST-Tabletext"/>
              <w:spacing w:before="20" w:after="20"/>
              <w:ind w:firstLine="0"/>
              <w:jc w:val="left"/>
            </w:pPr>
            <w:r>
              <w:rPr>
                <w:sz w:val="13"/>
              </w:rPr>
              <w:t>svc</w:t>
            </w:r>
          </w:p>
        </w:tc>
        <w:tc>
          <w:tcPr>
            <w:tcW w:type="dxa" w:w="2324"/>
            <w:tcBorders>
              <w:top w:val="single" w:sz="4" w:color="000000"/>
            </w:tcBorders>
          </w:tcPr>
          <w:p>
            <w:pPr>
              <w:pStyle w:val="ICST-Tabletext"/>
              <w:spacing w:before="20" w:after="20"/>
              <w:ind w:firstLine="0"/>
              <w:jc w:val="left"/>
            </w:pPr>
            <w:r>
              <w:rPr>
                <w:rFonts w:ascii="Courier New" w:hAnsi="Courier New"/>
                <w:sz w:val="12"/>
              </w:rPr>
              <w:t>ev_unschedulable</w:t>
            </w:r>
          </w:p>
        </w:tc>
        <w:tc>
          <w:tcPr>
            <w:tcW w:type="dxa" w:w="1701"/>
            <w:tcBorders>
              <w:top w:val="single" w:sz="4" w:color="000000"/>
            </w:tcBorders>
          </w:tcPr>
          <w:p>
            <w:pPr>
              <w:pStyle w:val="ICST-Tabletext"/>
              <w:spacing w:before="20" w:after="20"/>
              <w:ind w:firstLine="0"/>
              <w:jc w:val="left"/>
            </w:pPr>
            <w:r>
              <w:rPr>
                <w:rFonts w:ascii="Courier New" w:hAnsi="Courier New"/>
                <w:sz w:val="12"/>
              </w:rPr>
              <w:t>replica_drop</w:t>
            </w:r>
          </w:p>
        </w:tc>
        <w:tc>
          <w:tcPr>
            <w:tcW w:type="dxa" w:w="1247"/>
            <w:tcBorders>
              <w:top w:val="single" w:sz="4" w:color="000000"/>
            </w:tcBorders>
          </w:tcPr>
          <w:p>
            <w:pPr>
              <w:pStyle w:val="ICST-Tabletext"/>
              <w:spacing w:before="20" w:after="20"/>
              <w:ind w:firstLine="0"/>
              <w:jc w:val="left"/>
            </w:pPr>
            <w:r>
              <w:rPr>
                <w:rFonts w:ascii="Courier New" w:hAnsi="Courier New"/>
                <w:sz w:val="12"/>
              </w:rPr>
              <w:t>–</w:t>
            </w:r>
          </w:p>
        </w:tc>
        <w:tc>
          <w:tcPr>
            <w:tcW w:type="dxa" w:w="1304"/>
            <w:tcBorders>
              <w:top w:val="single" w:sz="4" w:color="000000"/>
            </w:tcBorders>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podCrashLoop</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ev_crashloop</w:t>
            </w:r>
          </w:p>
        </w:tc>
        <w:tc>
          <w:tcPr>
            <w:tcW w:type="dxa" w:w="1701"/>
          </w:tcPr>
          <w:p>
            <w:pPr>
              <w:pStyle w:val="ICST-Tabletext"/>
              <w:spacing w:before="20" w:after="20"/>
              <w:ind w:firstLine="0"/>
              <w:jc w:val="left"/>
            </w:pPr>
            <w:r>
              <w:rPr>
                <w:rFonts w:ascii="Courier New" w:hAnsi="Courier New"/>
                <w:sz w:val="12"/>
              </w:rPr>
              <w:t>ev_restart, svc_restart_rise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resourceLimitMisconfig</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ev_oom; svc_throttle_rise</w:t>
            </w:r>
          </w:p>
        </w:tc>
        <w:tc>
          <w:tcPr>
            <w:tcW w:type="dxa" w:w="1701"/>
          </w:tcPr>
          <w:p>
            <w:pPr>
              <w:pStyle w:val="ICST-Tabletext"/>
              <w:spacing w:before="20" w:after="20"/>
              <w:ind w:firstLine="0"/>
              <w:jc w:val="left"/>
            </w:pPr>
            <w:r>
              <w:rPr>
                <w:rFonts w:ascii="Courier New" w:hAnsi="Courier New"/>
                <w:sz w:val="12"/>
              </w:rPr>
              <w:t>ev_restart</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podRestartFlapping</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ev_unhealthy; ev_restart; svc_restart_rise</w:t>
            </w:r>
          </w:p>
        </w:tc>
        <w:tc>
          <w:tcPr>
            <w:tcW w:type="dxa" w:w="1701"/>
          </w:tcPr>
          <w:p>
            <w:pPr>
              <w:pStyle w:val="ICST-Tabletext"/>
              <w:spacing w:before="20" w:after="20"/>
              <w:ind w:firstLine="0"/>
              <w:jc w:val="left"/>
            </w:pPr>
            <w:r>
              <w:rPr>
                <w:rFonts w:ascii="Courier New" w:hAnsi="Courier New"/>
                <w:sz w:val="12"/>
              </w:rPr>
              <w:t>–</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ev_crashloop, ev_scale_down</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replicaScaleDown</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ev_scale_down; replica_drop; svc_avail_drop; svc_unavailable</w:t>
            </w:r>
          </w:p>
        </w:tc>
        <w:tc>
          <w:tcPr>
            <w:tcW w:type="dxa" w:w="1701"/>
          </w:tcPr>
          <w:p>
            <w:pPr>
              <w:pStyle w:val="ICST-Tabletext"/>
              <w:spacing w:before="20" w:after="20"/>
              <w:ind w:firstLine="0"/>
              <w:jc w:val="left"/>
            </w:pPr>
            <w:r>
              <w:rPr>
                <w:rFonts w:ascii="Courier New" w:hAnsi="Courier New"/>
                <w:sz w:val="12"/>
              </w:rPr>
              <w:t>http503, msg_refused, svc_request_drop</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ev_crashloop, ev_unschedulable</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networkPolicyIsolation</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msg_netpol; msg_timeout|msg_refused</w:t>
            </w:r>
          </w:p>
        </w:tc>
        <w:tc>
          <w:tcPr>
            <w:tcW w:type="dxa" w:w="1701"/>
          </w:tcPr>
          <w:p>
            <w:pPr>
              <w:pStyle w:val="ICST-Tabletext"/>
              <w:spacing w:before="20" w:after="20"/>
              <w:ind w:firstLine="0"/>
              <w:jc w:val="left"/>
            </w:pPr>
            <w:r>
              <w:rPr>
                <w:rFonts w:ascii="Courier New" w:hAnsi="Courier New"/>
                <w:sz w:val="12"/>
              </w:rPr>
              <w:t>error_spans</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ev_restart, ev_crashloop, ev_scale_down, msg_dns</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dnsResolutionFailure</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msg_dns; log_dns_rise</w:t>
            </w:r>
          </w:p>
        </w:tc>
        <w:tc>
          <w:tcPr>
            <w:tcW w:type="dxa" w:w="1701"/>
          </w:tcPr>
          <w:p>
            <w:pPr>
              <w:pStyle w:val="ICST-Tabletext"/>
              <w:spacing w:before="20" w:after="20"/>
              <w:ind w:firstLine="0"/>
              <w:jc w:val="left"/>
            </w:pPr>
            <w:r>
              <w:rPr>
                <w:rFonts w:ascii="Courier New" w:hAnsi="Courier New"/>
                <w:sz w:val="12"/>
              </w:rPr>
              <w:t>error_spans</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loadBalancerFailure</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msg_lb; http503</w:t>
            </w:r>
          </w:p>
        </w:tc>
        <w:tc>
          <w:tcPr>
            <w:tcW w:type="dxa" w:w="1701"/>
          </w:tcPr>
          <w:p>
            <w:pPr>
              <w:pStyle w:val="ICST-Tabletext"/>
              <w:spacing w:before="20" w:after="20"/>
              <w:ind w:firstLine="0"/>
              <w:jc w:val="left"/>
            </w:pPr>
            <w:r>
              <w:rPr>
                <w:rFonts w:ascii="Courier New" w:hAnsi="Courier New"/>
                <w:sz w:val="12"/>
              </w:rPr>
              <w:t>http5xx</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ev_scale_down, replica_drop</w:t>
            </w:r>
          </w:p>
        </w:tc>
      </w:tr>
      <w:tr>
        <w:trPr>
          <w:cantSplit/>
        </w:trPr>
        <w:tc>
          <w:tcPr>
            <w:tcW w:type="dxa" w:w="1191"/>
            <w:tcBorders>
              <w:top w:val="single" w:sz="4" w:color="000000"/>
            </w:tcBorders>
          </w:tcPr>
          <w:p>
            <w:pPr>
              <w:pStyle w:val="ICST-Tabletext"/>
              <w:spacing w:before="20" w:after="20"/>
              <w:ind w:firstLine="0"/>
              <w:jc w:val="left"/>
            </w:pPr>
            <w:r>
              <w:rPr>
                <w:sz w:val="13"/>
              </w:rPr>
              <w:t>Application logic</w:t>
            </w:r>
          </w:p>
        </w:tc>
        <w:tc>
          <w:tcPr>
            <w:tcW w:type="dxa" w:w="1701"/>
            <w:tcBorders>
              <w:top w:val="single" w:sz="4" w:color="000000"/>
            </w:tcBorders>
          </w:tcPr>
          <w:p>
            <w:pPr>
              <w:pStyle w:val="ICST-Tabletext"/>
              <w:spacing w:before="20" w:after="20"/>
              <w:ind w:firstLine="0"/>
              <w:jc w:val="left"/>
            </w:pPr>
            <w:r>
              <w:rPr>
                <w:sz w:val="13"/>
              </w:rPr>
              <w:t>nullPointerException</w:t>
            </w:r>
          </w:p>
        </w:tc>
        <w:tc>
          <w:tcPr>
            <w:tcW w:type="dxa" w:w="510"/>
            <w:tcBorders>
              <w:top w:val="single" w:sz="4" w:color="000000"/>
            </w:tcBorders>
          </w:tcPr>
          <w:p>
            <w:pPr>
              <w:pStyle w:val="ICST-Tabletext"/>
              <w:spacing w:before="20" w:after="20"/>
              <w:ind w:firstLine="0"/>
              <w:jc w:val="left"/>
            </w:pPr>
            <w:r>
              <w:rPr>
                <w:sz w:val="13"/>
              </w:rPr>
              <w:t>svc</w:t>
            </w:r>
          </w:p>
        </w:tc>
        <w:tc>
          <w:tcPr>
            <w:tcW w:type="dxa" w:w="2324"/>
            <w:tcBorders>
              <w:top w:val="single" w:sz="4" w:color="000000"/>
            </w:tcBorders>
          </w:tcPr>
          <w:p>
            <w:pPr>
              <w:pStyle w:val="ICST-Tabletext"/>
              <w:spacing w:before="20" w:after="20"/>
              <w:ind w:firstLine="0"/>
              <w:jc w:val="left"/>
            </w:pPr>
            <w:r>
              <w:rPr>
                <w:rFonts w:ascii="Courier New" w:hAnsi="Courier New"/>
                <w:sz w:val="12"/>
              </w:rPr>
              <w:t>msg_npe; log_npe_rise</w:t>
            </w:r>
          </w:p>
        </w:tc>
        <w:tc>
          <w:tcPr>
            <w:tcW w:type="dxa" w:w="1701"/>
            <w:tcBorders>
              <w:top w:val="single" w:sz="4" w:color="000000"/>
            </w:tcBorders>
          </w:tcPr>
          <w:p>
            <w:pPr>
              <w:pStyle w:val="ICST-Tabletext"/>
              <w:spacing w:before="20" w:after="20"/>
              <w:ind w:firstLine="0"/>
              <w:jc w:val="left"/>
            </w:pPr>
            <w:r>
              <w:rPr>
                <w:rFonts w:ascii="Courier New" w:hAnsi="Courier New"/>
                <w:sz w:val="12"/>
              </w:rPr>
              <w:t>http5xx, error_spans</w:t>
            </w:r>
          </w:p>
        </w:tc>
        <w:tc>
          <w:tcPr>
            <w:tcW w:type="dxa" w:w="1247"/>
            <w:tcBorders>
              <w:top w:val="single" w:sz="4" w:color="000000"/>
            </w:tcBorders>
          </w:tcPr>
          <w:p>
            <w:pPr>
              <w:pStyle w:val="ICST-Tabletext"/>
              <w:spacing w:before="20" w:after="20"/>
              <w:ind w:firstLine="0"/>
              <w:jc w:val="left"/>
            </w:pPr>
            <w:r>
              <w:rPr>
                <w:rFonts w:ascii="Courier New" w:hAnsi="Courier New"/>
                <w:sz w:val="12"/>
              </w:rPr>
              <w:t>–</w:t>
            </w:r>
          </w:p>
        </w:tc>
        <w:tc>
          <w:tcPr>
            <w:tcW w:type="dxa" w:w="1304"/>
            <w:tcBorders>
              <w:top w:val="single" w:sz="4" w:color="000000"/>
            </w:tcBorders>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rateLimiting</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http429; msg_ratelimit; log_ratelimit_rise; http403&amp;msg_ratelimit</w:t>
            </w:r>
          </w:p>
        </w:tc>
        <w:tc>
          <w:tcPr>
            <w:tcW w:type="dxa" w:w="1701"/>
          </w:tcPr>
          <w:p>
            <w:pPr>
              <w:pStyle w:val="ICST-Tabletext"/>
              <w:spacing w:before="20" w:after="20"/>
              <w:ind w:firstLine="0"/>
              <w:jc w:val="left"/>
            </w:pPr>
            <w:r>
              <w:rPr>
                <w:rFonts w:ascii="Courier New" w:hAnsi="Courier New"/>
                <w:sz w:val="12"/>
              </w:rPr>
              <w:t>http403</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trafficSurge</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svc_request_rise</w:t>
            </w:r>
          </w:p>
        </w:tc>
        <w:tc>
          <w:tcPr>
            <w:tcW w:type="dxa" w:w="1701"/>
          </w:tcPr>
          <w:p>
            <w:pPr>
              <w:pStyle w:val="ICST-Tabletext"/>
              <w:spacing w:before="20" w:after="20"/>
              <w:ind w:firstLine="0"/>
              <w:jc w:val="left"/>
            </w:pPr>
            <w:r>
              <w:rPr>
                <w:rFonts w:ascii="Courier New" w:hAnsi="Courier New"/>
                <w:sz w:val="12"/>
              </w:rPr>
              <w:t>svc_latency_rise, svc_cpu_rise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trafficHotspot</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op_request_rise</w:t>
            </w:r>
          </w:p>
        </w:tc>
        <w:tc>
          <w:tcPr>
            <w:tcW w:type="dxa" w:w="1701"/>
          </w:tcPr>
          <w:p>
            <w:pPr>
              <w:pStyle w:val="ICST-Tabletext"/>
              <w:spacing w:before="20" w:after="20"/>
              <w:ind w:firstLine="0"/>
              <w:jc w:val="left"/>
            </w:pPr>
            <w:r>
              <w:rPr>
                <w:rFonts w:ascii="Courier New" w:hAnsi="Courier New"/>
                <w:sz w:val="12"/>
              </w:rPr>
              <w:t>–</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svc_request_rise</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httpError5xx (residual)</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http5xx</w:t>
            </w:r>
          </w:p>
        </w:tc>
        <w:tc>
          <w:tcPr>
            <w:tcW w:type="dxa" w:w="1701"/>
          </w:tcPr>
          <w:p>
            <w:pPr>
              <w:pStyle w:val="ICST-Tabletext"/>
              <w:spacing w:before="20" w:after="20"/>
              <w:ind w:firstLine="0"/>
              <w:jc w:val="left"/>
            </w:pPr>
            <w:r>
              <w:rPr>
                <w:rFonts w:ascii="Courier New" w:hAnsi="Courier New"/>
                <w:sz w:val="12"/>
              </w:rPr>
              <w:t>error_spans, svc_error_rise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codeDefect (residual)</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error_spans</w:t>
            </w:r>
          </w:p>
        </w:tc>
        <w:tc>
          <w:tcPr>
            <w:tcW w:type="dxa" w:w="1701"/>
          </w:tcPr>
          <w:p>
            <w:pPr>
              <w:pStyle w:val="ICST-Tabletext"/>
              <w:spacing w:before="20" w:after="20"/>
              <w:ind w:firstLine="0"/>
              <w:jc w:val="left"/>
            </w:pPr>
            <w:r>
              <w:rPr>
                <w:rFonts w:ascii="Courier New" w:hAnsi="Courier New"/>
                <w:sz w:val="12"/>
              </w:rPr>
              <w:t>svc_error_rise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Borders>
              <w:top w:val="single" w:sz="4" w:color="000000"/>
            </w:tcBorders>
          </w:tcPr>
          <w:p>
            <w:pPr>
              <w:pStyle w:val="ICST-Tabletext"/>
              <w:spacing w:before="20" w:after="20"/>
              <w:ind w:firstLine="0"/>
              <w:jc w:val="left"/>
            </w:pPr>
            <w:r>
              <w:rPr>
                <w:sz w:val="13"/>
              </w:rPr>
              <w:t>Middleware &amp; DB</w:t>
            </w:r>
          </w:p>
        </w:tc>
        <w:tc>
          <w:tcPr>
            <w:tcW w:type="dxa" w:w="1701"/>
            <w:tcBorders>
              <w:top w:val="single" w:sz="4" w:color="000000"/>
            </w:tcBorders>
          </w:tcPr>
          <w:p>
            <w:pPr>
              <w:pStyle w:val="ICST-Tabletext"/>
              <w:spacing w:before="20" w:after="20"/>
              <w:ind w:firstLine="0"/>
              <w:jc w:val="left"/>
            </w:pPr>
            <w:r>
              <w:rPr>
                <w:sz w:val="13"/>
              </w:rPr>
              <w:t>redisUnavailable</w:t>
            </w:r>
          </w:p>
        </w:tc>
        <w:tc>
          <w:tcPr>
            <w:tcW w:type="dxa" w:w="510"/>
            <w:tcBorders>
              <w:top w:val="single" w:sz="4" w:color="000000"/>
            </w:tcBorders>
          </w:tcPr>
          <w:p>
            <w:pPr>
              <w:pStyle w:val="ICST-Tabletext"/>
              <w:spacing w:before="20" w:after="20"/>
              <w:ind w:firstLine="0"/>
              <w:jc w:val="left"/>
            </w:pPr>
            <w:r>
              <w:rPr>
                <w:sz w:val="13"/>
              </w:rPr>
              <w:t>svc</w:t>
            </w:r>
          </w:p>
        </w:tc>
        <w:tc>
          <w:tcPr>
            <w:tcW w:type="dxa" w:w="2324"/>
            <w:tcBorders>
              <w:top w:val="single" w:sz="4" w:color="000000"/>
            </w:tcBorders>
          </w:tcPr>
          <w:p>
            <w:pPr>
              <w:pStyle w:val="ICST-Tabletext"/>
              <w:spacing w:before="20" w:after="20"/>
              <w:ind w:firstLine="0"/>
              <w:jc w:val="left"/>
            </w:pPr>
            <w:r>
              <w:rPr>
                <w:rFonts w:ascii="Courier New" w:hAnsi="Courier New"/>
                <w:sz w:val="12"/>
              </w:rPr>
              <w:t>redis_err; msg_redis</w:t>
            </w:r>
          </w:p>
        </w:tc>
        <w:tc>
          <w:tcPr>
            <w:tcW w:type="dxa" w:w="1701"/>
            <w:tcBorders>
              <w:top w:val="single" w:sz="4" w:color="000000"/>
            </w:tcBorders>
          </w:tcPr>
          <w:p>
            <w:pPr>
              <w:pStyle w:val="ICST-Tabletext"/>
              <w:spacing w:before="20" w:after="20"/>
              <w:ind w:firstLine="0"/>
              <w:jc w:val="left"/>
            </w:pPr>
            <w:r>
              <w:rPr>
                <w:rFonts w:ascii="Courier New" w:hAnsi="Courier New"/>
                <w:sz w:val="12"/>
              </w:rPr>
              <w:t>msg_refused, msg_timeout</w:t>
            </w:r>
          </w:p>
        </w:tc>
        <w:tc>
          <w:tcPr>
            <w:tcW w:type="dxa" w:w="1247"/>
            <w:tcBorders>
              <w:top w:val="single" w:sz="4" w:color="000000"/>
            </w:tcBorders>
          </w:tcPr>
          <w:p>
            <w:pPr>
              <w:pStyle w:val="ICST-Tabletext"/>
              <w:spacing w:before="20" w:after="20"/>
              <w:ind w:firstLine="0"/>
              <w:jc w:val="left"/>
            </w:pPr>
            <w:r>
              <w:rPr>
                <w:rFonts w:ascii="Courier New" w:hAnsi="Courier New"/>
                <w:sz w:val="12"/>
              </w:rPr>
              <w:t>–</w:t>
            </w:r>
          </w:p>
        </w:tc>
        <w:tc>
          <w:tcPr>
            <w:tcW w:type="dxa" w:w="1304"/>
            <w:tcBorders>
              <w:top w:val="single" w:sz="4" w:color="000000"/>
            </w:tcBorders>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cacheBreakdown</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msg_cache; redis_slow&amp;db_slow</w:t>
            </w:r>
          </w:p>
        </w:tc>
        <w:tc>
          <w:tcPr>
            <w:tcW w:type="dxa" w:w="1701"/>
          </w:tcPr>
          <w:p>
            <w:pPr>
              <w:pStyle w:val="ICST-Tabletext"/>
              <w:spacing w:before="20" w:after="20"/>
              <w:ind w:firstLine="0"/>
              <w:jc w:val="left"/>
            </w:pPr>
            <w:r>
              <w:rPr>
                <w:rFonts w:ascii="Courier New" w:hAnsi="Courier New"/>
                <w:sz w:val="12"/>
              </w:rPr>
              <w:t>db_slow, svc_request_rise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redis_err</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slowSQL</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db_slow</w:t>
            </w:r>
          </w:p>
        </w:tc>
        <w:tc>
          <w:tcPr>
            <w:tcW w:type="dxa" w:w="1701"/>
          </w:tcPr>
          <w:p>
            <w:pPr>
              <w:pStyle w:val="ICST-Tabletext"/>
              <w:spacing w:before="20" w:after="20"/>
              <w:ind w:firstLine="0"/>
              <w:jc w:val="left"/>
            </w:pPr>
            <w:r>
              <w:rPr>
                <w:rFonts w:ascii="Courier New" w:hAnsi="Courier New"/>
                <w:sz w:val="12"/>
              </w:rPr>
              <w:t>svc_latency_rise, msg_sql</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db_err</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dbNetworkLatency</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db_slow; db_err&amp;msg_timeout</w:t>
            </w:r>
          </w:p>
        </w:tc>
        <w:tc>
          <w:tcPr>
            <w:tcW w:type="dxa" w:w="1701"/>
          </w:tcPr>
          <w:p>
            <w:pPr>
              <w:pStyle w:val="ICST-Tabletext"/>
              <w:spacing w:before="20" w:after="20"/>
              <w:ind w:firstLine="0"/>
              <w:jc w:val="left"/>
            </w:pPr>
            <w:r>
              <w:rPr>
                <w:rFonts w:ascii="Courier New" w:hAnsi="Courier New"/>
                <w:sz w:val="12"/>
              </w:rPr>
              <w:t>svc_latency_rise, msg_timeout</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messageQueueBacklog</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queue_slow; queue_err; msg_queue; log_queue_rise</w:t>
            </w:r>
          </w:p>
        </w:tc>
        <w:tc>
          <w:tcPr>
            <w:tcW w:type="dxa" w:w="1701"/>
          </w:tcPr>
          <w:p>
            <w:pPr>
              <w:pStyle w:val="ICST-Tabletext"/>
              <w:spacing w:before="20" w:after="20"/>
              <w:ind w:firstLine="0"/>
              <w:jc w:val="left"/>
            </w:pPr>
            <w:r>
              <w:rPr>
                <w:rFonts w:ascii="Courier New" w:hAnsi="Courier New"/>
                <w:sz w:val="12"/>
              </w:rPr>
              <w:t>svc_latency_rise</w:t>
            </w:r>
          </w:p>
        </w:tc>
        <w:tc>
          <w:tcPr>
            <w:tcW w:type="dxa" w:w="1247"/>
          </w:tcPr>
          <w:p>
            <w:pPr>
              <w:pStyle w:val="ICST-Tabletext"/>
              <w:spacing w:before="20" w:after="20"/>
              <w:ind w:firstLine="0"/>
              <w:jc w:val="left"/>
            </w:pPr>
            <w:r>
              <w:rPr>
                <w:rFonts w:ascii="Courier New" w:hAnsi="Courier New"/>
                <w:sz w:val="12"/>
              </w:rPr>
              <w: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Borders>
              <w:top w:val="single" w:sz="4" w:color="000000"/>
            </w:tcBorders>
          </w:tcPr>
          <w:p>
            <w:pPr>
              <w:pStyle w:val="ICST-Tabletext"/>
              <w:spacing w:before="20" w:after="20"/>
              <w:ind w:firstLine="0"/>
              <w:jc w:val="left"/>
            </w:pPr>
            <w:r>
              <w:rPr>
                <w:sz w:val="13"/>
              </w:rPr>
              <w:t>JVM runtime</w:t>
            </w:r>
          </w:p>
        </w:tc>
        <w:tc>
          <w:tcPr>
            <w:tcW w:type="dxa" w:w="1701"/>
            <w:tcBorders>
              <w:top w:val="single" w:sz="4" w:color="000000"/>
            </w:tcBorders>
          </w:tcPr>
          <w:p>
            <w:pPr>
              <w:pStyle w:val="ICST-Tabletext"/>
              <w:spacing w:before="20" w:after="20"/>
              <w:ind w:firstLine="0"/>
              <w:jc w:val="left"/>
            </w:pPr>
            <w:r>
              <w:rPr>
                <w:sz w:val="13"/>
              </w:rPr>
              <w:t>fullGC</w:t>
            </w:r>
          </w:p>
        </w:tc>
        <w:tc>
          <w:tcPr>
            <w:tcW w:type="dxa" w:w="510"/>
            <w:tcBorders>
              <w:top w:val="single" w:sz="4" w:color="000000"/>
            </w:tcBorders>
          </w:tcPr>
          <w:p>
            <w:pPr>
              <w:pStyle w:val="ICST-Tabletext"/>
              <w:spacing w:before="20" w:after="20"/>
              <w:ind w:firstLine="0"/>
              <w:jc w:val="left"/>
            </w:pPr>
            <w:r>
              <w:rPr>
                <w:sz w:val="13"/>
              </w:rPr>
              <w:t>svc</w:t>
            </w:r>
          </w:p>
        </w:tc>
        <w:tc>
          <w:tcPr>
            <w:tcW w:type="dxa" w:w="2324"/>
            <w:tcBorders>
              <w:top w:val="single" w:sz="4" w:color="000000"/>
            </w:tcBorders>
          </w:tcPr>
          <w:p>
            <w:pPr>
              <w:pStyle w:val="ICST-Tabletext"/>
              <w:spacing w:before="20" w:after="20"/>
              <w:ind w:firstLine="0"/>
              <w:jc w:val="left"/>
            </w:pPr>
            <w:r>
              <w:rPr>
                <w:rFonts w:ascii="Courier New" w:hAnsi="Courier New"/>
                <w:sz w:val="12"/>
              </w:rPr>
              <w:t>svc_gc_rise</w:t>
            </w:r>
          </w:p>
        </w:tc>
        <w:tc>
          <w:tcPr>
            <w:tcW w:type="dxa" w:w="1701"/>
            <w:tcBorders>
              <w:top w:val="single" w:sz="4" w:color="000000"/>
            </w:tcBorders>
          </w:tcPr>
          <w:p>
            <w:pPr>
              <w:pStyle w:val="ICST-Tabletext"/>
              <w:spacing w:before="20" w:after="20"/>
              <w:ind w:firstLine="0"/>
              <w:jc w:val="left"/>
            </w:pPr>
            <w:r>
              <w:rPr>
                <w:rFonts w:ascii="Courier New" w:hAnsi="Courier New"/>
                <w:sz w:val="12"/>
              </w:rPr>
              <w:t>log_gc_rise, msg_gc, svc_latency_rise</w:t>
            </w:r>
          </w:p>
        </w:tc>
        <w:tc>
          <w:tcPr>
            <w:tcW w:type="dxa" w:w="1247"/>
            <w:tcBorders>
              <w:top w:val="single" w:sz="4" w:color="000000"/>
            </w:tcBorders>
          </w:tcPr>
          <w:p>
            <w:pPr>
              <w:pStyle w:val="ICST-Tabletext"/>
              <w:spacing w:before="20" w:after="20"/>
              <w:ind w:firstLine="0"/>
              <w:jc w:val="left"/>
            </w:pPr>
            <w:r>
              <w:rPr>
                <w:rFonts w:ascii="Courier New" w:hAnsi="Courier New"/>
                <w:sz w:val="12"/>
              </w:rPr>
              <w:t>ev_oom, ev_unhealthy, ev_restart</w:t>
            </w:r>
          </w:p>
        </w:tc>
        <w:tc>
          <w:tcPr>
            <w:tcW w:type="dxa" w:w="1304"/>
            <w:tcBorders>
              <w:top w:val="single" w:sz="4" w:color="000000"/>
            </w:tcBorders>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memoryPressure</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svc_mem_rise</w:t>
            </w:r>
          </w:p>
        </w:tc>
        <w:tc>
          <w:tcPr>
            <w:tcW w:type="dxa" w:w="1701"/>
          </w:tcPr>
          <w:p>
            <w:pPr>
              <w:pStyle w:val="ICST-Tabletext"/>
              <w:spacing w:before="20" w:after="20"/>
              <w:ind w:firstLine="0"/>
              <w:jc w:val="left"/>
            </w:pPr>
            <w:r>
              <w:rPr>
                <w:rFonts w:ascii="Courier New" w:hAnsi="Courier New"/>
                <w:sz w:val="12"/>
              </w:rPr>
              <w:t>svc_gc_rise, svc_cpu_rise</w:t>
            </w:r>
          </w:p>
        </w:tc>
        <w:tc>
          <w:tcPr>
            <w:tcW w:type="dxa" w:w="1247"/>
          </w:tcPr>
          <w:p>
            <w:pPr>
              <w:pStyle w:val="ICST-Tabletext"/>
              <w:spacing w:before="20" w:after="20"/>
              <w:ind w:firstLine="0"/>
              <w:jc w:val="left"/>
            </w:pPr>
            <w:r>
              <w:rPr>
                <w:rFonts w:ascii="Courier New" w:hAnsi="Courier New"/>
                <w:sz w:val="12"/>
              </w:rPr>
              <w:t>ev_oom, ev_restart, ev_unhealthy</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threadExhaustion</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svc_thread_rise; msg_thread; log_thread_rise</w:t>
            </w:r>
          </w:p>
        </w:tc>
        <w:tc>
          <w:tcPr>
            <w:tcW w:type="dxa" w:w="1701"/>
          </w:tcPr>
          <w:p>
            <w:pPr>
              <w:pStyle w:val="ICST-Tabletext"/>
              <w:spacing w:before="20" w:after="20"/>
              <w:ind w:firstLine="0"/>
              <w:jc w:val="left"/>
            </w:pPr>
            <w:r>
              <w:rPr>
                <w:rFonts w:ascii="Courier New" w:hAnsi="Courier New"/>
                <w:sz w:val="12"/>
              </w:rPr>
              <w:t>msg_timeout, svc_latency_rise</w:t>
            </w:r>
          </w:p>
        </w:tc>
        <w:tc>
          <w:tcPr>
            <w:tcW w:type="dxa" w:w="1247"/>
          </w:tcPr>
          <w:p>
            <w:pPr>
              <w:pStyle w:val="ICST-Tabletext"/>
              <w:spacing w:before="20" w:after="20"/>
              <w:ind w:firstLine="0"/>
              <w:jc w:val="left"/>
            </w:pPr>
            <w:r>
              <w:rPr>
                <w:rFonts w:ascii="Courier New" w:hAnsi="Courier New"/>
                <w:sz w:val="12"/>
              </w:rPr>
              <w:t>ev_unhealthy, ev_restart</w:t>
            </w:r>
          </w:p>
        </w:tc>
        <w:tc>
          <w:tcPr>
            <w:tcW w:type="dxa" w:w="1304"/>
          </w:tcPr>
          <w:p>
            <w:pPr>
              <w:pStyle w:val="ICST-Tabletext"/>
              <w:spacing w:before="20" w:after="20"/>
              <w:ind w:firstLine="0"/>
              <w:jc w:val="left"/>
            </w:pPr>
            <w:r>
              <w:rPr>
                <w:rFonts w:ascii="Courier New" w:hAnsi="Courier New"/>
                <w:sz w:val="12"/>
              </w:rPr>
              <w:t>–</w:t>
            </w:r>
          </w:p>
        </w:tc>
      </w:tr>
      <w:tr>
        <w:trPr>
          <w:cantSplit/>
        </w:trPr>
        <w:tc>
          <w:tcPr>
            <w:tcW w:type="dxa" w:w="1191"/>
            <w:tcBorders>
              <w:top w:val="single" w:sz="4" w:color="000000"/>
            </w:tcBorders>
          </w:tcPr>
          <w:p>
            <w:pPr>
              <w:pStyle w:val="ICST-Tabletext"/>
              <w:spacing w:before="20" w:after="20"/>
              <w:ind w:firstLine="0"/>
              <w:jc w:val="left"/>
            </w:pPr>
            <w:r>
              <w:rPr>
                <w:sz w:val="13"/>
              </w:rPr>
              <w:t>Resource &amp; perf.</w:t>
            </w:r>
          </w:p>
        </w:tc>
        <w:tc>
          <w:tcPr>
            <w:tcW w:type="dxa" w:w="1701"/>
            <w:tcBorders>
              <w:top w:val="single" w:sz="4" w:color="000000"/>
            </w:tcBorders>
          </w:tcPr>
          <w:p>
            <w:pPr>
              <w:pStyle w:val="ICST-Tabletext"/>
              <w:spacing w:before="20" w:after="20"/>
              <w:ind w:firstLine="0"/>
              <w:jc w:val="left"/>
            </w:pPr>
            <w:r>
              <w:rPr>
                <w:sz w:val="13"/>
              </w:rPr>
              <w:t>cpuFullLoad</w:t>
            </w:r>
          </w:p>
        </w:tc>
        <w:tc>
          <w:tcPr>
            <w:tcW w:type="dxa" w:w="510"/>
            <w:tcBorders>
              <w:top w:val="single" w:sz="4" w:color="000000"/>
            </w:tcBorders>
          </w:tcPr>
          <w:p>
            <w:pPr>
              <w:pStyle w:val="ICST-Tabletext"/>
              <w:spacing w:before="20" w:after="20"/>
              <w:ind w:firstLine="0"/>
              <w:jc w:val="left"/>
            </w:pPr>
            <w:r>
              <w:rPr>
                <w:sz w:val="13"/>
              </w:rPr>
              <w:t>svc</w:t>
            </w:r>
          </w:p>
        </w:tc>
        <w:tc>
          <w:tcPr>
            <w:tcW w:type="dxa" w:w="2324"/>
            <w:tcBorders>
              <w:top w:val="single" w:sz="4" w:color="000000"/>
            </w:tcBorders>
          </w:tcPr>
          <w:p>
            <w:pPr>
              <w:pStyle w:val="ICST-Tabletext"/>
              <w:spacing w:before="20" w:after="20"/>
              <w:ind w:firstLine="0"/>
              <w:jc w:val="left"/>
            </w:pPr>
            <w:r>
              <w:rPr>
                <w:rFonts w:ascii="Courier New" w:hAnsi="Courier New"/>
                <w:sz w:val="12"/>
              </w:rPr>
              <w:t>svc_cpu_rise</w:t>
            </w:r>
          </w:p>
        </w:tc>
        <w:tc>
          <w:tcPr>
            <w:tcW w:type="dxa" w:w="1701"/>
            <w:tcBorders>
              <w:top w:val="single" w:sz="4" w:color="000000"/>
            </w:tcBorders>
          </w:tcPr>
          <w:p>
            <w:pPr>
              <w:pStyle w:val="ICST-Tabletext"/>
              <w:spacing w:before="20" w:after="20"/>
              <w:ind w:firstLine="0"/>
              <w:jc w:val="left"/>
            </w:pPr>
            <w:r>
              <w:rPr>
                <w:rFonts w:ascii="Courier New" w:hAnsi="Courier New"/>
                <w:sz w:val="12"/>
              </w:rPr>
              <w:t>svc_latency_rise</w:t>
            </w:r>
          </w:p>
        </w:tc>
        <w:tc>
          <w:tcPr>
            <w:tcW w:type="dxa" w:w="1247"/>
            <w:tcBorders>
              <w:top w:val="single" w:sz="4" w:color="000000"/>
            </w:tcBorders>
          </w:tcPr>
          <w:p>
            <w:pPr>
              <w:pStyle w:val="ICST-Tabletext"/>
              <w:spacing w:before="20" w:after="20"/>
              <w:ind w:firstLine="0"/>
              <w:jc w:val="left"/>
            </w:pPr>
            <w:r>
              <w:rPr>
                <w:rFonts w:ascii="Courier New" w:hAnsi="Courier New"/>
                <w:sz w:val="12"/>
              </w:rPr>
              <w:t>ev_unhealthy, ev_restart</w:t>
            </w:r>
          </w:p>
        </w:tc>
        <w:tc>
          <w:tcPr>
            <w:tcW w:type="dxa" w:w="1304"/>
            <w:tcBorders>
              <w:top w:val="single" w:sz="4" w:color="000000"/>
            </w:tcBorders>
          </w:tcPr>
          <w:p>
            <w:pPr>
              <w:pStyle w:val="ICST-Tabletext"/>
              <w:spacing w:before="20" w:after="20"/>
              <w:ind w:firstLine="0"/>
              <w:jc w:val="left"/>
            </w:pPr>
            <w:r>
              <w:rPr>
                <w:rFonts w:ascii="Courier New" w:hAnsi="Courier New"/>
                <w:sz w:val="12"/>
              </w:rPr>
              <w:t>svc_request_rise</w:t>
            </w:r>
          </w:p>
        </w:tc>
      </w:tr>
      <w:tr>
        <w:trPr>
          <w:cantSplit/>
        </w:trPr>
        <w:tc>
          <w:tcPr>
            <w:tcW w:type="dxa" w:w="1191"/>
          </w:tcPr>
          <w:p>
            <w:pPr>
              <w:pStyle w:val="ICST-Tabletext"/>
              <w:spacing w:before="20" w:after="20"/>
              <w:ind w:firstLine="0"/>
              <w:jc w:val="left"/>
            </w:pPr>
          </w:p>
        </w:tc>
        <w:tc>
          <w:tcPr>
            <w:tcW w:type="dxa" w:w="1701"/>
          </w:tcPr>
          <w:p>
            <w:pPr>
              <w:pStyle w:val="ICST-Tabletext"/>
              <w:spacing w:before="20" w:after="20"/>
              <w:ind w:firstLine="0"/>
              <w:jc w:val="left"/>
            </w:pPr>
            <w:r>
              <w:rPr>
                <w:sz w:val="13"/>
              </w:rPr>
              <w:t>cpuDeadLoop</w:t>
            </w:r>
          </w:p>
        </w:tc>
        <w:tc>
          <w:tcPr>
            <w:tcW w:type="dxa" w:w="510"/>
          </w:tcPr>
          <w:p>
            <w:pPr>
              <w:pStyle w:val="ICST-Tabletext"/>
              <w:spacing w:before="20" w:after="20"/>
              <w:ind w:firstLine="0"/>
              <w:jc w:val="left"/>
            </w:pPr>
            <w:r>
              <w:rPr>
                <w:sz w:val="13"/>
              </w:rPr>
              <w:t>svc</w:t>
            </w:r>
          </w:p>
        </w:tc>
        <w:tc>
          <w:tcPr>
            <w:tcW w:type="dxa" w:w="2324"/>
          </w:tcPr>
          <w:p>
            <w:pPr>
              <w:pStyle w:val="ICST-Tabletext"/>
              <w:spacing w:before="20" w:after="20"/>
              <w:ind w:firstLine="0"/>
              <w:jc w:val="left"/>
            </w:pPr>
            <w:r>
              <w:rPr>
                <w:rFonts w:ascii="Courier New" w:hAnsi="Courier New"/>
                <w:sz w:val="12"/>
              </w:rPr>
              <w:t>svc_cpu_rise</w:t>
            </w:r>
          </w:p>
        </w:tc>
        <w:tc>
          <w:tcPr>
            <w:tcW w:type="dxa" w:w="1701"/>
          </w:tcPr>
          <w:p>
            <w:pPr>
              <w:pStyle w:val="ICST-Tabletext"/>
              <w:spacing w:before="20" w:after="20"/>
              <w:ind w:firstLine="0"/>
              <w:jc w:val="left"/>
            </w:pPr>
            <w:r>
              <w:rPr>
                <w:rFonts w:ascii="Courier New" w:hAnsi="Courier New"/>
                <w:sz w:val="12"/>
              </w:rPr>
              <w:t>–</w:t>
            </w:r>
          </w:p>
        </w:tc>
        <w:tc>
          <w:tcPr>
            <w:tcW w:type="dxa" w:w="1247"/>
          </w:tcPr>
          <w:p>
            <w:pPr>
              <w:pStyle w:val="ICST-Tabletext"/>
              <w:spacing w:before="20" w:after="20"/>
              <w:ind w:firstLine="0"/>
              <w:jc w:val="left"/>
            </w:pPr>
            <w:r>
              <w:rPr>
                <w:rFonts w:ascii="Courier New" w:hAnsi="Courier New"/>
                <w:sz w:val="12"/>
              </w:rPr>
              <w:t>ev_unhealthy, ev_restart</w:t>
            </w:r>
          </w:p>
        </w:tc>
        <w:tc>
          <w:tcPr>
            <w:tcW w:type="dxa" w:w="1304"/>
          </w:tcPr>
          <w:p>
            <w:pPr>
              <w:pStyle w:val="ICST-Tabletext"/>
              <w:spacing w:before="20" w:after="20"/>
              <w:ind w:firstLine="0"/>
              <w:jc w:val="left"/>
            </w:pPr>
            <w:r>
              <w:rPr>
                <w:rFonts w:ascii="Courier New" w:hAnsi="Courier New"/>
                <w:sz w:val="12"/>
              </w:rPr>
              <w:t>svc_request_rise</w:t>
            </w:r>
          </w:p>
        </w:tc>
      </w:tr>
    </w:tbl>
    <w:p>
      <w:pPr>
        <w:pStyle w:val="ICST-Bodytextnoindent"/>
        <w:spacing w:after="80"/>
      </w:pPr>
    </w:p>
    <w:p>
      <w:pPr>
        <w:pStyle w:val="ICST-Heading1"/>
      </w:pPr>
      <w:r>
        <w:rPr/>
        <w:t>Appendix B. Hyperparameters</w:t>
      </w:r>
    </w:p>
    <w:p>
      <w:pPr>
        <w:pStyle w:val="ICST-Bodytextnoindent"/>
      </w:pPr>
      <w:r>
        <w:rPr/>
        <w:t>All values were fixed before the evaluation runs reported here and are identical for every case.</w:t>
      </w:r>
    </w:p>
    <w:p>
      <w:pPr>
        <w:pStyle w:val="ICST-Captions"/>
        <w:keepNext/>
      </w:pPr>
      <w:r>
        <w:rPr/>
        <w:t>Table B1. Hyperparameters of GAMA-RCA.</w:t>
      </w:r>
    </w:p>
    <w:tbl>
      <w:tblPr>
        <w:tblW w:type="auto" w:w="0"/>
        <w:jc w:val="center"/>
        <w:tblBorders>
          <w:top w:val="single" w:sz="10" w:color="000000"/>
          <w:bottom w:val="single" w:sz="10" w:color="000000"/>
        </w:tblBorders>
        <w:tblLook w:firstColumn="1" w:firstRow="1" w:lastColumn="0" w:lastRow="0" w:noHBand="0" w:noVBand="1" w:val="04A0"/>
      </w:tblPr>
      <w:tblGrid>
        <w:gridCol w:w="1360"/>
        <w:gridCol w:w="4195"/>
        <w:gridCol w:w="4195"/>
      </w:tblGrid>
      <w:tr>
        <w:trPr>
          <w:tblHeader/>
          <w:cantSplit/>
        </w:trPr>
        <w:tc>
          <w:tcPr>
            <w:tcW w:type="dxa" w:w="1361"/>
            <w:tcBorders>
              <w:bottom w:val="single" w:sz="6" w:color="000000"/>
            </w:tcBorders>
          </w:tcPr>
          <w:p>
            <w:pPr>
              <w:pStyle w:val="ICST-Tabletext"/>
              <w:spacing w:before="20" w:after="20"/>
              <w:ind w:firstLine="0"/>
              <w:jc w:val="left"/>
            </w:pPr>
            <w:r>
              <w:rPr>
                <w:b/>
                <w:sz w:val="15"/>
              </w:rPr>
              <w:t>Stage</w:t>
            </w:r>
          </w:p>
        </w:tc>
        <w:tc>
          <w:tcPr>
            <w:tcW w:type="dxa" w:w="4195"/>
            <w:tcBorders>
              <w:bottom w:val="single" w:sz="6" w:color="000000"/>
            </w:tcBorders>
          </w:tcPr>
          <w:p>
            <w:pPr>
              <w:pStyle w:val="ICST-Tabletext"/>
              <w:spacing w:before="20" w:after="20"/>
              <w:ind w:firstLine="0"/>
              <w:jc w:val="left"/>
            </w:pPr>
            <w:r>
              <w:rPr>
                <w:b/>
                <w:sz w:val="15"/>
              </w:rPr>
              <w:t>Parameter</w:t>
            </w:r>
          </w:p>
        </w:tc>
        <w:tc>
          <w:tcPr>
            <w:tcW w:type="dxa" w:w="4195"/>
            <w:tcBorders>
              <w:bottom w:val="single" w:sz="6" w:color="000000"/>
            </w:tcBorders>
          </w:tcPr>
          <w:p>
            <w:pPr>
              <w:pStyle w:val="ICST-Tabletext"/>
              <w:spacing w:before="20" w:after="20"/>
              <w:ind w:firstLine="0"/>
              <w:jc w:val="left"/>
            </w:pPr>
            <w:r>
              <w:rPr>
                <w:b/>
                <w:sz w:val="15"/>
              </w:rPr>
              <w:t>Value</w:t>
            </w:r>
          </w:p>
        </w:tc>
      </w:tr>
      <w:tr>
        <w:trPr>
          <w:cantSplit/>
        </w:trPr>
        <w:tc>
          <w:tcPr>
            <w:tcW w:type="dxa" w:w="1361"/>
          </w:tcPr>
          <w:p>
            <w:pPr>
              <w:pStyle w:val="ICST-Tabletext"/>
              <w:spacing w:before="20" w:after="20"/>
              <w:ind w:firstLine="0"/>
              <w:jc w:val="left"/>
            </w:pPr>
            <w:r>
              <w:rPr>
                <w:sz w:val="15"/>
              </w:rPr>
              <w:t>Evidence</w:t>
            </w:r>
          </w:p>
        </w:tc>
        <w:tc>
          <w:tcPr>
            <w:tcW w:type="dxa" w:w="4195"/>
          </w:tcPr>
          <w:p>
            <w:pPr>
              <w:pStyle w:val="ICST-Tabletext"/>
              <w:spacing w:before="20" w:after="20"/>
              <w:ind w:firstLine="0"/>
              <w:jc w:val="left"/>
            </w:pPr>
            <w:r>
              <w:rPr>
                <w:sz w:val="15"/>
              </w:rPr>
              <w:t>History / pseudo-windows</w:t>
            </w:r>
          </w:p>
        </w:tc>
        <w:tc>
          <w:tcPr>
            <w:tcW w:type="dxa" w:w="4195"/>
          </w:tcPr>
          <w:p>
            <w:pPr>
              <w:pStyle w:val="ICST-Tabletext"/>
              <w:spacing w:before="20" w:after="20"/>
              <w:ind w:firstLine="0"/>
              <w:jc w:val="left"/>
            </w:pPr>
            <w:r>
              <w:rPr>
                <w:sz w:val="15"/>
              </w:rPr>
              <w:t>4 window lengths (24 min) / K = 5</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Scale floor ρ; minimum coverage; minimum null pool</w:t>
            </w:r>
          </w:p>
        </w:tc>
        <w:tc>
          <w:tcPr>
            <w:tcW w:type="dxa" w:w="4195"/>
          </w:tcPr>
          <w:p>
            <w:pPr>
              <w:pStyle w:val="ICST-Tabletext"/>
              <w:spacing w:before="20" w:after="20"/>
              <w:ind w:firstLine="0"/>
              <w:jc w:val="left"/>
            </w:pPr>
            <w:r>
              <w:rPr>
                <w:sz w:val="15"/>
              </w:rPr>
              <w:t>0.05 × |median|; 80% of expected points; 20 scores</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Significance α; onset threshold</w:t>
            </w:r>
          </w:p>
        </w:tc>
        <w:tc>
          <w:tcPr>
            <w:tcW w:type="dxa" w:w="4195"/>
          </w:tcPr>
          <w:p>
            <w:pPr>
              <w:pStyle w:val="ICST-Tabletext"/>
              <w:spacing w:before="20" w:after="20"/>
              <w:ind w:firstLine="0"/>
              <w:jc w:val="left"/>
            </w:pPr>
            <w:r>
              <w:rPr>
                <w:sz w:val="15"/>
              </w:rPr>
              <w:t>0.05; 3 robust SD for 2 consecutive samples</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Log templates (Drain); template test</w:t>
            </w:r>
          </w:p>
        </w:tc>
        <w:tc>
          <w:tcPr>
            <w:tcW w:type="dxa" w:w="4195"/>
          </w:tcPr>
          <w:p>
            <w:pPr>
              <w:pStyle w:val="ICST-Tabletext"/>
              <w:spacing w:before="20" w:after="20"/>
              <w:ind w:firstLine="0"/>
              <w:jc w:val="left"/>
            </w:pPr>
            <w:r>
              <w:rPr>
                <w:sz w:val="15"/>
              </w:rPr>
              <w:t>similarity 0.4, depth 4; one-sided Poisson, BH q = 0.05</w:t>
            </w:r>
          </w:p>
        </w:tc>
      </w:tr>
      <w:tr>
        <w:trPr>
          <w:cantSplit/>
        </w:trPr>
        <w:tc>
          <w:tcPr>
            <w:tcW w:type="dxa" w:w="1361"/>
            <w:tcBorders>
              <w:top w:val="single" w:sz="4" w:color="000000"/>
            </w:tcBorders>
          </w:tcPr>
          <w:p>
            <w:pPr>
              <w:pStyle w:val="ICST-Tabletext"/>
              <w:spacing w:before="20" w:after="20"/>
              <w:ind w:firstLine="0"/>
              <w:jc w:val="left"/>
            </w:pPr>
            <w:r>
              <w:rPr>
                <w:sz w:val="15"/>
              </w:rPr>
              <w:t>Belief model</w:t>
            </w:r>
          </w:p>
        </w:tc>
        <w:tc>
          <w:tcPr>
            <w:tcW w:type="dxa" w:w="4195"/>
            <w:tcBorders>
              <w:top w:val="single" w:sz="4" w:color="000000"/>
            </w:tcBorders>
          </w:tcPr>
          <w:p>
            <w:pPr>
              <w:pStyle w:val="ICST-Tabletext"/>
              <w:spacing w:before="20" w:after="20"/>
              <w:ind w:firstLine="0"/>
              <w:jc w:val="left"/>
            </w:pPr>
            <w:r>
              <w:rPr>
                <w:sz w:val="15"/>
              </w:rPr>
              <w:t>θ</w:t>
            </w:r>
            <w:r>
              <w:rPr>
                <w:sz w:val="15"/>
                <w:vertAlign w:val="subscript"/>
              </w:rPr>
              <w:t>K</w:t>
            </w:r>
            <w:r>
              <w:rPr>
                <w:sz w:val="15"/>
              </w:rPr>
              <w:t>, θ</w:t>
            </w:r>
            <w:r>
              <w:rPr>
                <w:sz w:val="15"/>
                <w:vertAlign w:val="subscript"/>
              </w:rPr>
              <w:t>U</w:t>
            </w:r>
            <w:r>
              <w:rPr>
                <w:sz w:val="15"/>
              </w:rPr>
              <w:t>, θ</w:t>
            </w:r>
            <w:r>
              <w:rPr>
                <w:sz w:val="15"/>
                <w:vertAlign w:val="subscript"/>
              </w:rPr>
              <w:t>P</w:t>
            </w:r>
            <w:r>
              <w:rPr>
                <w:sz w:val="15"/>
              </w:rPr>
              <w:t>, α</w:t>
            </w:r>
            <w:r>
              <w:rPr>
                <w:sz w:val="15"/>
                <w:vertAlign w:val="subscript"/>
              </w:rPr>
              <w:t>C</w:t>
            </w:r>
          </w:p>
        </w:tc>
        <w:tc>
          <w:tcPr>
            <w:tcW w:type="dxa" w:w="4195"/>
            <w:tcBorders>
              <w:top w:val="single" w:sz="4" w:color="000000"/>
            </w:tcBorders>
          </w:tcPr>
          <w:p>
            <w:pPr>
              <w:pStyle w:val="ICST-Tabletext"/>
              <w:spacing w:before="20" w:after="20"/>
              <w:ind w:firstLine="0"/>
              <w:jc w:val="left"/>
            </w:pPr>
            <w:r>
              <w:rPr>
                <w:sz w:val="15"/>
              </w:rPr>
              <w:t>0.8, 0.6, 0.6, 0.05</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P(alert | fault cannot reach the service)</w:t>
            </w:r>
          </w:p>
        </w:tc>
        <w:tc>
          <w:tcPr>
            <w:tcW w:type="dxa" w:w="4195"/>
          </w:tcPr>
          <w:p>
            <w:pPr>
              <w:pStyle w:val="ICST-Tabletext"/>
              <w:spacing w:before="20" w:after="20"/>
              <w:ind w:firstLine="0"/>
              <w:jc w:val="left"/>
            </w:pPr>
            <w:r>
              <w:rPr>
                <w:sz w:val="15"/>
              </w:rPr>
              <w:t>0.01</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Prior of h</w:t>
            </w:r>
            <w:r>
              <w:rPr>
                <w:sz w:val="15"/>
                <w:vertAlign w:val="subscript"/>
              </w:rPr>
              <w:t>0</w:t>
            </w:r>
            <w:r>
              <w:rPr>
                <w:sz w:val="15"/>
              </w:rPr>
              <w:t>; prior weight of residual types</w:t>
            </w:r>
          </w:p>
        </w:tc>
        <w:tc>
          <w:tcPr>
            <w:tcW w:type="dxa" w:w="4195"/>
          </w:tcPr>
          <w:p>
            <w:pPr>
              <w:pStyle w:val="ICST-Tabletext"/>
              <w:spacing w:before="20" w:after="20"/>
              <w:ind w:firstLine="0"/>
              <w:jc w:val="left"/>
            </w:pPr>
            <w:r>
              <w:rPr>
                <w:sz w:val="15"/>
              </w:rPr>
              <w:t>0.1; 0.5</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Background prior weight (pseudo-entities)</w:t>
            </w:r>
          </w:p>
        </w:tc>
        <w:tc>
          <w:tcPr>
            <w:tcW w:type="dxa" w:w="4195"/>
          </w:tcPr>
          <w:p>
            <w:pPr>
              <w:pStyle w:val="ICST-Tabletext"/>
              <w:spacing w:before="20" w:after="20"/>
              <w:ind w:firstLine="0"/>
              <w:jc w:val="left"/>
            </w:pPr>
            <w:r>
              <w:rPr>
                <w:sz w:val="15"/>
              </w:rPr>
              <w:t>10</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EM: π range, iterations, tolerance</w:t>
            </w:r>
          </w:p>
        </w:tc>
        <w:tc>
          <w:tcPr>
            <w:tcW w:type="dxa" w:w="4195"/>
          </w:tcPr>
          <w:p>
            <w:pPr>
              <w:pStyle w:val="ICST-Tabletext"/>
              <w:spacing w:before="20" w:after="20"/>
              <w:ind w:firstLine="0"/>
              <w:jc w:val="left"/>
            </w:pPr>
            <w:r>
              <w:rPr>
                <w:sz w:val="15"/>
              </w:rPr>
              <w:t>[0.06, 0.95], ≤ 30, 10</w:t>
            </w:r>
            <w:r>
              <w:rPr>
                <w:sz w:val="15"/>
                <w:vertAlign w:val="superscript"/>
              </w:rPr>
              <w:t>−4</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Onset: θ</w:t>
            </w:r>
            <w:r>
              <w:rPr>
                <w:sz w:val="15"/>
                <w:vertAlign w:val="subscript"/>
              </w:rPr>
              <w:t>T</w:t>
            </w:r>
            <w:r>
              <w:rPr>
                <w:sz w:val="15"/>
              </w:rPr>
              <w:t>, tolerance δ</w:t>
            </w:r>
          </w:p>
        </w:tc>
        <w:tc>
          <w:tcPr>
            <w:tcW w:type="dxa" w:w="4195"/>
          </w:tcPr>
          <w:p>
            <w:pPr>
              <w:pStyle w:val="ICST-Tabletext"/>
              <w:spacing w:before="20" w:after="20"/>
              <w:ind w:firstLine="0"/>
              <w:jc w:val="left"/>
            </w:pPr>
            <w:r>
              <w:rPr>
                <w:sz w:val="15"/>
              </w:rPr>
              <w:t>0.9, 60 s</w:t>
            </w:r>
          </w:p>
        </w:tc>
      </w:tr>
      <w:tr>
        <w:trPr>
          <w:cantSplit/>
        </w:trPr>
        <w:tc>
          <w:tcPr>
            <w:tcW w:type="dxa" w:w="1361"/>
            <w:tcBorders>
              <w:top w:val="single" w:sz="4" w:color="000000"/>
            </w:tcBorders>
          </w:tcPr>
          <w:p>
            <w:pPr>
              <w:pStyle w:val="ICST-Tabletext"/>
              <w:spacing w:before="20" w:after="20"/>
              <w:ind w:firstLine="0"/>
              <w:jc w:val="left"/>
            </w:pPr>
            <w:r>
              <w:rPr>
                <w:sz w:val="15"/>
              </w:rPr>
              <w:t>LLM sensor</w:t>
            </w:r>
          </w:p>
        </w:tc>
        <w:tc>
          <w:tcPr>
            <w:tcW w:type="dxa" w:w="4195"/>
            <w:tcBorders>
              <w:top w:val="single" w:sz="4" w:color="000000"/>
            </w:tcBorders>
          </w:tcPr>
          <w:p>
            <w:pPr>
              <w:pStyle w:val="ICST-Tabletext"/>
              <w:spacing w:before="20" w:after="20"/>
              <w:ind w:firstLine="0"/>
              <w:jc w:val="left"/>
            </w:pPr>
            <w:r>
              <w:rPr>
                <w:sz w:val="15"/>
              </w:rPr>
              <w:t>Budget; stop at max P; minimum EIG</w:t>
            </w:r>
          </w:p>
        </w:tc>
        <w:tc>
          <w:tcPr>
            <w:tcW w:type="dxa" w:w="4195"/>
            <w:tcBorders>
              <w:top w:val="single" w:sz="4" w:color="000000"/>
            </w:tcBorders>
          </w:tcPr>
          <w:p>
            <w:pPr>
              <w:pStyle w:val="ICST-Tabletext"/>
              <w:spacing w:before="20" w:after="20"/>
              <w:ind w:firstLine="0"/>
              <w:jc w:val="left"/>
            </w:pPr>
            <w:r>
              <w:rPr>
                <w:sz w:val="15"/>
              </w:rPr>
              <w:t>5 probes; 0.8; 0.05 bits</w:t>
            </w:r>
          </w:p>
        </w:tc>
      </w:tr>
      <w:tr>
        <w:trPr>
          <w:cantSplit/>
        </w:trPr>
        <w:tc>
          <w:tcPr>
            <w:tcW w:type="dxa" w:w="1361"/>
          </w:tcPr>
          <w:p>
            <w:pPr>
              <w:pStyle w:val="ICST-Tabletext"/>
              <w:spacing w:before="20" w:after="20"/>
              <w:ind w:firstLine="0"/>
              <w:jc w:val="left"/>
            </w:pPr>
          </w:p>
        </w:tc>
        <w:tc>
          <w:tcPr>
            <w:tcW w:type="dxa" w:w="4195"/>
          </w:tcPr>
          <w:p>
            <w:pPr>
              <w:pStyle w:val="ICST-Tabletext"/>
              <w:spacing w:before="20" w:after="20"/>
              <w:ind w:firstLine="0"/>
              <w:jc w:val="left"/>
            </w:pPr>
            <w:r>
              <w:rPr>
                <w:sz w:val="15"/>
              </w:rPr>
              <w:t>Input per entity</w:t>
            </w:r>
          </w:p>
        </w:tc>
        <w:tc>
          <w:tcPr>
            <w:tcW w:type="dxa" w:w="4195"/>
          </w:tcPr>
          <w:p>
            <w:pPr>
              <w:pStyle w:val="ICST-Tabletext"/>
              <w:spacing w:before="20" w:after="20"/>
              <w:ind w:firstLine="0"/>
              <w:jc w:val="left"/>
            </w:pPr>
            <w:r>
              <w:rPr>
                <w:sz w:val="15"/>
              </w:rPr>
              <w:t>≤ 20 items × 200 characters</w:t>
            </w:r>
          </w:p>
        </w:tc>
      </w:tr>
      <w:tr>
        <w:trPr>
          <w:cantSplit/>
        </w:trPr>
        <w:tc>
          <w:tcPr>
            <w:tcW w:type="dxa" w:w="1361"/>
            <w:tcBorders>
              <w:top w:val="single" w:sz="4" w:color="000000"/>
            </w:tcBorders>
          </w:tcPr>
          <w:p>
            <w:pPr>
              <w:pStyle w:val="ICST-Tabletext"/>
              <w:spacing w:before="20" w:after="20"/>
              <w:ind w:firstLine="0"/>
              <w:jc w:val="left"/>
            </w:pPr>
            <w:r>
              <w:rPr>
                <w:sz w:val="15"/>
              </w:rPr>
              <w:t>LLM typing</w:t>
            </w:r>
          </w:p>
        </w:tc>
        <w:tc>
          <w:tcPr>
            <w:tcW w:type="dxa" w:w="4195"/>
            <w:tcBorders>
              <w:top w:val="single" w:sz="4" w:color="000000"/>
            </w:tcBorders>
          </w:tcPr>
          <w:p>
            <w:pPr>
              <w:pStyle w:val="ICST-Tabletext"/>
              <w:spacing w:before="20" w:after="20"/>
              <w:ind w:firstLine="0"/>
              <w:jc w:val="left"/>
            </w:pPr>
            <w:r>
              <w:rPr>
                <w:sz w:val="15"/>
              </w:rPr>
              <w:t>Shortlist; evidence lines; quote length</w:t>
            </w:r>
          </w:p>
        </w:tc>
        <w:tc>
          <w:tcPr>
            <w:tcW w:type="dxa" w:w="4195"/>
            <w:tcBorders>
              <w:top w:val="single" w:sz="4" w:color="000000"/>
            </w:tcBorders>
          </w:tcPr>
          <w:p>
            <w:pPr>
              <w:pStyle w:val="ICST-Tabletext"/>
              <w:spacing w:before="20" w:after="20"/>
              <w:ind w:firstLine="0"/>
              <w:jc w:val="left"/>
            </w:pPr>
            <w:r>
              <w:rPr>
                <w:sz w:val="15"/>
              </w:rPr>
              <w:t>5 types; ≤ 40 lines; ≥ 10 characters</w:t>
            </w:r>
          </w:p>
        </w:tc>
      </w:tr>
      <w:tr>
        <w:trPr>
          <w:cantSplit/>
        </w:trPr>
        <w:tc>
          <w:tcPr>
            <w:tcW w:type="dxa" w:w="1361"/>
            <w:tcBorders>
              <w:top w:val="single" w:sz="4" w:color="000000"/>
            </w:tcBorders>
          </w:tcPr>
          <w:p>
            <w:pPr>
              <w:pStyle w:val="ICST-Tabletext"/>
              <w:spacing w:before="20" w:after="20"/>
              <w:ind w:firstLine="0"/>
              <w:jc w:val="left"/>
            </w:pPr>
            <w:r>
              <w:rPr>
                <w:sz w:val="15"/>
              </w:rPr>
              <w:t>Decoding</w:t>
            </w:r>
          </w:p>
        </w:tc>
        <w:tc>
          <w:tcPr>
            <w:tcW w:type="dxa" w:w="4195"/>
            <w:tcBorders>
              <w:top w:val="single" w:sz="4" w:color="000000"/>
            </w:tcBorders>
          </w:tcPr>
          <w:p>
            <w:pPr>
              <w:pStyle w:val="ICST-Tabletext"/>
              <w:spacing w:before="20" w:after="20"/>
              <w:ind w:firstLine="0"/>
              <w:jc w:val="left"/>
            </w:pPr>
            <w:r>
              <w:rPr>
                <w:sz w:val="15"/>
              </w:rPr>
              <w:t>Model; precision; temperature; seed; max tokens</w:t>
            </w:r>
          </w:p>
        </w:tc>
        <w:tc>
          <w:tcPr>
            <w:tcW w:type="dxa" w:w="4195"/>
            <w:tcBorders>
              <w:top w:val="single" w:sz="4" w:color="000000"/>
            </w:tcBorders>
          </w:tcPr>
          <w:p>
            <w:pPr>
              <w:pStyle w:val="ICST-Tabletext"/>
              <w:spacing w:before="20" w:after="20"/>
              <w:ind w:firstLine="0"/>
              <w:jc w:val="left"/>
            </w:pPr>
            <w:r>
              <w:rPr>
                <w:sz w:val="15"/>
              </w:rPr>
              <w:t>Qwen3-8B; bfloat16; 0; 0; 1,024 (thinking disabled)</w:t>
            </w:r>
          </w:p>
        </w:tc>
      </w:tr>
    </w:tbl>
    <w:p>
      <w:pPr>
        <w:pStyle w:val="ICST-Bodytextnoindent"/>
        <w:spacing w:after="80"/>
      </w:pPr>
    </w:p>
    <w:p>
      <w:pPr>
        <w:pStyle w:val="ICST-Heading1"/>
      </w:pPr>
      <w:r>
        <w:rPr/>
        <w:t>Appendix C. LLM Prompts</w:t>
      </w:r>
    </w:p>
    <w:p>
      <w:pPr>
        <w:pStyle w:val="ICST-Bodytextnoindent"/>
      </w:pPr>
      <w:r>
        <w:rPr/>
        <w:t>The three prompts are reproduced verbatim; text in angle brackets is filled from the case. Every call uses a system message and requests JSON. An answer is used only if its quote is found verbatim in the given text.</w:t>
      </w:r>
    </w:p>
    <w:p>
      <w:pPr>
        <w:pStyle w:val="ICST-Heading3"/>
      </w:pPr>
      <w:r>
        <w:rPr/>
        <w:t>C.1 Text sensor (system: “You classify failure messages from a microservice system. Respond ONLY with valid JSON.”)</w:t>
      </w:r>
    </w:p>
    <w:tbl>
      <w:tblPr>
        <w:tblW w:type="auto" w:w="0"/>
        <w:tblBorders>
          <w:top w:val="single" w:sz="4" w:color="999999"/>
          <w:left w:val="single" w:sz="4" w:color="999999"/>
          <w:bottom w:val="single" w:sz="4" w:color="999999"/>
          <w:right w:val="single" w:sz="4" w:color="999999"/>
        </w:tblBorders>
        <w:tblLook w:firstColumn="1" w:firstRow="1" w:lastColumn="0" w:lastRow="0" w:noHBand="0" w:noVBand="1" w:val="04A0"/>
      </w:tblPr>
      <w:tblGrid>
        <w:gridCol w:w="10092"/>
      </w:tblGrid>
      <w:tr>
        <w:tc>
          <w:tcPr>
            <w:tcW w:type="dxa" w:w="9921"/>
            <w:shd w:val="clear" w:color="auto" w:fill="F4F4F4"/>
          </w:tcPr>
          <w:p>
            <w:pPr>
              <w:spacing w:after="0" w:before="0"/>
              <w:ind w:firstLine="0"/>
              <w:jc w:val="left"/>
            </w:pPr>
            <w:r>
              <w:rPr>
                <w:rFonts w:ascii="Courier New" w:hAnsi="Courier New"/>
                <w:sz w:val="14"/>
                <w:rFonts w:ascii="Courier New" w:hAnsi="Courier New" w:cs="Courier New"/>
              </w:rPr>
              <w:t>Messages observed for '&lt;entity&gt;' during an incident window. Log messages were selected because they are new or</w:t>
            </w:r>
          </w:p>
          <w:p>
            <w:pPr>
              <w:spacing w:after="0" w:before="0"/>
              <w:ind w:firstLine="0"/>
              <w:jc w:val="left"/>
            </w:pPr>
            <w:r>
              <w:rPr>
                <w:rFonts w:ascii="Courier New" w:hAnsi="Courier New"/>
                <w:sz w:val="14"/>
                <w:rFonts w:ascii="Courier New" w:hAnsi="Courier New" w:cs="Courier New"/>
              </w:rPr>
              <w:t>clearly more frequent than before the window; each message is followed by its counts in brackets:</w:t>
            </w:r>
          </w:p>
          <w:p>
            <w:pPr>
              <w:spacing w:after="0" w:before="0"/>
              <w:ind w:firstLine="0"/>
              <w:jc w:val="left"/>
            </w:pPr>
            <w:r>
              <w:rPr>
                <w:rFonts w:ascii="Courier New" w:hAnsi="Courier New"/>
                <w:sz w:val="14"/>
                <w:rFonts w:ascii="Courier New" w:hAnsi="Courier New" w:cs="Courier New"/>
              </w:rPr>
              <w:t>- &lt;log template or event / error-span message, one raw example line&gt;</w:t>
            </w:r>
          </w:p>
          <w:p>
            <w:pPr>
              <w:spacing w:after="0" w:before="0"/>
              <w:ind w:firstLine="0"/>
              <w:jc w:val="left"/>
            </w:pPr>
            <w:r>
              <w:rPr>
                <w:rFonts w:ascii="Courier New" w:hAnsi="Courier New"/>
                <w:sz w:val="14"/>
                <w:rFonts w:ascii="Courier New" w:hAnsi="Courier New" w:cs="Courier New"/>
              </w:rPr>
              <w:t xml:space="preserve">  [&lt;n&gt; in the window, &lt;m&gt; in the 15 min before; p = &lt;Poisson p-value&gt;]</w:t>
            </w:r>
          </w:p>
          <w:p>
            <w:pPr>
              <w:spacing w:after="0" w:before="0"/>
              <w:ind w:firstLine="0"/>
              <w:jc w:val="left"/>
            </w:pPr>
            <w:r>
              <w:rPr>
                <w:rFonts w:ascii="Courier New" w:hAnsi="Courier New"/>
                <w:sz w:val="14"/>
                <w:rFonts w:ascii="Courier New" w:hAnsi="Courier New" w:cs="Courier New"/>
              </w:rPr>
              <w:t xml:space="preserve">  ... (at most 20 items)</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Which ONE category best describes the dominant failure mechanism these messages show?</w:t>
            </w:r>
          </w:p>
          <w:p>
            <w:pPr>
              <w:spacing w:after="0" w:before="0"/>
              <w:ind w:firstLine="0"/>
              <w:jc w:val="left"/>
            </w:pPr>
            <w:r>
              <w:rPr>
                <w:rFonts w:ascii="Courier New" w:hAnsi="Courier New"/>
                <w:sz w:val="14"/>
                <w:rFonts w:ascii="Courier New" w:hAnsi="Courier New" w:cs="Courier New"/>
              </w:rPr>
              <w:t>- npe: null pointer / null or nil dereference</w:t>
            </w:r>
          </w:p>
          <w:p>
            <w:pPr>
              <w:spacing w:after="0" w:before="0"/>
              <w:ind w:firstLine="0"/>
              <w:jc w:val="left"/>
            </w:pPr>
            <w:r>
              <w:rPr>
                <w:rFonts w:ascii="Courier New" w:hAnsi="Courier New"/>
                <w:sz w:val="14"/>
                <w:rFonts w:ascii="Courier New" w:hAnsi="Courier New" w:cs="Courier New"/>
              </w:rPr>
              <w:t>- ratelimit: throttling, rate limit, quota exceeded, HTTP 429</w:t>
            </w:r>
          </w:p>
          <w:p>
            <w:pPr>
              <w:spacing w:after="0" w:before="0"/>
              <w:ind w:firstLine="0"/>
              <w:jc w:val="left"/>
            </w:pPr>
            <w:r>
              <w:rPr>
                <w:rFonts w:ascii="Courier New" w:hAnsi="Courier New"/>
                <w:sz w:val="14"/>
                <w:rFonts w:ascii="Courier New" w:hAnsi="Courier New" w:cs="Courier New"/>
              </w:rPr>
              <w:t>- dns: name resolution failure (no such host, unknown host)</w:t>
            </w:r>
          </w:p>
          <w:p>
            <w:pPr>
              <w:spacing w:after="0" w:before="0"/>
              <w:ind w:firstLine="0"/>
              <w:jc w:val="left"/>
            </w:pPr>
            <w:r>
              <w:rPr>
                <w:rFonts w:ascii="Courier New" w:hAnsi="Courier New"/>
                <w:sz w:val="14"/>
                <w:rFonts w:ascii="Courier New" w:hAnsi="Courier New" w:cs="Courier New"/>
              </w:rPr>
              <w:t>- refused: connection refused or reset, service unavailable</w:t>
            </w:r>
          </w:p>
          <w:p>
            <w:pPr>
              <w:spacing w:after="0" w:before="0"/>
              <w:ind w:firstLine="0"/>
              <w:jc w:val="left"/>
            </w:pPr>
            <w:r>
              <w:rPr>
                <w:rFonts w:ascii="Courier New" w:hAnsi="Courier New"/>
                <w:sz w:val="14"/>
                <w:rFonts w:ascii="Courier New" w:hAnsi="Courier New" w:cs="Courier New"/>
              </w:rPr>
              <w:t>- timeout: timeouts, deadline exceeded</w:t>
            </w:r>
          </w:p>
          <w:p>
            <w:pPr>
              <w:spacing w:after="0" w:before="0"/>
              <w:ind w:firstLine="0"/>
              <w:jc w:val="left"/>
            </w:pPr>
            <w:r>
              <w:rPr>
                <w:rFonts w:ascii="Courier New" w:hAnsi="Courier New"/>
                <w:sz w:val="14"/>
                <w:rFonts w:ascii="Courier New" w:hAnsi="Courier New" w:cs="Courier New"/>
              </w:rPr>
              <w:t>- redis: Redis / Valkey cache errors</w:t>
            </w:r>
          </w:p>
          <w:p>
            <w:pPr>
              <w:spacing w:after="0" w:before="0"/>
              <w:ind w:firstLine="0"/>
              <w:jc w:val="left"/>
            </w:pPr>
            <w:r>
              <w:rPr>
                <w:rFonts w:ascii="Courier New" w:hAnsi="Courier New"/>
                <w:sz w:val="14"/>
                <w:rFonts w:ascii="Courier New" w:hAnsi="Courier New" w:cs="Courier New"/>
              </w:rPr>
              <w:t>- oom: out of memory, OOMKilled, heap space</w:t>
            </w:r>
          </w:p>
          <w:p>
            <w:pPr>
              <w:spacing w:after="0" w:before="0"/>
              <w:ind w:firstLine="0"/>
              <w:jc w:val="left"/>
            </w:pPr>
            <w:r>
              <w:rPr>
                <w:rFonts w:ascii="Courier New" w:hAnsi="Courier New"/>
                <w:sz w:val="14"/>
                <w:rFonts w:ascii="Courier New" w:hAnsi="Courier New" w:cs="Courier New"/>
              </w:rPr>
              <w:t>- gc: garbage-collection pauses or overhead</w:t>
            </w:r>
          </w:p>
          <w:p>
            <w:pPr>
              <w:spacing w:after="0" w:before="0"/>
              <w:ind w:firstLine="0"/>
              <w:jc w:val="left"/>
            </w:pPr>
            <w:r>
              <w:rPr>
                <w:rFonts w:ascii="Courier New" w:hAnsi="Courier New"/>
                <w:sz w:val="14"/>
                <w:rFonts w:ascii="Courier New" w:hAnsi="Courier New" w:cs="Courier New"/>
              </w:rPr>
              <w:t>- thread: thread pool exhausted or task rejected</w:t>
            </w:r>
          </w:p>
          <w:p>
            <w:pPr>
              <w:spacing w:after="0" w:before="0"/>
              <w:ind w:firstLine="0"/>
              <w:jc w:val="left"/>
            </w:pPr>
            <w:r>
              <w:rPr>
                <w:rFonts w:ascii="Courier New" w:hAnsi="Courier New"/>
                <w:sz w:val="14"/>
                <w:rFonts w:ascii="Courier New" w:hAnsi="Courier New" w:cs="Courier New"/>
              </w:rPr>
              <w:t>- queue: message queue / Kafka backlog or consumer errors</w:t>
            </w:r>
          </w:p>
          <w:p>
            <w:pPr>
              <w:spacing w:after="0" w:before="0"/>
              <w:ind w:firstLine="0"/>
              <w:jc w:val="left"/>
            </w:pPr>
            <w:r>
              <w:rPr>
                <w:rFonts w:ascii="Courier New" w:hAnsi="Courier New"/>
                <w:sz w:val="14"/>
                <w:rFonts w:ascii="Courier New" w:hAnsi="Courier New" w:cs="Courier New"/>
              </w:rPr>
              <w:t>- lb: load balancer: no healthy upstream, no endpoints</w:t>
            </w:r>
          </w:p>
          <w:p>
            <w:pPr>
              <w:spacing w:after="0" w:before="0"/>
              <w:ind w:firstLine="0"/>
              <w:jc w:val="left"/>
            </w:pPr>
            <w:r>
              <w:rPr>
                <w:rFonts w:ascii="Courier New" w:hAnsi="Courier New"/>
                <w:sz w:val="14"/>
                <w:rFonts w:ascii="Courier New" w:hAnsi="Courier New" w:cs="Courier New"/>
              </w:rPr>
              <w:t>- netpol: network policy, no route to host, i/o timeout between services</w:t>
            </w:r>
          </w:p>
          <w:p>
            <w:pPr>
              <w:spacing w:after="0" w:before="0"/>
              <w:ind w:firstLine="0"/>
              <w:jc w:val="left"/>
            </w:pPr>
            <w:r>
              <w:rPr>
                <w:rFonts w:ascii="Courier New" w:hAnsi="Courier New"/>
                <w:sz w:val="14"/>
                <w:rFonts w:ascii="Courier New" w:hAnsi="Courier New" w:cs="Courier New"/>
              </w:rPr>
              <w:t>- sql: database / SQL errors or slow queries</w:t>
            </w:r>
          </w:p>
          <w:p>
            <w:pPr>
              <w:spacing w:after="0" w:before="0"/>
              <w:ind w:firstLine="0"/>
              <w:jc w:val="left"/>
            </w:pPr>
            <w:r>
              <w:rPr>
                <w:rFonts w:ascii="Courier New" w:hAnsi="Courier New"/>
                <w:sz w:val="14"/>
                <w:rFonts w:ascii="Courier New" w:hAnsi="Courier New" w:cs="Courier New"/>
              </w:rPr>
              <w:t>- cache: cache misses or cache layer problems</w:t>
            </w:r>
          </w:p>
          <w:p>
            <w:pPr>
              <w:spacing w:after="0" w:before="0"/>
              <w:ind w:firstLine="0"/>
              <w:jc w:val="left"/>
            </w:pPr>
            <w:r>
              <w:rPr>
                <w:rFonts w:ascii="Courier New" w:hAnsi="Courier New"/>
                <w:sz w:val="14"/>
                <w:rFonts w:ascii="Courier New" w:hAnsi="Courier New" w:cs="Courier New"/>
              </w:rPr>
              <w:t>- none: no failure mechanism visible in the text</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Respond as JSON: {"category": "&lt;one category name&gt;", "quote": "&lt;an exact excerpt of one message above (not of the</w:t>
            </w:r>
          </w:p>
          <w:p>
            <w:pPr>
              <w:spacing w:after="0" w:before="0"/>
              <w:ind w:firstLine="0"/>
              <w:jc w:val="left"/>
            </w:pPr>
            <w:r>
              <w:rPr>
                <w:rFonts w:ascii="Courier New" w:hAnsi="Courier New"/>
                <w:sz w:val="14"/>
                <w:rFonts w:ascii="Courier New" w:hAnsi="Courier New" w:cs="Courier New"/>
              </w:rPr>
              <w:t>bracketed counts) that shows it&gt;"}</w:t>
            </w:r>
          </w:p>
        </w:tc>
      </w:tr>
    </w:tbl>
    <w:p>
      <w:pPr>
        <w:pStyle w:val="ICST-Bodytextnoindent"/>
        <w:spacing w:after="80"/>
      </w:pPr>
    </w:p>
    <w:p>
      <w:pPr>
        <w:pStyle w:val="ICST-Heading3"/>
      </w:pPr>
      <w:r>
        <w:rPr/>
        <w:t>C.2 Grounded typing (system: “You are a site-reliability engineer classifying the fault mechanism of one component. Respond ONLY with valid JSON.”)</w:t>
      </w:r>
    </w:p>
    <w:tbl>
      <w:tblPr>
        <w:tblW w:type="auto" w:w="0"/>
        <w:tblBorders>
          <w:top w:val="single" w:sz="4" w:color="999999"/>
          <w:left w:val="single" w:sz="4" w:color="999999"/>
          <w:bottom w:val="single" w:sz="4" w:color="999999"/>
          <w:right w:val="single" w:sz="4" w:color="999999"/>
        </w:tblBorders>
        <w:tblLook w:firstColumn="1" w:firstRow="1" w:lastColumn="0" w:lastRow="0" w:noHBand="0" w:noVBand="1" w:val="04A0"/>
      </w:tblPr>
      <w:tblGrid>
        <w:gridCol w:w="10092"/>
      </w:tblGrid>
      <w:tr>
        <w:tc>
          <w:tcPr>
            <w:tcW w:type="dxa" w:w="9921"/>
            <w:shd w:val="clear" w:color="auto" w:fill="F4F4F4"/>
          </w:tcPr>
          <w:p>
            <w:pPr>
              <w:spacing w:after="0" w:before="0"/>
              <w:ind w:firstLine="0"/>
              <w:jc w:val="left"/>
            </w:pPr>
            <w:r>
              <w:rPr>
                <w:rFonts w:ascii="Courier New" w:hAnsi="Courier New"/>
                <w:sz w:val="14"/>
                <w:rFonts w:ascii="Courier New" w:hAnsi="Courier New" w:cs="Courier New"/>
              </w:rPr>
              <w:t>Component: &lt;entity&gt; (&lt;service|node&gt; level). It has been localised as the root cause of the incident.</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Evidence observed for it in the incident window (each line: entity, signal, values; continuous signals also show when</w:t>
            </w:r>
          </w:p>
          <w:p>
            <w:pPr>
              <w:spacing w:after="0" w:before="0"/>
              <w:ind w:firstLine="0"/>
              <w:jc w:val="left"/>
            </w:pPr>
            <w:r>
              <w:rPr>
                <w:rFonts w:ascii="Courier New" w:hAnsi="Courier New"/>
                <w:sz w:val="14"/>
                <w:rFonts w:ascii="Courier New" w:hAnsi="Courier New" w:cs="Courier New"/>
              </w:rPr>
              <w:t>their change started relative to the window start):</w:t>
            </w:r>
          </w:p>
          <w:p>
            <w:pPr>
              <w:spacing w:after="0" w:before="0"/>
              <w:ind w:firstLine="0"/>
              <w:jc w:val="left"/>
            </w:pPr>
            <w:r>
              <w:rPr>
                <w:rFonts w:ascii="Courier New" w:hAnsi="Courier New"/>
                <w:sz w:val="14"/>
                <w:rFonts w:ascii="Courier New" w:hAnsi="Courier New" w:cs="Courier New"/>
              </w:rPr>
              <w:t>- &lt;entity&gt; svc_mem_rise: &lt;series&gt; &lt;history median&gt; -&gt; &lt;window median&gt; (z = &lt;z&gt;, p = &lt;p&gt;) [starts at -40 s from the window start]</w:t>
            </w:r>
          </w:p>
          <w:p>
            <w:pPr>
              <w:spacing w:after="0" w:before="0"/>
              <w:ind w:firstLine="0"/>
              <w:jc w:val="left"/>
            </w:pPr>
            <w:r>
              <w:rPr>
                <w:rFonts w:ascii="Courier New" w:hAnsi="Courier New"/>
                <w:sz w:val="14"/>
                <w:rFonts w:ascii="Courier New" w:hAnsi="Courier New" w:cs="Courier New"/>
              </w:rPr>
              <w:t>- &lt;entity&gt; ev_restart: &lt;event reason, count&gt;</w:t>
            </w:r>
          </w:p>
          <w:p>
            <w:pPr>
              <w:spacing w:after="0" w:before="0"/>
              <w:ind w:firstLine="0"/>
              <w:jc w:val="left"/>
            </w:pPr>
            <w:r>
              <w:rPr>
                <w:rFonts w:ascii="Courier New" w:hAnsi="Courier New"/>
                <w:sz w:val="14"/>
                <w:rFonts w:ascii="Courier New" w:hAnsi="Courier New" w:cs="Courier New"/>
              </w:rPr>
              <w:t>- &lt;entity&gt; message: &lt;significant log template&gt;</w:t>
            </w:r>
          </w:p>
          <w:p>
            <w:pPr>
              <w:spacing w:after="0" w:before="0"/>
              <w:ind w:firstLine="0"/>
              <w:jc w:val="left"/>
            </w:pPr>
            <w:r>
              <w:rPr>
                <w:rFonts w:ascii="Courier New" w:hAnsi="Courier New"/>
                <w:sz w:val="14"/>
                <w:rFonts w:ascii="Courier New" w:hAnsi="Courier New" w:cs="Courier New"/>
              </w:rPr>
              <w:t xml:space="preserve">  ... (at most 40 lines)</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Candidate fault types (the most probable ones under a statistical model of the evidence):</w:t>
            </w:r>
          </w:p>
          <w:p>
            <w:pPr>
              <w:spacing w:after="0" w:before="0"/>
              <w:ind w:firstLine="0"/>
              <w:jc w:val="left"/>
            </w:pPr>
            <w:r>
              <w:rPr>
                <w:rFonts w:ascii="Courier New" w:hAnsi="Courier New"/>
                <w:sz w:val="14"/>
                <w:rFonts w:ascii="Courier New" w:hAnsi="Courier New" w:cs="Courier New"/>
              </w:rPr>
              <w:t>- F007-memoryPressure (statistical probability 0.62): &lt;taxonomy definition&gt;</w:t>
            </w:r>
          </w:p>
          <w:p>
            <w:pPr>
              <w:spacing w:after="0" w:before="0"/>
              <w:ind w:firstLine="0"/>
              <w:jc w:val="left"/>
            </w:pPr>
            <w:r>
              <w:rPr>
                <w:rFonts w:ascii="Courier New" w:hAnsi="Courier New"/>
                <w:sz w:val="14"/>
                <w:rFonts w:ascii="Courier New" w:hAnsi="Courier New" w:cs="Courier New"/>
              </w:rPr>
              <w:t>- ... (5 candidates)</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Which ONE candidate is the root mechanism? Guidance:</w:t>
            </w:r>
          </w:p>
          <w:p>
            <w:pPr>
              <w:spacing w:after="0" w:before="0"/>
              <w:ind w:firstLine="0"/>
              <w:jc w:val="left"/>
            </w:pPr>
            <w:r>
              <w:rPr>
                <w:rFonts w:ascii="Courier New" w:hAnsi="Courier New"/>
                <w:sz w:val="14"/>
                <w:rFonts w:ascii="Courier New" w:hAnsi="Courier New" w:cs="Courier New"/>
              </w:rPr>
              <w:t>- Restarts, failed health probes, OOM kills, HTTP error codes and error messages are often CONSEQUENCES of a resource or</w:t>
            </w:r>
          </w:p>
          <w:p>
            <w:pPr>
              <w:spacing w:after="0" w:before="0"/>
              <w:ind w:firstLine="0"/>
              <w:jc w:val="left"/>
            </w:pPr>
            <w:r>
              <w:rPr>
                <w:rFonts w:ascii="Courier New" w:hAnsi="Courier New"/>
                <w:sz w:val="14"/>
                <w:rFonts w:ascii="Courier New" w:hAnsi="Courier New" w:cs="Courier New"/>
              </w:rPr>
              <w:t xml:space="preserve">  dependency problem; they identify the mechanism only when nothing else changed before them.</w:t>
            </w:r>
          </w:p>
          <w:p>
            <w:pPr>
              <w:spacing w:after="0" w:before="0"/>
              <w:ind w:firstLine="0"/>
              <w:jc w:val="left"/>
            </w:pPr>
            <w:r>
              <w:rPr>
                <w:rFonts w:ascii="Courier New" w:hAnsi="Courier New"/>
                <w:sz w:val="14"/>
                <w:rFonts w:ascii="Courier New" w:hAnsi="Courier New" w:cs="Courier New"/>
              </w:rPr>
              <w:t>- The root mechanism is the one whose signal changes FIRST and that explains the other changes.</w:t>
            </w:r>
          </w:p>
          <w:p>
            <w:pPr>
              <w:spacing w:after="0" w:before="0"/>
              <w:ind w:firstLine="0"/>
              <w:jc w:val="left"/>
            </w:pPr>
            <w:r>
              <w:rPr>
                <w:rFonts w:ascii="Courier New" w:hAnsi="Courier New"/>
                <w:sz w:val="14"/>
                <w:rFonts w:ascii="Courier New" w:hAnsi="Courier New" w:cs="Courier New"/>
              </w:rPr>
              <w:t>- Keep the most probable candidate unless the evidence clearly favours another one.</w:t>
            </w:r>
          </w:p>
          <w:p>
            <w:pPr>
              <w:spacing w:after="0" w:before="0"/>
              <w:ind w:firstLine="0"/>
              <w:jc w:val="left"/>
            </w:pPr>
            <w:r>
              <w:rPr>
                <w:rFonts w:ascii="Courier New" w:hAnsi="Courier New"/>
                <w:sz w:val="14"/>
                <w:rFonts w:ascii="Courier New" w:hAnsi="Courier New" w:cs="Courier New"/>
              </w:rPr>
              <w:t>Respond as JSON: {"fault_type": "&lt;one candidate id exactly as listed&gt;", "evidence_line": "&lt;one evidence line above,</w:t>
            </w:r>
          </w:p>
          <w:p>
            <w:pPr>
              <w:spacing w:after="0" w:before="0"/>
              <w:ind w:firstLine="0"/>
              <w:jc w:val="left"/>
            </w:pPr>
            <w:r>
              <w:rPr>
                <w:rFonts w:ascii="Courier New" w:hAnsi="Courier New"/>
                <w:sz w:val="14"/>
                <w:rFonts w:ascii="Courier New" w:hAnsi="Courier New" w:cs="Courier New"/>
              </w:rPr>
              <w:t>copied verbatim, that supports it&gt;"}</w:t>
            </w:r>
          </w:p>
        </w:tc>
      </w:tr>
    </w:tbl>
    <w:p>
      <w:pPr>
        <w:pStyle w:val="ICST-Bodytextnoindent"/>
        <w:spacing w:after="80"/>
      </w:pPr>
    </w:p>
    <w:p>
      <w:pPr>
        <w:pStyle w:val="ICST-Heading3"/>
      </w:pPr>
      <w:r>
        <w:rPr/>
        <w:t>C.3 Narrator (system: “You are a site-reliability engineer. The diagnosis has already been decided from the evidence; you write the causal chain that the evidence supports. Respond ONLY with valid JSON.”)</w:t>
      </w:r>
    </w:p>
    <w:tbl>
      <w:tblPr>
        <w:tblW w:type="auto" w:w="0"/>
        <w:tblBorders>
          <w:top w:val="single" w:sz="4" w:color="999999"/>
          <w:left w:val="single" w:sz="4" w:color="999999"/>
          <w:bottom w:val="single" w:sz="4" w:color="999999"/>
          <w:right w:val="single" w:sz="4" w:color="999999"/>
        </w:tblBorders>
        <w:tblLook w:firstColumn="1" w:firstRow="1" w:lastColumn="0" w:lastRow="0" w:noHBand="0" w:noVBand="1" w:val="04A0"/>
      </w:tblPr>
      <w:tblGrid>
        <w:gridCol w:w="10092"/>
      </w:tblGrid>
      <w:tr>
        <w:tc>
          <w:tcPr>
            <w:tcW w:type="dxa" w:w="9921"/>
            <w:shd w:val="clear" w:color="auto" w:fill="F4F4F4"/>
          </w:tcPr>
          <w:p>
            <w:pPr>
              <w:spacing w:after="0" w:before="0"/>
              <w:ind w:firstLine="0"/>
              <w:jc w:val="left"/>
            </w:pPr>
            <w:r>
              <w:rPr>
                <w:rFonts w:ascii="Courier New" w:hAnsi="Courier New"/>
                <w:sz w:val="14"/>
                <w:rFonts w:ascii="Courier New" w:hAnsi="Courier New" w:cs="Courier New"/>
              </w:rPr>
              <w:t>Alert: &lt;alert text&gt;</w:t>
            </w:r>
          </w:p>
          <w:p>
            <w:pPr>
              <w:spacing w:after="0" w:before="0"/>
              <w:ind w:firstLine="0"/>
              <w:jc w:val="left"/>
            </w:pPr>
            <w:r>
              <w:rPr>
                <w:rFonts w:ascii="Courier New" w:hAnsi="Courier New"/>
                <w:sz w:val="14"/>
                <w:rFonts w:ascii="Courier New" w:hAnsi="Courier New" w:cs="Courier New"/>
              </w:rPr>
              <w:t>Alerted service: &lt;service&gt;</w:t>
            </w:r>
          </w:p>
          <w:p>
            <w:pPr>
              <w:spacing w:after="0" w:before="0"/>
              <w:ind w:firstLine="0"/>
              <w:jc w:val="left"/>
            </w:pPr>
            <w:r>
              <w:rPr>
                <w:rFonts w:ascii="Courier New" w:hAnsi="Courier New"/>
                <w:sz w:val="14"/>
                <w:rFonts w:ascii="Courier New" w:hAnsi="Courier New" w:cs="Courier New"/>
              </w:rPr>
              <w:t>Alerted operation: &lt;operation&gt;</w:t>
            </w:r>
          </w:p>
          <w:p>
            <w:pPr>
              <w:spacing w:after="0" w:before="0"/>
              <w:ind w:firstLine="0"/>
              <w:jc w:val="left"/>
            </w:pPr>
            <w:r>
              <w:rPr>
                <w:rFonts w:ascii="Courier New" w:hAnsi="Courier New"/>
                <w:sz w:val="14"/>
                <w:rFonts w:ascii="Courier New" w:hAnsi="Courier New" w:cs="Courier New"/>
              </w:rPr>
              <w:t>Call path from the root cause to the alerted service (topology): &lt;root&gt; -&gt; &lt;service&gt; -&gt; ... -&gt; &lt;alerted service&gt;</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Diagnosis (decided): root cause entity = &lt;entity&gt; (&lt;level&gt;), fault type = &lt;type&gt;: &lt;taxonomy definition&gt;</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Evidence that decided it:</w:t>
            </w:r>
          </w:p>
          <w:p>
            <w:pPr>
              <w:spacing w:after="0" w:before="0"/>
              <w:ind w:firstLine="0"/>
              <w:jc w:val="left"/>
            </w:pPr>
            <w:r>
              <w:rPr>
                <w:rFonts w:ascii="Courier New" w:hAnsi="Courier New"/>
                <w:sz w:val="14"/>
                <w:rFonts w:ascii="Courier New" w:hAnsi="Courier New" w:cs="Courier New"/>
              </w:rPr>
              <w:t>- &lt;entity&gt; &lt;signal&gt; holds|absent (log Bayes factor &lt;value&gt;): &lt;values&gt;</w:t>
            </w:r>
          </w:p>
          <w:p>
            <w:pPr>
              <w:spacing w:after="0" w:before="0"/>
              <w:ind w:firstLine="0"/>
              <w:jc w:val="left"/>
            </w:pPr>
            <w:r>
              <w:rPr>
                <w:rFonts w:ascii="Courier New" w:hAnsi="Courier New"/>
                <w:sz w:val="14"/>
                <w:rFonts w:ascii="Courier New" w:hAnsi="Courier New" w:cs="Courier New"/>
              </w:rPr>
              <w:t xml:space="preserve">  ... (12 lines, by |log Bayes factor|)</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Text probes: &lt;entity&gt; -&gt; &lt;category&gt;; ...</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Evidence tables:</w:t>
            </w:r>
          </w:p>
          <w:p>
            <w:pPr>
              <w:spacing w:after="0" w:before="0"/>
              <w:ind w:firstLine="0"/>
              <w:jc w:val="left"/>
            </w:pPr>
            <w:r>
              <w:rPr>
                <w:rFonts w:ascii="Courier New" w:hAnsi="Courier New"/>
                <w:sz w:val="14"/>
                <w:rFonts w:ascii="Courier New" w:hAnsi="Courier New" w:cs="Courier New"/>
              </w:rPr>
              <w:t>&lt;call-graph propagation table, infrastructure table, trace table&gt;</w:t>
            </w:r>
          </w:p>
          <w:p>
            <w:pPr>
              <w:spacing w:after="0" w:before="0"/>
              <w:ind w:firstLine="0"/>
              <w:jc w:val="left"/>
            </w:pPr>
            <w:r>
              <w:rPr>
                <w:rFonts w:ascii="Courier New" w:hAnsi="Courier New"/>
                <w:sz w:val="14"/>
                <w:rFonts w:ascii="Courier New" w:hAnsi="Courier New" w:cs="Courier New"/>
              </w:rPr>
              <w:t xml:space="preserve"> </w:t>
            </w:r>
          </w:p>
          <w:p>
            <w:pPr>
              <w:spacing w:after="0" w:before="0"/>
              <w:ind w:firstLine="0"/>
              <w:jc w:val="left"/>
            </w:pPr>
            <w:r>
              <w:rPr>
                <w:rFonts w:ascii="Courier New" w:hAnsi="Courier New"/>
                <w:sz w:val="14"/>
                <w:rFonts w:ascii="Courier New" w:hAnsi="Courier New" w:cs="Courier New"/>
              </w:rPr>
              <w:t>Task: write the causal chain from the root cause to the alerted operation, one step per entity of the call path:</w:t>
            </w:r>
          </w:p>
          <w:p>
            <w:pPr>
              <w:spacing w:after="0" w:before="0"/>
              <w:ind w:firstLine="0"/>
              <w:jc w:val="left"/>
            </w:pPr>
            <w:r>
              <w:rPr>
                <w:rFonts w:ascii="Courier New" w:hAnsi="Courier New"/>
                <w:sz w:val="14"/>
                <w:rFonts w:ascii="Courier New" w:hAnsi="Courier New" w:cs="Courier New"/>
              </w:rPr>
              <w:t>'cause: &lt;root cause entity&gt; ...' first, then 'propagation: &lt;service&gt; ...' for each service between the root and the</w:t>
            </w:r>
          </w:p>
          <w:p>
            <w:pPr>
              <w:spacing w:after="0" w:before="0"/>
              <w:ind w:firstLine="0"/>
              <w:jc w:val="left"/>
            </w:pPr>
            <w:r>
              <w:rPr>
                <w:rFonts w:ascii="Courier New" w:hAnsi="Courier New"/>
                <w:sz w:val="14"/>
                <w:rFonts w:ascii="Courier New" w:hAnsi="Courier New" w:cs="Courier New"/>
              </w:rPr>
              <w:t>alerted service, and last 'impact: &lt;alerted operation name, exactly as given&gt; ...'. 'target' names are copied from</w:t>
            </w:r>
          </w:p>
          <w:p>
            <w:pPr>
              <w:spacing w:after="0" w:before="0"/>
              <w:ind w:firstLine="0"/>
              <w:jc w:val="left"/>
            </w:pPr>
            <w:r>
              <w:rPr>
                <w:rFonts w:ascii="Courier New" w:hAnsi="Courier New"/>
                <w:sz w:val="14"/>
                <w:rFonts w:ascii="Courier New" w:hAnsi="Courier New" w:cs="Courier New"/>
              </w:rPr>
              <w:t>the text above; write signals as metric_name=value using the window value the evidence shows (e.g.</w:t>
            </w:r>
          </w:p>
          <w:p>
            <w:pPr>
              <w:spacing w:after="0" w:before="0"/>
              <w:ind w:firstLine="0"/>
              <w:jc w:val="left"/>
            </w:pPr>
            <w:r>
              <w:rPr>
                <w:rFonts w:ascii="Courier New" w:hAnsi="Courier New"/>
                <w:sz w:val="14"/>
                <w:rFonts w:ascii="Courier New" w:hAnsi="Courier New" w:cs="Courier New"/>
              </w:rPr>
              <w:t>node_cpu_usage_rate=0.95, error_count=412, latency=2.8), copied exactly; do not write test statistics, p-values or</w:t>
            </w:r>
          </w:p>
          <w:p>
            <w:pPr>
              <w:spacing w:after="0" w:before="0"/>
              <w:ind w:firstLine="0"/>
              <w:jc w:val="left"/>
            </w:pPr>
            <w:r>
              <w:rPr>
                <w:rFonts w:ascii="Courier New" w:hAnsi="Courier New"/>
                <w:sz w:val="14"/>
                <w:rFonts w:ascii="Courier New" w:hAnsi="Courier New" w:cs="Courier New"/>
              </w:rPr>
              <w:t>ratios.</w:t>
            </w:r>
          </w:p>
          <w:p>
            <w:pPr>
              <w:spacing w:after="0" w:before="0"/>
              <w:ind w:firstLine="0"/>
              <w:jc w:val="left"/>
            </w:pPr>
            <w:r>
              <w:rPr>
                <w:rFonts w:ascii="Courier New" w:hAnsi="Courier New"/>
                <w:sz w:val="14"/>
                <w:rFonts w:ascii="Courier New" w:hAnsi="Courier New" w:cs="Courier New"/>
              </w:rPr>
              <w:t>Respond as JSON: {"reasoning_chain": ["cause: ...", "propagation: ...", "impact: ..."]}</w:t>
            </w:r>
          </w:p>
        </w:tc>
      </w:tr>
    </w:tbl>
    <w:p>
      <w:pPr>
        <w:pStyle w:val="ICST-Bodytextnoindent"/>
        <w:spacing w:after="80"/>
      </w:pPr>
    </w:p>
    <w:p>
      <w:pPr>
        <w:pStyle w:val="ICST-Heading1"/>
      </w:pPr>
      <w:r>
        <w:rPr/>
        <w:t>Appendix D. Propagation and Posterior Examples</w:t>
      </w:r>
    </w:p>
    <w:p>
      <w:pPr>
        <w:pStyle w:val="ICST-Bodytextnoindent"/>
      </w:pPr>
      <w:r>
        <w:rPr/>
        <w:t>Table D1 gives the distance between the predicted and the true root for each fault group (GAMA-RCA + LLM). Table D2 shows the leading hypotheses and their posterior probabilities for selected cases, as stored by the run; Table D3 lists every LLM sensor reading.</w:t>
      </w:r>
    </w:p>
    <w:p>
      <w:pPr>
        <w:pStyle w:val="ICST-Captions"/>
        <w:keepNext/>
      </w:pPr>
      <w:r>
        <w:rPr/>
        <w:t>Table D1. Hop distance between predicted and true root, by fault group.</w:t>
      </w:r>
    </w:p>
    <w:tbl>
      <w:tblPr>
        <w:tblW w:type="auto" w:w="0"/>
        <w:jc w:val="center"/>
        <w:tblBorders>
          <w:top w:val="single" w:sz="10" w:color="000000"/>
          <w:bottom w:val="single" w:sz="10" w:color="000000"/>
        </w:tblBorders>
        <w:tblLook w:firstColumn="1" w:firstRow="1" w:lastColumn="0" w:lastRow="0" w:noHBand="0" w:noVBand="1" w:val="04A0"/>
      </w:tblPr>
      <w:tblGrid>
        <w:gridCol w:w="2551"/>
        <w:gridCol w:w="680"/>
        <w:gridCol w:w="1360"/>
        <w:gridCol w:w="680"/>
        <w:gridCol w:w="680"/>
        <w:gridCol w:w="680"/>
        <w:gridCol w:w="680"/>
      </w:tblGrid>
      <w:tr>
        <w:trPr>
          <w:tblHeader/>
          <w:cantSplit/>
        </w:trPr>
        <w:tc>
          <w:tcPr>
            <w:tcW w:type="dxa" w:w="2551"/>
            <w:tcBorders>
              <w:bottom w:val="single" w:sz="6" w:color="000000"/>
            </w:tcBorders>
          </w:tcPr>
          <w:p>
            <w:pPr>
              <w:pStyle w:val="ICST-Tabletext"/>
              <w:spacing w:before="20" w:after="20"/>
              <w:ind w:firstLine="0"/>
              <w:jc w:val="left"/>
            </w:pPr>
            <w:r>
              <w:rPr>
                <w:b/>
                <w:sz w:val="15"/>
              </w:rPr>
              <w:t>Fault group</w:t>
            </w:r>
          </w:p>
        </w:tc>
        <w:tc>
          <w:tcPr>
            <w:tcW w:type="dxa" w:w="680"/>
            <w:tcBorders>
              <w:bottom w:val="single" w:sz="6" w:color="000000"/>
            </w:tcBorders>
          </w:tcPr>
          <w:p>
            <w:pPr>
              <w:pStyle w:val="ICST-Tabletext"/>
              <w:spacing w:before="20" w:after="20"/>
              <w:ind w:firstLine="0"/>
              <w:jc w:val="right"/>
            </w:pPr>
            <w:r>
              <w:rPr>
                <w:b/>
                <w:sz w:val="15"/>
              </w:rPr>
              <w:t>n</w:t>
            </w:r>
          </w:p>
        </w:tc>
        <w:tc>
          <w:tcPr>
            <w:tcW w:type="dxa" w:w="1361"/>
            <w:tcBorders>
              <w:bottom w:val="single" w:sz="6" w:color="000000"/>
            </w:tcBorders>
          </w:tcPr>
          <w:p>
            <w:pPr>
              <w:pStyle w:val="ICST-Tabletext"/>
              <w:spacing w:before="20" w:after="20"/>
              <w:ind w:firstLine="0"/>
              <w:jc w:val="right"/>
            </w:pPr>
            <w:r>
              <w:rPr>
                <w:b/>
                <w:sz w:val="15"/>
              </w:rPr>
              <w:t>0 hops (exact)</w:t>
            </w:r>
          </w:p>
        </w:tc>
        <w:tc>
          <w:tcPr>
            <w:tcW w:type="dxa" w:w="680"/>
            <w:tcBorders>
              <w:bottom w:val="single" w:sz="6" w:color="000000"/>
            </w:tcBorders>
          </w:tcPr>
          <w:p>
            <w:pPr>
              <w:pStyle w:val="ICST-Tabletext"/>
              <w:spacing w:before="20" w:after="20"/>
              <w:ind w:firstLine="0"/>
              <w:jc w:val="right"/>
            </w:pPr>
            <w:r>
              <w:rPr>
                <w:b/>
                <w:sz w:val="15"/>
              </w:rPr>
              <w:t>1</w:t>
            </w:r>
          </w:p>
        </w:tc>
        <w:tc>
          <w:tcPr>
            <w:tcW w:type="dxa" w:w="680"/>
            <w:tcBorders>
              <w:bottom w:val="single" w:sz="6" w:color="000000"/>
            </w:tcBorders>
          </w:tcPr>
          <w:p>
            <w:pPr>
              <w:pStyle w:val="ICST-Tabletext"/>
              <w:spacing w:before="20" w:after="20"/>
              <w:ind w:firstLine="0"/>
              <w:jc w:val="right"/>
            </w:pPr>
            <w:r>
              <w:rPr>
                <w:b/>
                <w:sz w:val="15"/>
              </w:rPr>
              <w:t>2</w:t>
            </w:r>
          </w:p>
        </w:tc>
        <w:tc>
          <w:tcPr>
            <w:tcW w:type="dxa" w:w="680"/>
            <w:tcBorders>
              <w:bottom w:val="single" w:sz="6" w:color="000000"/>
            </w:tcBorders>
          </w:tcPr>
          <w:p>
            <w:pPr>
              <w:pStyle w:val="ICST-Tabletext"/>
              <w:spacing w:before="20" w:after="20"/>
              <w:ind w:firstLine="0"/>
              <w:jc w:val="right"/>
            </w:pPr>
            <w:r>
              <w:rPr>
                <w:b/>
                <w:sz w:val="15"/>
              </w:rPr>
              <w:t>3</w:t>
            </w:r>
          </w:p>
        </w:tc>
        <w:tc>
          <w:tcPr>
            <w:tcW w:type="dxa" w:w="680"/>
            <w:tcBorders>
              <w:bottom w:val="single" w:sz="6" w:color="000000"/>
            </w:tcBorders>
          </w:tcPr>
          <w:p>
            <w:pPr>
              <w:pStyle w:val="ICST-Tabletext"/>
              <w:spacing w:before="20" w:after="20"/>
              <w:ind w:firstLine="0"/>
              <w:jc w:val="right"/>
            </w:pPr>
            <w:r>
              <w:rPr>
                <w:b/>
                <w:sz w:val="15"/>
              </w:rPr>
              <w:t>≥4</w:t>
            </w:r>
          </w:p>
        </w:tc>
      </w:tr>
      <w:tr>
        <w:trPr>
          <w:cantSplit/>
        </w:trPr>
        <w:tc>
          <w:tcPr>
            <w:tcW w:type="dxa" w:w="2551"/>
          </w:tcPr>
          <w:p>
            <w:pPr>
              <w:pStyle w:val="ICST-Tabletext"/>
              <w:spacing w:before="20" w:after="20"/>
              <w:ind w:firstLine="0"/>
              <w:jc w:val="left"/>
            </w:pPr>
            <w:r>
              <w:rPr>
                <w:sz w:val="15"/>
              </w:rPr>
              <w:t>Resource &amp; perf.</w:t>
            </w:r>
          </w:p>
        </w:tc>
        <w:tc>
          <w:tcPr>
            <w:tcW w:type="dxa" w:w="680"/>
          </w:tcPr>
          <w:p>
            <w:pPr>
              <w:pStyle w:val="ICST-Tabletext"/>
              <w:spacing w:before="20" w:after="20"/>
              <w:ind w:firstLine="0"/>
              <w:jc w:val="right"/>
            </w:pPr>
            <w:r>
              <w:rPr>
                <w:sz w:val="15"/>
              </w:rPr>
              <w:t>10</w:t>
            </w:r>
          </w:p>
        </w:tc>
        <w:tc>
          <w:tcPr>
            <w:tcW w:type="dxa" w:w="1361"/>
          </w:tcPr>
          <w:p>
            <w:pPr>
              <w:pStyle w:val="ICST-Tabletext"/>
              <w:spacing w:before="20" w:after="20"/>
              <w:ind w:firstLine="0"/>
              <w:jc w:val="right"/>
            </w:pPr>
            <w:r>
              <w:rPr>
                <w:sz w:val="15"/>
              </w:rPr>
              <w:t>7</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0</w:t>
            </w:r>
          </w:p>
        </w:tc>
      </w:tr>
      <w:tr>
        <w:trPr>
          <w:cantSplit/>
        </w:trPr>
        <w:tc>
          <w:tcPr>
            <w:tcW w:type="dxa" w:w="2551"/>
          </w:tcPr>
          <w:p>
            <w:pPr>
              <w:pStyle w:val="ICST-Tabletext"/>
              <w:spacing w:before="20" w:after="20"/>
              <w:ind w:firstLine="0"/>
              <w:jc w:val="left"/>
            </w:pPr>
            <w:r>
              <w:rPr>
                <w:sz w:val="15"/>
              </w:rPr>
              <w:t>JVM runtime</w:t>
            </w:r>
          </w:p>
        </w:tc>
        <w:tc>
          <w:tcPr>
            <w:tcW w:type="dxa" w:w="680"/>
          </w:tcPr>
          <w:p>
            <w:pPr>
              <w:pStyle w:val="ICST-Tabletext"/>
              <w:spacing w:before="20" w:after="20"/>
              <w:ind w:firstLine="0"/>
              <w:jc w:val="right"/>
            </w:pPr>
            <w:r>
              <w:rPr>
                <w:sz w:val="15"/>
              </w:rPr>
              <w:t>16</w:t>
            </w:r>
          </w:p>
        </w:tc>
        <w:tc>
          <w:tcPr>
            <w:tcW w:type="dxa" w:w="1361"/>
          </w:tcPr>
          <w:p>
            <w:pPr>
              <w:pStyle w:val="ICST-Tabletext"/>
              <w:spacing w:before="20" w:after="20"/>
              <w:ind w:firstLine="0"/>
              <w:jc w:val="right"/>
            </w:pPr>
            <w:r>
              <w:rPr>
                <w:sz w:val="15"/>
              </w:rPr>
              <w:t>13</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0</w:t>
            </w:r>
          </w:p>
        </w:tc>
      </w:tr>
      <w:tr>
        <w:trPr>
          <w:cantSplit/>
        </w:trPr>
        <w:tc>
          <w:tcPr>
            <w:tcW w:type="dxa" w:w="2551"/>
          </w:tcPr>
          <w:p>
            <w:pPr>
              <w:pStyle w:val="ICST-Tabletext"/>
              <w:spacing w:before="20" w:after="20"/>
              <w:ind w:firstLine="0"/>
              <w:jc w:val="left"/>
            </w:pPr>
            <w:r>
              <w:rPr>
                <w:sz w:val="15"/>
              </w:rPr>
              <w:t>Middleware &amp; DB</w:t>
            </w:r>
          </w:p>
        </w:tc>
        <w:tc>
          <w:tcPr>
            <w:tcW w:type="dxa" w:w="680"/>
          </w:tcPr>
          <w:p>
            <w:pPr>
              <w:pStyle w:val="ICST-Tabletext"/>
              <w:spacing w:before="20" w:after="20"/>
              <w:ind w:firstLine="0"/>
              <w:jc w:val="right"/>
            </w:pPr>
            <w:r>
              <w:rPr>
                <w:sz w:val="15"/>
              </w:rPr>
              <w:t>13</w:t>
            </w:r>
          </w:p>
        </w:tc>
        <w:tc>
          <w:tcPr>
            <w:tcW w:type="dxa" w:w="1361"/>
          </w:tcPr>
          <w:p>
            <w:pPr>
              <w:pStyle w:val="ICST-Tabletext"/>
              <w:spacing w:before="20" w:after="20"/>
              <w:ind w:firstLine="0"/>
              <w:jc w:val="right"/>
            </w:pPr>
            <w:r>
              <w:rPr>
                <w:sz w:val="15"/>
              </w:rPr>
              <w:t>8</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2</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3</w:t>
            </w:r>
          </w:p>
        </w:tc>
      </w:tr>
      <w:tr>
        <w:trPr>
          <w:cantSplit/>
        </w:trPr>
        <w:tc>
          <w:tcPr>
            <w:tcW w:type="dxa" w:w="2551"/>
          </w:tcPr>
          <w:p>
            <w:pPr>
              <w:pStyle w:val="ICST-Tabletext"/>
              <w:spacing w:before="20" w:after="20"/>
              <w:ind w:firstLine="0"/>
              <w:jc w:val="left"/>
            </w:pPr>
            <w:r>
              <w:rPr>
                <w:sz w:val="15"/>
              </w:rPr>
              <w:t>Application logic</w:t>
            </w:r>
          </w:p>
        </w:tc>
        <w:tc>
          <w:tcPr>
            <w:tcW w:type="dxa" w:w="680"/>
          </w:tcPr>
          <w:p>
            <w:pPr>
              <w:pStyle w:val="ICST-Tabletext"/>
              <w:spacing w:before="20" w:after="20"/>
              <w:ind w:firstLine="0"/>
              <w:jc w:val="right"/>
            </w:pPr>
            <w:r>
              <w:rPr>
                <w:sz w:val="15"/>
              </w:rPr>
              <w:t>38</w:t>
            </w:r>
          </w:p>
        </w:tc>
        <w:tc>
          <w:tcPr>
            <w:tcW w:type="dxa" w:w="1361"/>
          </w:tcPr>
          <w:p>
            <w:pPr>
              <w:pStyle w:val="ICST-Tabletext"/>
              <w:spacing w:before="20" w:after="20"/>
              <w:ind w:firstLine="0"/>
              <w:jc w:val="right"/>
            </w:pPr>
            <w:r>
              <w:rPr>
                <w:sz w:val="15"/>
              </w:rPr>
              <w:t>12</w:t>
            </w:r>
          </w:p>
        </w:tc>
        <w:tc>
          <w:tcPr>
            <w:tcW w:type="dxa" w:w="680"/>
          </w:tcPr>
          <w:p>
            <w:pPr>
              <w:pStyle w:val="ICST-Tabletext"/>
              <w:spacing w:before="20" w:after="20"/>
              <w:ind w:firstLine="0"/>
              <w:jc w:val="right"/>
            </w:pPr>
            <w:r>
              <w:rPr>
                <w:sz w:val="15"/>
              </w:rPr>
              <w:t>4</w:t>
            </w:r>
          </w:p>
        </w:tc>
        <w:tc>
          <w:tcPr>
            <w:tcW w:type="dxa" w:w="680"/>
          </w:tcPr>
          <w:p>
            <w:pPr>
              <w:pStyle w:val="ICST-Tabletext"/>
              <w:spacing w:before="20" w:after="20"/>
              <w:ind w:firstLine="0"/>
              <w:jc w:val="right"/>
            </w:pPr>
            <w:r>
              <w:rPr>
                <w:sz w:val="15"/>
              </w:rPr>
              <w:t>4</w:t>
            </w:r>
          </w:p>
        </w:tc>
        <w:tc>
          <w:tcPr>
            <w:tcW w:type="dxa" w:w="680"/>
          </w:tcPr>
          <w:p>
            <w:pPr>
              <w:pStyle w:val="ICST-Tabletext"/>
              <w:spacing w:before="20" w:after="20"/>
              <w:ind w:firstLine="0"/>
              <w:jc w:val="right"/>
            </w:pPr>
            <w:r>
              <w:rPr>
                <w:sz w:val="15"/>
              </w:rPr>
              <w:t>17</w:t>
            </w:r>
          </w:p>
        </w:tc>
        <w:tc>
          <w:tcPr>
            <w:tcW w:type="dxa" w:w="680"/>
          </w:tcPr>
          <w:p>
            <w:pPr>
              <w:pStyle w:val="ICST-Tabletext"/>
              <w:spacing w:before="20" w:after="20"/>
              <w:ind w:firstLine="0"/>
              <w:jc w:val="right"/>
            </w:pPr>
            <w:r>
              <w:rPr>
                <w:sz w:val="15"/>
              </w:rPr>
              <w:t>1</w:t>
            </w:r>
          </w:p>
        </w:tc>
      </w:tr>
      <w:tr>
        <w:trPr>
          <w:cantSplit/>
        </w:trPr>
        <w:tc>
          <w:tcPr>
            <w:tcW w:type="dxa" w:w="2551"/>
          </w:tcPr>
          <w:p>
            <w:pPr>
              <w:pStyle w:val="ICST-Tabletext"/>
              <w:spacing w:before="20" w:after="20"/>
              <w:ind w:firstLine="0"/>
              <w:jc w:val="left"/>
            </w:pPr>
            <w:r>
              <w:rPr>
                <w:sz w:val="15"/>
              </w:rPr>
              <w:t>Cloud resource</w:t>
            </w:r>
          </w:p>
        </w:tc>
        <w:tc>
          <w:tcPr>
            <w:tcW w:type="dxa" w:w="680"/>
          </w:tcPr>
          <w:p>
            <w:pPr>
              <w:pStyle w:val="ICST-Tabletext"/>
              <w:spacing w:before="20" w:after="20"/>
              <w:ind w:firstLine="0"/>
              <w:jc w:val="right"/>
            </w:pPr>
            <w:r>
              <w:rPr>
                <w:sz w:val="15"/>
              </w:rPr>
              <w:t>14</w:t>
            </w:r>
          </w:p>
        </w:tc>
        <w:tc>
          <w:tcPr>
            <w:tcW w:type="dxa" w:w="1361"/>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0</w:t>
            </w:r>
          </w:p>
        </w:tc>
        <w:tc>
          <w:tcPr>
            <w:tcW w:type="dxa" w:w="680"/>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5</w:t>
            </w:r>
          </w:p>
        </w:tc>
      </w:tr>
      <w:tr>
        <w:trPr>
          <w:cantSplit/>
        </w:trPr>
        <w:tc>
          <w:tcPr>
            <w:tcW w:type="dxa" w:w="2551"/>
          </w:tcPr>
          <w:p>
            <w:pPr>
              <w:pStyle w:val="ICST-Tabletext"/>
              <w:spacing w:before="20" w:after="20"/>
              <w:ind w:firstLine="0"/>
              <w:jc w:val="left"/>
            </w:pPr>
            <w:r>
              <w:rPr>
                <w:sz w:val="15"/>
              </w:rPr>
              <w:t>K8s lifecycle</w:t>
            </w:r>
          </w:p>
        </w:tc>
        <w:tc>
          <w:tcPr>
            <w:tcW w:type="dxa" w:w="680"/>
          </w:tcPr>
          <w:p>
            <w:pPr>
              <w:pStyle w:val="ICST-Tabletext"/>
              <w:spacing w:before="20" w:after="20"/>
              <w:ind w:firstLine="0"/>
              <w:jc w:val="right"/>
            </w:pPr>
            <w:r>
              <w:rPr>
                <w:sz w:val="15"/>
              </w:rPr>
              <w:t>12</w:t>
            </w:r>
          </w:p>
        </w:tc>
        <w:tc>
          <w:tcPr>
            <w:tcW w:type="dxa" w:w="1361"/>
          </w:tcPr>
          <w:p>
            <w:pPr>
              <w:pStyle w:val="ICST-Tabletext"/>
              <w:spacing w:before="20" w:after="20"/>
              <w:ind w:firstLine="0"/>
              <w:jc w:val="right"/>
            </w:pPr>
            <w:r>
              <w:rPr>
                <w:sz w:val="15"/>
              </w:rPr>
              <w:t>2</w:t>
            </w:r>
          </w:p>
        </w:tc>
        <w:tc>
          <w:tcPr>
            <w:tcW w:type="dxa" w:w="680"/>
          </w:tcPr>
          <w:p>
            <w:pPr>
              <w:pStyle w:val="ICST-Tabletext"/>
              <w:spacing w:before="20" w:after="20"/>
              <w:ind w:firstLine="0"/>
              <w:jc w:val="right"/>
            </w:pPr>
            <w:r>
              <w:rPr>
                <w:sz w:val="15"/>
              </w:rPr>
              <w:t>2</w:t>
            </w:r>
          </w:p>
        </w:tc>
        <w:tc>
          <w:tcPr>
            <w:tcW w:type="dxa" w:w="680"/>
          </w:tcPr>
          <w:p>
            <w:pPr>
              <w:pStyle w:val="ICST-Tabletext"/>
              <w:spacing w:before="20" w:after="20"/>
              <w:ind w:firstLine="0"/>
              <w:jc w:val="right"/>
            </w:pPr>
            <w:r>
              <w:rPr>
                <w:sz w:val="15"/>
              </w:rPr>
              <w:t>3</w:t>
            </w:r>
          </w:p>
        </w:tc>
        <w:tc>
          <w:tcPr>
            <w:tcW w:type="dxa" w:w="680"/>
          </w:tcPr>
          <w:p>
            <w:pPr>
              <w:pStyle w:val="ICST-Tabletext"/>
              <w:spacing w:before="20" w:after="20"/>
              <w:ind w:firstLine="0"/>
              <w:jc w:val="right"/>
            </w:pPr>
            <w:r>
              <w:rPr>
                <w:sz w:val="15"/>
              </w:rPr>
              <w:t>1</w:t>
            </w:r>
          </w:p>
        </w:tc>
        <w:tc>
          <w:tcPr>
            <w:tcW w:type="dxa" w:w="680"/>
          </w:tcPr>
          <w:p>
            <w:pPr>
              <w:pStyle w:val="ICST-Tabletext"/>
              <w:spacing w:before="20" w:after="20"/>
              <w:ind w:firstLine="0"/>
              <w:jc w:val="right"/>
            </w:pPr>
            <w:r>
              <w:rPr>
                <w:sz w:val="15"/>
              </w:rPr>
              <w:t>4</w:t>
            </w:r>
          </w:p>
        </w:tc>
      </w:tr>
      <w:tr>
        <w:trPr>
          <w:cantSplit/>
        </w:trPr>
        <w:tc>
          <w:tcPr>
            <w:tcW w:type="dxa" w:w="2551"/>
            <w:tcBorders>
              <w:top w:val="single" w:sz="4" w:color="000000"/>
            </w:tcBorders>
          </w:tcPr>
          <w:p>
            <w:pPr>
              <w:pStyle w:val="ICST-Tabletext"/>
              <w:spacing w:before="20" w:after="20"/>
              <w:ind w:firstLine="0"/>
              <w:jc w:val="left"/>
            </w:pPr>
            <w:r>
              <w:rPr>
                <w:b/>
                <w:sz w:val="15"/>
              </w:rPr>
              <w:t>All</w:t>
            </w:r>
          </w:p>
        </w:tc>
        <w:tc>
          <w:tcPr>
            <w:tcW w:type="dxa" w:w="680"/>
            <w:tcBorders>
              <w:top w:val="single" w:sz="4" w:color="000000"/>
            </w:tcBorders>
          </w:tcPr>
          <w:p>
            <w:pPr>
              <w:pStyle w:val="ICST-Tabletext"/>
              <w:spacing w:before="20" w:after="20"/>
              <w:ind w:firstLine="0"/>
              <w:jc w:val="right"/>
            </w:pPr>
            <w:r>
              <w:rPr>
                <w:b/>
                <w:sz w:val="15"/>
              </w:rPr>
              <w:t>103</w:t>
            </w:r>
          </w:p>
        </w:tc>
        <w:tc>
          <w:tcPr>
            <w:tcW w:type="dxa" w:w="1361"/>
            <w:tcBorders>
              <w:top w:val="single" w:sz="4" w:color="000000"/>
            </w:tcBorders>
          </w:tcPr>
          <w:p>
            <w:pPr>
              <w:pStyle w:val="ICST-Tabletext"/>
              <w:spacing w:before="20" w:after="20"/>
              <w:ind w:firstLine="0"/>
              <w:jc w:val="right"/>
            </w:pPr>
            <w:r>
              <w:rPr>
                <w:b/>
                <w:sz w:val="15"/>
              </w:rPr>
              <w:t>45</w:t>
            </w:r>
          </w:p>
        </w:tc>
        <w:tc>
          <w:tcPr>
            <w:tcW w:type="dxa" w:w="680"/>
            <w:tcBorders>
              <w:top w:val="single" w:sz="4" w:color="000000"/>
            </w:tcBorders>
          </w:tcPr>
          <w:p>
            <w:pPr>
              <w:pStyle w:val="ICST-Tabletext"/>
              <w:spacing w:before="20" w:after="20"/>
              <w:ind w:firstLine="0"/>
              <w:jc w:val="right"/>
            </w:pPr>
            <w:r>
              <w:rPr>
                <w:b/>
                <w:sz w:val="15"/>
              </w:rPr>
              <w:t>6</w:t>
            </w:r>
          </w:p>
        </w:tc>
        <w:tc>
          <w:tcPr>
            <w:tcW w:type="dxa" w:w="680"/>
            <w:tcBorders>
              <w:top w:val="single" w:sz="4" w:color="000000"/>
            </w:tcBorders>
          </w:tcPr>
          <w:p>
            <w:pPr>
              <w:pStyle w:val="ICST-Tabletext"/>
              <w:spacing w:before="20" w:after="20"/>
              <w:ind w:firstLine="0"/>
              <w:jc w:val="right"/>
            </w:pPr>
            <w:r>
              <w:rPr>
                <w:b/>
                <w:sz w:val="15"/>
              </w:rPr>
              <w:t>15</w:t>
            </w:r>
          </w:p>
        </w:tc>
        <w:tc>
          <w:tcPr>
            <w:tcW w:type="dxa" w:w="680"/>
            <w:tcBorders>
              <w:top w:val="single" w:sz="4" w:color="000000"/>
            </w:tcBorders>
          </w:tcPr>
          <w:p>
            <w:pPr>
              <w:pStyle w:val="ICST-Tabletext"/>
              <w:spacing w:before="20" w:after="20"/>
              <w:ind w:firstLine="0"/>
              <w:jc w:val="right"/>
            </w:pPr>
            <w:r>
              <w:rPr>
                <w:b/>
                <w:sz w:val="15"/>
              </w:rPr>
              <w:t>24</w:t>
            </w:r>
          </w:p>
        </w:tc>
        <w:tc>
          <w:tcPr>
            <w:tcW w:type="dxa" w:w="680"/>
            <w:tcBorders>
              <w:top w:val="single" w:sz="4" w:color="000000"/>
            </w:tcBorders>
          </w:tcPr>
          <w:p>
            <w:pPr>
              <w:pStyle w:val="ICST-Tabletext"/>
              <w:spacing w:before="20" w:after="20"/>
              <w:ind w:firstLine="0"/>
              <w:jc w:val="right"/>
            </w:pPr>
            <w:r>
              <w:rPr>
                <w:b/>
                <w:sz w:val="15"/>
              </w:rPr>
              <w:t>13</w:t>
            </w:r>
          </w:p>
        </w:tc>
      </w:tr>
    </w:tbl>
    <w:p>
      <w:pPr>
        <w:pStyle w:val="ICST-Bodytextnoindent"/>
        <w:spacing w:after="80"/>
      </w:pPr>
    </w:p>
    <w:p>
      <w:pPr>
        <w:pStyle w:val="ICST-Captions"/>
        <w:keepNext/>
      </w:pPr>
      <w:r>
        <w:rPr/>
        <w:t>Table D2. Top-5 hypotheses of the posterior for five cases (before LLM typing).</w:t>
      </w:r>
    </w:p>
    <w:tbl>
      <w:tblPr>
        <w:tblW w:type="auto" w:w="0"/>
        <w:jc w:val="center"/>
        <w:tblBorders>
          <w:top w:val="single" w:sz="10" w:color="000000"/>
          <w:bottom w:val="single" w:sz="10" w:color="000000"/>
        </w:tblBorders>
        <w:tblLook w:firstColumn="1" w:firstRow="1" w:lastColumn="0" w:lastRow="0" w:noHBand="0" w:noVBand="1" w:val="04A0"/>
      </w:tblPr>
      <w:tblGrid>
        <w:gridCol w:w="737"/>
        <w:gridCol w:w="2381"/>
        <w:gridCol w:w="3401"/>
        <w:gridCol w:w="1020"/>
      </w:tblGrid>
      <w:tr>
        <w:trPr>
          <w:tblHeader/>
          <w:cantSplit/>
        </w:trPr>
        <w:tc>
          <w:tcPr>
            <w:tcW w:type="dxa" w:w="737"/>
            <w:tcBorders>
              <w:bottom w:val="single" w:sz="6" w:color="000000"/>
            </w:tcBorders>
          </w:tcPr>
          <w:p>
            <w:pPr>
              <w:pStyle w:val="ICST-Tabletext"/>
              <w:spacing w:before="20" w:after="20"/>
              <w:ind w:firstLine="0"/>
              <w:jc w:val="left"/>
            </w:pPr>
            <w:r>
              <w:rPr>
                <w:b/>
                <w:sz w:val="15"/>
              </w:rPr>
              <w:t>Case</w:t>
            </w:r>
          </w:p>
        </w:tc>
        <w:tc>
          <w:tcPr>
            <w:tcW w:type="dxa" w:w="2381"/>
            <w:tcBorders>
              <w:bottom w:val="single" w:sz="6" w:color="000000"/>
            </w:tcBorders>
          </w:tcPr>
          <w:p>
            <w:pPr>
              <w:pStyle w:val="ICST-Tabletext"/>
              <w:spacing w:before="20" w:after="20"/>
              <w:ind w:firstLine="0"/>
              <w:jc w:val="left"/>
            </w:pPr>
            <w:r>
              <w:rPr>
                <w:b/>
                <w:sz w:val="15"/>
              </w:rPr>
              <w:t>Entity</w:t>
            </w:r>
          </w:p>
        </w:tc>
        <w:tc>
          <w:tcPr>
            <w:tcW w:type="dxa" w:w="3402"/>
            <w:tcBorders>
              <w:bottom w:val="single" w:sz="6" w:color="000000"/>
            </w:tcBorders>
          </w:tcPr>
          <w:p>
            <w:pPr>
              <w:pStyle w:val="ICST-Tabletext"/>
              <w:spacing w:before="20" w:after="20"/>
              <w:ind w:firstLine="0"/>
              <w:jc w:val="left"/>
            </w:pPr>
            <w:r>
              <w:rPr>
                <w:b/>
                <w:sz w:val="15"/>
              </w:rPr>
              <w:t>Hypothesis (fault type)</w:t>
            </w:r>
          </w:p>
        </w:tc>
        <w:tc>
          <w:tcPr>
            <w:tcW w:type="dxa" w:w="1020"/>
            <w:tcBorders>
              <w:bottom w:val="single" w:sz="6" w:color="000000"/>
            </w:tcBorders>
          </w:tcPr>
          <w:p>
            <w:pPr>
              <w:pStyle w:val="ICST-Tabletext"/>
              <w:spacing w:before="20" w:after="20"/>
              <w:ind w:firstLine="0"/>
              <w:jc w:val="right"/>
            </w:pPr>
            <w:r>
              <w:rPr>
                <w:b/>
                <w:sz w:val="15"/>
              </w:rPr>
              <w:t>Posterior</w:t>
            </w:r>
          </w:p>
        </w:tc>
      </w:tr>
      <w:tr>
        <w:trPr>
          <w:cantSplit/>
        </w:trPr>
        <w:tc>
          <w:tcPr>
            <w:tcW w:type="dxa" w:w="737"/>
          </w:tcPr>
          <w:p>
            <w:pPr>
              <w:pStyle w:val="ICST-Tabletext"/>
              <w:spacing w:before="20" w:after="20"/>
              <w:ind w:firstLine="0"/>
              <w:jc w:val="left"/>
            </w:pPr>
            <w:r>
              <w:rPr>
                <w:sz w:val="15"/>
              </w:rPr>
              <w:t>t002</w:t>
            </w: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F029-redisUnavailable</w:t>
            </w:r>
          </w:p>
        </w:tc>
        <w:tc>
          <w:tcPr>
            <w:tcW w:type="dxa" w:w="1020"/>
          </w:tcPr>
          <w:p>
            <w:pPr>
              <w:pStyle w:val="ICST-Tabletext"/>
              <w:spacing w:before="20" w:after="20"/>
              <w:ind w:firstLine="0"/>
              <w:jc w:val="right"/>
            </w:pPr>
            <w:r>
              <w:rPr>
                <w:sz w:val="15"/>
              </w:rPr>
              <w:t>0.9278</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node-10.0.2.71</w:t>
            </w:r>
          </w:p>
        </w:tc>
        <w:tc>
          <w:tcPr>
            <w:tcW w:type="dxa" w:w="3402"/>
          </w:tcPr>
          <w:p>
            <w:pPr>
              <w:pStyle w:val="ICST-Tabletext"/>
              <w:spacing w:before="20" w:after="20"/>
              <w:ind w:firstLine="0"/>
              <w:jc w:val="left"/>
            </w:pPr>
            <w:r>
              <w:rPr>
                <w:sz w:val="15"/>
              </w:rPr>
              <w:t>unspecified anomaly</w:t>
            </w:r>
          </w:p>
        </w:tc>
        <w:tc>
          <w:tcPr>
            <w:tcW w:type="dxa" w:w="1020"/>
          </w:tcPr>
          <w:p>
            <w:pPr>
              <w:pStyle w:val="ICST-Tabletext"/>
              <w:spacing w:before="20" w:after="20"/>
              <w:ind w:firstLine="0"/>
              <w:jc w:val="right"/>
            </w:pPr>
            <w:r>
              <w:rPr>
                <w:sz w:val="15"/>
              </w:rPr>
              <w:t>0.0095</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unspecified anomaly</w:t>
            </w:r>
          </w:p>
        </w:tc>
        <w:tc>
          <w:tcPr>
            <w:tcW w:type="dxa" w:w="1020"/>
          </w:tcPr>
          <w:p>
            <w:pPr>
              <w:pStyle w:val="ICST-Tabletext"/>
              <w:spacing w:before="20" w:after="20"/>
              <w:ind w:firstLine="0"/>
              <w:jc w:val="right"/>
            </w:pPr>
            <w:r>
              <w:rPr>
                <w:sz w:val="15"/>
              </w:rPr>
              <w:t>0.0091</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node-10.0.2.71</w:t>
            </w:r>
          </w:p>
        </w:tc>
        <w:tc>
          <w:tcPr>
            <w:tcW w:type="dxa" w:w="3402"/>
          </w:tcPr>
          <w:p>
            <w:pPr>
              <w:pStyle w:val="ICST-Tabletext"/>
              <w:spacing w:before="20" w:after="20"/>
              <w:ind w:firstLine="0"/>
              <w:jc w:val="left"/>
            </w:pPr>
            <w:r>
              <w:rPr>
                <w:sz w:val="15"/>
              </w:rPr>
              <w:t>F031-nodeMemoryOOM</w:t>
            </w:r>
          </w:p>
        </w:tc>
        <w:tc>
          <w:tcPr>
            <w:tcW w:type="dxa" w:w="1020"/>
          </w:tcPr>
          <w:p>
            <w:pPr>
              <w:pStyle w:val="ICST-Tabletext"/>
              <w:spacing w:before="20" w:after="20"/>
              <w:ind w:firstLine="0"/>
              <w:jc w:val="right"/>
            </w:pPr>
            <w:r>
              <w:rPr>
                <w:sz w:val="15"/>
              </w:rPr>
              <w:t>0.007</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unspecified anomaly</w:t>
            </w:r>
          </w:p>
        </w:tc>
        <w:tc>
          <w:tcPr>
            <w:tcW w:type="dxa" w:w="1020"/>
          </w:tcPr>
          <w:p>
            <w:pPr>
              <w:pStyle w:val="ICST-Tabletext"/>
              <w:spacing w:before="20" w:after="20"/>
              <w:ind w:firstLine="0"/>
              <w:jc w:val="right"/>
            </w:pPr>
            <w:r>
              <w:rPr>
                <w:sz w:val="15"/>
              </w:rPr>
              <w:t>0.0053</w:t>
            </w:r>
          </w:p>
        </w:tc>
      </w:tr>
      <w:tr>
        <w:trPr>
          <w:cantSplit/>
        </w:trPr>
        <w:tc>
          <w:tcPr>
            <w:tcW w:type="dxa" w:w="737"/>
            <w:tcBorders>
              <w:top w:val="single" w:sz="4" w:color="000000"/>
            </w:tcBorders>
          </w:tcPr>
          <w:p>
            <w:pPr>
              <w:pStyle w:val="ICST-Tabletext"/>
              <w:spacing w:before="20" w:after="20"/>
              <w:ind w:firstLine="0"/>
              <w:jc w:val="left"/>
            </w:pPr>
            <w:r>
              <w:rPr>
                <w:sz w:val="15"/>
              </w:rPr>
              <w:t>t009</w:t>
            </w:r>
          </w:p>
        </w:tc>
        <w:tc>
          <w:tcPr>
            <w:tcW w:type="dxa" w:w="2381"/>
            <w:tcBorders>
              <w:top w:val="single" w:sz="4" w:color="000000"/>
            </w:tcBorders>
          </w:tcPr>
          <w:p>
            <w:pPr>
              <w:pStyle w:val="ICST-Tabletext"/>
              <w:spacing w:before="20" w:after="20"/>
              <w:ind w:firstLine="0"/>
              <w:jc w:val="left"/>
            </w:pPr>
            <w:r>
              <w:rPr>
                <w:sz w:val="15"/>
              </w:rPr>
              <w:t>inventory</w:t>
            </w:r>
          </w:p>
        </w:tc>
        <w:tc>
          <w:tcPr>
            <w:tcW w:type="dxa" w:w="3402"/>
            <w:tcBorders>
              <w:top w:val="single" w:sz="4" w:color="000000"/>
            </w:tcBorders>
          </w:tcPr>
          <w:p>
            <w:pPr>
              <w:pStyle w:val="ICST-Tabletext"/>
              <w:spacing w:before="20" w:after="20"/>
              <w:ind w:firstLine="0"/>
              <w:jc w:val="left"/>
            </w:pPr>
            <w:r>
              <w:rPr>
                <w:sz w:val="15"/>
              </w:rPr>
              <w:t>F007-memoryPressure</w:t>
            </w:r>
          </w:p>
        </w:tc>
        <w:tc>
          <w:tcPr>
            <w:tcW w:type="dxa" w:w="1020"/>
            <w:tcBorders>
              <w:top w:val="single" w:sz="4" w:color="000000"/>
            </w:tcBorders>
          </w:tcPr>
          <w:p>
            <w:pPr>
              <w:pStyle w:val="ICST-Tabletext"/>
              <w:spacing w:before="20" w:after="20"/>
              <w:ind w:firstLine="0"/>
              <w:jc w:val="right"/>
            </w:pPr>
            <w:r>
              <w:rPr>
                <w:sz w:val="15"/>
              </w:rPr>
              <w:t>0.7758</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F034-cpuFullLoad</w:t>
            </w:r>
          </w:p>
        </w:tc>
        <w:tc>
          <w:tcPr>
            <w:tcW w:type="dxa" w:w="1020"/>
          </w:tcPr>
          <w:p>
            <w:pPr>
              <w:pStyle w:val="ICST-Tabletext"/>
              <w:spacing w:before="20" w:after="20"/>
              <w:ind w:firstLine="0"/>
              <w:jc w:val="right"/>
            </w:pPr>
            <w:r>
              <w:rPr>
                <w:sz w:val="15"/>
              </w:rPr>
              <w:t>0.0903</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F012-cpuDeadLoop</w:t>
            </w:r>
          </w:p>
        </w:tc>
        <w:tc>
          <w:tcPr>
            <w:tcW w:type="dxa" w:w="1020"/>
          </w:tcPr>
          <w:p>
            <w:pPr>
              <w:pStyle w:val="ICST-Tabletext"/>
              <w:spacing w:before="20" w:after="20"/>
              <w:ind w:firstLine="0"/>
              <w:jc w:val="right"/>
            </w:pPr>
            <w:r>
              <w:rPr>
                <w:sz w:val="15"/>
              </w:rPr>
              <w:t>0.0903</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unspecified anomaly</w:t>
            </w:r>
          </w:p>
        </w:tc>
        <w:tc>
          <w:tcPr>
            <w:tcW w:type="dxa" w:w="1020"/>
          </w:tcPr>
          <w:p>
            <w:pPr>
              <w:pStyle w:val="ICST-Tabletext"/>
              <w:spacing w:before="20" w:after="20"/>
              <w:ind w:firstLine="0"/>
              <w:jc w:val="right"/>
            </w:pPr>
            <w:r>
              <w:rPr>
                <w:sz w:val="15"/>
              </w:rPr>
              <w:t>0.0151</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F006-trafficSurge</w:t>
            </w:r>
          </w:p>
        </w:tc>
        <w:tc>
          <w:tcPr>
            <w:tcW w:type="dxa" w:w="1020"/>
          </w:tcPr>
          <w:p>
            <w:pPr>
              <w:pStyle w:val="ICST-Tabletext"/>
              <w:spacing w:before="20" w:after="20"/>
              <w:ind w:firstLine="0"/>
              <w:jc w:val="right"/>
            </w:pPr>
            <w:r>
              <w:rPr>
                <w:sz w:val="15"/>
              </w:rPr>
              <w:t>0.0143</w:t>
            </w:r>
          </w:p>
        </w:tc>
      </w:tr>
      <w:tr>
        <w:trPr>
          <w:cantSplit/>
        </w:trPr>
        <w:tc>
          <w:tcPr>
            <w:tcW w:type="dxa" w:w="737"/>
            <w:tcBorders>
              <w:top w:val="single" w:sz="4" w:color="000000"/>
            </w:tcBorders>
          </w:tcPr>
          <w:p>
            <w:pPr>
              <w:pStyle w:val="ICST-Tabletext"/>
              <w:spacing w:before="20" w:after="20"/>
              <w:ind w:firstLine="0"/>
              <w:jc w:val="left"/>
            </w:pPr>
            <w:r>
              <w:rPr>
                <w:sz w:val="15"/>
              </w:rPr>
              <w:t>t008</w:t>
            </w:r>
          </w:p>
        </w:tc>
        <w:tc>
          <w:tcPr>
            <w:tcW w:type="dxa" w:w="2381"/>
            <w:tcBorders>
              <w:top w:val="single" w:sz="4" w:color="000000"/>
            </w:tcBorders>
          </w:tcPr>
          <w:p>
            <w:pPr>
              <w:pStyle w:val="ICST-Tabletext"/>
              <w:spacing w:before="20" w:after="20"/>
              <w:ind w:firstLine="0"/>
              <w:jc w:val="left"/>
            </w:pPr>
            <w:r>
              <w:rPr>
                <w:sz w:val="15"/>
              </w:rPr>
              <w:t>node-10.0.1.56</w:t>
            </w:r>
          </w:p>
        </w:tc>
        <w:tc>
          <w:tcPr>
            <w:tcW w:type="dxa" w:w="3402"/>
            <w:tcBorders>
              <w:top w:val="single" w:sz="4" w:color="000000"/>
            </w:tcBorders>
          </w:tcPr>
          <w:p>
            <w:pPr>
              <w:pStyle w:val="ICST-Tabletext"/>
              <w:spacing w:before="20" w:after="20"/>
              <w:ind w:firstLine="0"/>
              <w:jc w:val="left"/>
            </w:pPr>
            <w:r>
              <w:rPr>
                <w:sz w:val="15"/>
              </w:rPr>
              <w:t>F026-nodeCpuHigh</w:t>
            </w:r>
          </w:p>
        </w:tc>
        <w:tc>
          <w:tcPr>
            <w:tcW w:type="dxa" w:w="1020"/>
            <w:tcBorders>
              <w:top w:val="single" w:sz="4" w:color="000000"/>
            </w:tcBorders>
          </w:tcPr>
          <w:p>
            <w:pPr>
              <w:pStyle w:val="ICST-Tabletext"/>
              <w:spacing w:before="20" w:after="20"/>
              <w:ind w:firstLine="0"/>
              <w:jc w:val="right"/>
            </w:pPr>
            <w:r>
              <w:rPr>
                <w:sz w:val="15"/>
              </w:rPr>
              <w:t>0.5742</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node-10.0.1.56</w:t>
            </w:r>
          </w:p>
        </w:tc>
        <w:tc>
          <w:tcPr>
            <w:tcW w:type="dxa" w:w="3402"/>
          </w:tcPr>
          <w:p>
            <w:pPr>
              <w:pStyle w:val="ICST-Tabletext"/>
              <w:spacing w:before="20" w:after="20"/>
              <w:ind w:firstLine="0"/>
              <w:jc w:val="left"/>
            </w:pPr>
            <w:r>
              <w:rPr>
                <w:sz w:val="15"/>
              </w:rPr>
              <w:t>unspecified anomaly</w:t>
            </w:r>
          </w:p>
        </w:tc>
        <w:tc>
          <w:tcPr>
            <w:tcW w:type="dxa" w:w="1020"/>
          </w:tcPr>
          <w:p>
            <w:pPr>
              <w:pStyle w:val="ICST-Tabletext"/>
              <w:spacing w:before="20" w:after="20"/>
              <w:ind w:firstLine="0"/>
              <w:jc w:val="right"/>
            </w:pPr>
            <w:r>
              <w:rPr>
                <w:sz w:val="15"/>
              </w:rPr>
              <w:t>0.1129</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F029-redisUnavailable</w:t>
            </w:r>
          </w:p>
        </w:tc>
        <w:tc>
          <w:tcPr>
            <w:tcW w:type="dxa" w:w="1020"/>
          </w:tcPr>
          <w:p>
            <w:pPr>
              <w:pStyle w:val="ICST-Tabletext"/>
              <w:spacing w:before="20" w:after="20"/>
              <w:ind w:firstLine="0"/>
              <w:jc w:val="right"/>
            </w:pPr>
            <w:r>
              <w:rPr>
                <w:sz w:val="15"/>
              </w:rPr>
              <w:t>0.0349</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null</w:t>
            </w:r>
          </w:p>
        </w:tc>
        <w:tc>
          <w:tcPr>
            <w:tcW w:type="dxa" w:w="3402"/>
          </w:tcPr>
          <w:p>
            <w:pPr>
              <w:pStyle w:val="ICST-Tabletext"/>
              <w:spacing w:before="20" w:after="20"/>
              <w:ind w:firstLine="0"/>
              <w:jc w:val="left"/>
            </w:pPr>
            <w:r>
              <w:rPr>
                <w:sz w:val="15"/>
              </w:rPr>
              <w:t>no fault (h0)</w:t>
            </w:r>
          </w:p>
        </w:tc>
        <w:tc>
          <w:tcPr>
            <w:tcW w:type="dxa" w:w="1020"/>
          </w:tcPr>
          <w:p>
            <w:pPr>
              <w:pStyle w:val="ICST-Tabletext"/>
              <w:spacing w:before="20" w:after="20"/>
              <w:ind w:firstLine="0"/>
              <w:jc w:val="right"/>
            </w:pPr>
            <w:r>
              <w:rPr>
                <w:sz w:val="15"/>
              </w:rPr>
              <w:t>0.0228</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F034-cpuFullLoad</w:t>
            </w:r>
          </w:p>
        </w:tc>
        <w:tc>
          <w:tcPr>
            <w:tcW w:type="dxa" w:w="1020"/>
          </w:tcPr>
          <w:p>
            <w:pPr>
              <w:pStyle w:val="ICST-Tabletext"/>
              <w:spacing w:before="20" w:after="20"/>
              <w:ind w:firstLine="0"/>
              <w:jc w:val="right"/>
            </w:pPr>
            <w:r>
              <w:rPr>
                <w:sz w:val="15"/>
              </w:rPr>
              <w:t>0.013</w:t>
            </w:r>
          </w:p>
        </w:tc>
      </w:tr>
      <w:tr>
        <w:trPr>
          <w:cantSplit/>
        </w:trPr>
        <w:tc>
          <w:tcPr>
            <w:tcW w:type="dxa" w:w="737"/>
            <w:tcBorders>
              <w:top w:val="single" w:sz="4" w:color="000000"/>
            </w:tcBorders>
          </w:tcPr>
          <w:p>
            <w:pPr>
              <w:pStyle w:val="ICST-Tabletext"/>
              <w:spacing w:before="20" w:after="20"/>
              <w:ind w:firstLine="0"/>
              <w:jc w:val="left"/>
            </w:pPr>
            <w:r>
              <w:rPr>
                <w:sz w:val="15"/>
              </w:rPr>
              <w:t>t027</w:t>
            </w:r>
          </w:p>
        </w:tc>
        <w:tc>
          <w:tcPr>
            <w:tcW w:type="dxa" w:w="2381"/>
            <w:tcBorders>
              <w:top w:val="single" w:sz="4" w:color="000000"/>
            </w:tcBorders>
          </w:tcPr>
          <w:p>
            <w:pPr>
              <w:pStyle w:val="ICST-Tabletext"/>
              <w:spacing w:before="20" w:after="20"/>
              <w:ind w:firstLine="0"/>
              <w:jc w:val="left"/>
            </w:pPr>
            <w:r>
              <w:rPr>
                <w:sz w:val="15"/>
              </w:rPr>
              <w:t>inventory</w:t>
            </w:r>
          </w:p>
        </w:tc>
        <w:tc>
          <w:tcPr>
            <w:tcW w:type="dxa" w:w="3402"/>
            <w:tcBorders>
              <w:top w:val="single" w:sz="4" w:color="000000"/>
            </w:tcBorders>
          </w:tcPr>
          <w:p>
            <w:pPr>
              <w:pStyle w:val="ICST-Tabletext"/>
              <w:spacing w:before="20" w:after="20"/>
              <w:ind w:firstLine="0"/>
              <w:jc w:val="left"/>
            </w:pPr>
            <w:r>
              <w:rPr>
                <w:sz w:val="15"/>
              </w:rPr>
              <w:t>F012-cpuDeadLoop</w:t>
            </w:r>
          </w:p>
        </w:tc>
        <w:tc>
          <w:tcPr>
            <w:tcW w:type="dxa" w:w="1020"/>
            <w:tcBorders>
              <w:top w:val="single" w:sz="4" w:color="000000"/>
            </w:tcBorders>
          </w:tcPr>
          <w:p>
            <w:pPr>
              <w:pStyle w:val="ICST-Tabletext"/>
              <w:spacing w:before="20" w:after="20"/>
              <w:ind w:firstLine="0"/>
              <w:jc w:val="right"/>
            </w:pPr>
            <w:r>
              <w:rPr>
                <w:sz w:val="15"/>
              </w:rPr>
              <w:t>0.4951</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F034-cpuFullLoad</w:t>
            </w:r>
          </w:p>
        </w:tc>
        <w:tc>
          <w:tcPr>
            <w:tcW w:type="dxa" w:w="1020"/>
          </w:tcPr>
          <w:p>
            <w:pPr>
              <w:pStyle w:val="ICST-Tabletext"/>
              <w:spacing w:before="20" w:after="20"/>
              <w:ind w:firstLine="0"/>
              <w:jc w:val="right"/>
            </w:pPr>
            <w:r>
              <w:rPr>
                <w:sz w:val="15"/>
              </w:rPr>
              <w:t>0.4951</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F006-trafficSurge</w:t>
            </w:r>
          </w:p>
        </w:tc>
        <w:tc>
          <w:tcPr>
            <w:tcW w:type="dxa" w:w="1020"/>
          </w:tcPr>
          <w:p>
            <w:pPr>
              <w:pStyle w:val="ICST-Tabletext"/>
              <w:spacing w:before="20" w:after="20"/>
              <w:ind w:firstLine="0"/>
              <w:jc w:val="right"/>
            </w:pPr>
            <w:r>
              <w:rPr>
                <w:sz w:val="15"/>
              </w:rPr>
              <w:t>0.0067</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F007-memoryPressure</w:t>
            </w:r>
          </w:p>
        </w:tc>
        <w:tc>
          <w:tcPr>
            <w:tcW w:type="dxa" w:w="1020"/>
          </w:tcPr>
          <w:p>
            <w:pPr>
              <w:pStyle w:val="ICST-Tabletext"/>
              <w:spacing w:before="20" w:after="20"/>
              <w:ind w:firstLine="0"/>
              <w:jc w:val="right"/>
            </w:pPr>
            <w:r>
              <w:rPr>
                <w:sz w:val="15"/>
              </w:rPr>
              <w:t>0.0012</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inventory</w:t>
            </w:r>
          </w:p>
        </w:tc>
        <w:tc>
          <w:tcPr>
            <w:tcW w:type="dxa" w:w="3402"/>
          </w:tcPr>
          <w:p>
            <w:pPr>
              <w:pStyle w:val="ICST-Tabletext"/>
              <w:spacing w:before="20" w:after="20"/>
              <w:ind w:firstLine="0"/>
              <w:jc w:val="left"/>
            </w:pPr>
            <w:r>
              <w:rPr>
                <w:sz w:val="15"/>
              </w:rPr>
              <w:t>F004-trafficHotspot</w:t>
            </w:r>
          </w:p>
        </w:tc>
        <w:tc>
          <w:tcPr>
            <w:tcW w:type="dxa" w:w="1020"/>
          </w:tcPr>
          <w:p>
            <w:pPr>
              <w:pStyle w:val="ICST-Tabletext"/>
              <w:spacing w:before="20" w:after="20"/>
              <w:ind w:firstLine="0"/>
              <w:jc w:val="right"/>
            </w:pPr>
            <w:r>
              <w:rPr>
                <w:sz w:val="15"/>
              </w:rPr>
              <w:t>0.0006</w:t>
            </w:r>
          </w:p>
        </w:tc>
      </w:tr>
      <w:tr>
        <w:trPr>
          <w:cantSplit/>
        </w:trPr>
        <w:tc>
          <w:tcPr>
            <w:tcW w:type="dxa" w:w="737"/>
            <w:tcBorders>
              <w:top w:val="single" w:sz="4" w:color="000000"/>
            </w:tcBorders>
          </w:tcPr>
          <w:p>
            <w:pPr>
              <w:pStyle w:val="ICST-Tabletext"/>
              <w:spacing w:before="20" w:after="20"/>
              <w:ind w:firstLine="0"/>
              <w:jc w:val="left"/>
            </w:pPr>
            <w:r>
              <w:rPr>
                <w:sz w:val="15"/>
              </w:rPr>
              <w:t>t043</w:t>
            </w:r>
          </w:p>
        </w:tc>
        <w:tc>
          <w:tcPr>
            <w:tcW w:type="dxa" w:w="2381"/>
            <w:tcBorders>
              <w:top w:val="single" w:sz="4" w:color="000000"/>
            </w:tcBorders>
          </w:tcPr>
          <w:p>
            <w:pPr>
              <w:pStyle w:val="ICST-Tabletext"/>
              <w:spacing w:before="20" w:after="20"/>
              <w:ind w:firstLine="0"/>
              <w:jc w:val="left"/>
            </w:pPr>
            <w:r>
              <w:rPr>
                <w:sz w:val="15"/>
              </w:rPr>
              <w:t>cart</w:t>
            </w:r>
          </w:p>
        </w:tc>
        <w:tc>
          <w:tcPr>
            <w:tcW w:type="dxa" w:w="3402"/>
            <w:tcBorders>
              <w:top w:val="single" w:sz="4" w:color="000000"/>
            </w:tcBorders>
          </w:tcPr>
          <w:p>
            <w:pPr>
              <w:pStyle w:val="ICST-Tabletext"/>
              <w:spacing w:before="20" w:after="20"/>
              <w:ind w:firstLine="0"/>
              <w:jc w:val="left"/>
            </w:pPr>
            <w:r>
              <w:rPr>
                <w:sz w:val="15"/>
              </w:rPr>
              <w:t>F007-memoryPressure</w:t>
            </w:r>
          </w:p>
        </w:tc>
        <w:tc>
          <w:tcPr>
            <w:tcW w:type="dxa" w:w="1020"/>
            <w:tcBorders>
              <w:top w:val="single" w:sz="4" w:color="000000"/>
            </w:tcBorders>
          </w:tcPr>
          <w:p>
            <w:pPr>
              <w:pStyle w:val="ICST-Tabletext"/>
              <w:spacing w:before="20" w:after="20"/>
              <w:ind w:firstLine="0"/>
              <w:jc w:val="right"/>
            </w:pPr>
            <w:r>
              <w:rPr>
                <w:sz w:val="15"/>
              </w:rPr>
              <w:t>0.8367</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F034-cpuFullLoad</w:t>
            </w:r>
          </w:p>
        </w:tc>
        <w:tc>
          <w:tcPr>
            <w:tcW w:type="dxa" w:w="1020"/>
          </w:tcPr>
          <w:p>
            <w:pPr>
              <w:pStyle w:val="ICST-Tabletext"/>
              <w:spacing w:before="20" w:after="20"/>
              <w:ind w:firstLine="0"/>
              <w:jc w:val="right"/>
            </w:pPr>
            <w:r>
              <w:rPr>
                <w:sz w:val="15"/>
              </w:rPr>
              <w:t>0.0439</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F012-cpuDeadLoop</w:t>
            </w:r>
          </w:p>
        </w:tc>
        <w:tc>
          <w:tcPr>
            <w:tcW w:type="dxa" w:w="1020"/>
          </w:tcPr>
          <w:p>
            <w:pPr>
              <w:pStyle w:val="ICST-Tabletext"/>
              <w:spacing w:before="20" w:after="20"/>
              <w:ind w:firstLine="0"/>
              <w:jc w:val="right"/>
            </w:pPr>
            <w:r>
              <w:rPr>
                <w:sz w:val="15"/>
              </w:rPr>
              <w:t>0.0439</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F029-redisUnavailable</w:t>
            </w:r>
          </w:p>
        </w:tc>
        <w:tc>
          <w:tcPr>
            <w:tcW w:type="dxa" w:w="1020"/>
          </w:tcPr>
          <w:p>
            <w:pPr>
              <w:pStyle w:val="ICST-Tabletext"/>
              <w:spacing w:before="20" w:after="20"/>
              <w:ind w:firstLine="0"/>
              <w:jc w:val="right"/>
            </w:pPr>
            <w:r>
              <w:rPr>
                <w:sz w:val="15"/>
              </w:rPr>
              <w:t>0.0163</w:t>
            </w:r>
          </w:p>
        </w:tc>
      </w:tr>
      <w:tr>
        <w:trPr>
          <w:cantSplit/>
        </w:trPr>
        <w:tc>
          <w:tcPr>
            <w:tcW w:type="dxa" w:w="737"/>
          </w:tcPr>
          <w:p>
            <w:pPr>
              <w:pStyle w:val="ICST-Tabletext"/>
              <w:spacing w:before="20" w:after="20"/>
              <w:ind w:firstLine="0"/>
              <w:jc w:val="left"/>
            </w:pPr>
          </w:p>
        </w:tc>
        <w:tc>
          <w:tcPr>
            <w:tcW w:type="dxa" w:w="2381"/>
          </w:tcPr>
          <w:p>
            <w:pPr>
              <w:pStyle w:val="ICST-Tabletext"/>
              <w:spacing w:before="20" w:after="20"/>
              <w:ind w:firstLine="0"/>
              <w:jc w:val="left"/>
            </w:pPr>
            <w:r>
              <w:rPr>
                <w:sz w:val="15"/>
              </w:rPr>
              <w:t>cart</w:t>
            </w:r>
          </w:p>
        </w:tc>
        <w:tc>
          <w:tcPr>
            <w:tcW w:type="dxa" w:w="3402"/>
          </w:tcPr>
          <w:p>
            <w:pPr>
              <w:pStyle w:val="ICST-Tabletext"/>
              <w:spacing w:before="20" w:after="20"/>
              <w:ind w:firstLine="0"/>
              <w:jc w:val="left"/>
            </w:pPr>
            <w:r>
              <w:rPr>
                <w:sz w:val="15"/>
              </w:rPr>
              <w:t>F006-trafficSurge</w:t>
            </w:r>
          </w:p>
        </w:tc>
        <w:tc>
          <w:tcPr>
            <w:tcW w:type="dxa" w:w="1020"/>
          </w:tcPr>
          <w:p>
            <w:pPr>
              <w:pStyle w:val="ICST-Tabletext"/>
              <w:spacing w:before="20" w:after="20"/>
              <w:ind w:firstLine="0"/>
              <w:jc w:val="right"/>
            </w:pPr>
            <w:r>
              <w:rPr>
                <w:sz w:val="15"/>
              </w:rPr>
              <w:t>0.0069</w:t>
            </w:r>
          </w:p>
        </w:tc>
      </w:tr>
    </w:tbl>
    <w:p>
      <w:pPr>
        <w:pStyle w:val="ICST-Bodytextnoindent"/>
        <w:spacing w:before="40" w:after="160"/>
      </w:pPr>
      <w:r>
        <w:rPr>
          <w:sz w:val="14"/>
        </w:rPr>
        <w:t>t002: true F029-redisUnavailable, predicted F029-redisUnavailable, EL 1; t009: true F007-memoryPressure, predicted F007-memoryPressure, EL 1; t008: true F026-nodeCpuHigh, predicted F026-nodeCpuHigh, EL 1; t027: true F034-cpuFullLoad, predicted F034-cpuFullLoad, EL 1; t043: true F014-httpError5xx, predicted F029-redisUnavailable, EL 1. In t027 the LLM changed cpuDeadLoop to cpuFullLoad (correct); in t043 it changed memoryPressure to redisUnavailable.</w:t>
      </w:r>
    </w:p>
    <w:p>
      <w:pPr>
        <w:pStyle w:val="ICST-Captions"/>
        <w:keepNext/>
      </w:pPr>
      <w:r>
        <w:rPr/>
        <w:t>Table D3. LLM sensor readings (38 probes in 31 cases).</w:t>
      </w:r>
    </w:p>
    <w:tbl>
      <w:tblPr>
        <w:tblW w:type="auto" w:w="0"/>
        <w:jc w:val="center"/>
        <w:tblBorders>
          <w:top w:val="single" w:sz="10" w:color="000000"/>
          <w:bottom w:val="single" w:sz="10" w:color="000000"/>
        </w:tblBorders>
        <w:tblLook w:firstColumn="1" w:firstRow="1" w:lastColumn="0" w:lastRow="0" w:noHBand="0" w:noVBand="1" w:val="04A0"/>
      </w:tblPr>
      <w:tblGrid>
        <w:gridCol w:w="737"/>
        <w:gridCol w:w="2267"/>
        <w:gridCol w:w="1020"/>
        <w:gridCol w:w="1587"/>
        <w:gridCol w:w="2267"/>
        <w:gridCol w:w="793"/>
      </w:tblGrid>
      <w:tr>
        <w:trPr>
          <w:tblHeader/>
          <w:cantSplit/>
        </w:trPr>
        <w:tc>
          <w:tcPr>
            <w:tcW w:type="dxa" w:w="737"/>
            <w:tcBorders>
              <w:bottom w:val="single" w:sz="6" w:color="000000"/>
            </w:tcBorders>
          </w:tcPr>
          <w:p>
            <w:pPr>
              <w:pStyle w:val="ICST-Tabletext"/>
              <w:spacing w:before="20" w:after="20"/>
              <w:ind w:firstLine="0"/>
              <w:jc w:val="left"/>
            </w:pPr>
            <w:r>
              <w:rPr>
                <w:b/>
                <w:sz w:val="14"/>
              </w:rPr>
              <w:t>Case</w:t>
            </w:r>
          </w:p>
        </w:tc>
        <w:tc>
          <w:tcPr>
            <w:tcW w:type="dxa" w:w="2268"/>
            <w:tcBorders>
              <w:bottom w:val="single" w:sz="6" w:color="000000"/>
            </w:tcBorders>
          </w:tcPr>
          <w:p>
            <w:pPr>
              <w:pStyle w:val="ICST-Tabletext"/>
              <w:spacing w:before="20" w:after="20"/>
              <w:ind w:firstLine="0"/>
              <w:jc w:val="left"/>
            </w:pPr>
            <w:r>
              <w:rPr>
                <w:b/>
                <w:sz w:val="14"/>
              </w:rPr>
              <w:t>Probed entity</w:t>
            </w:r>
          </w:p>
        </w:tc>
        <w:tc>
          <w:tcPr>
            <w:tcW w:type="dxa" w:w="1020"/>
            <w:tcBorders>
              <w:bottom w:val="single" w:sz="6" w:color="000000"/>
            </w:tcBorders>
          </w:tcPr>
          <w:p>
            <w:pPr>
              <w:pStyle w:val="ICST-Tabletext"/>
              <w:spacing w:before="20" w:after="20"/>
              <w:ind w:firstLine="0"/>
              <w:jc w:val="right"/>
            </w:pPr>
            <w:r>
              <w:rPr>
                <w:b/>
                <w:sz w:val="14"/>
              </w:rPr>
              <w:t>EIG (bits)</w:t>
            </w:r>
          </w:p>
        </w:tc>
        <w:tc>
          <w:tcPr>
            <w:tcW w:type="dxa" w:w="1587"/>
            <w:tcBorders>
              <w:bottom w:val="single" w:sz="6" w:color="000000"/>
            </w:tcBorders>
          </w:tcPr>
          <w:p>
            <w:pPr>
              <w:pStyle w:val="ICST-Tabletext"/>
              <w:spacing w:before="20" w:after="20"/>
              <w:ind w:firstLine="0"/>
              <w:jc w:val="left"/>
            </w:pPr>
            <w:r>
              <w:rPr>
                <w:b/>
                <w:sz w:val="14"/>
              </w:rPr>
              <w:t>Accepted reading</w:t>
            </w:r>
          </w:p>
        </w:tc>
        <w:tc>
          <w:tcPr>
            <w:tcW w:type="dxa" w:w="2268"/>
            <w:tcBorders>
              <w:bottom w:val="single" w:sz="6" w:color="000000"/>
            </w:tcBorders>
          </w:tcPr>
          <w:p>
            <w:pPr>
              <w:pStyle w:val="ICST-Tabletext"/>
              <w:spacing w:before="20" w:after="20"/>
              <w:ind w:firstLine="0"/>
              <w:jc w:val="left"/>
            </w:pPr>
            <w:r>
              <w:rPr>
                <w:b/>
                <w:sz w:val="14"/>
              </w:rPr>
              <w:t>True type</w:t>
            </w:r>
          </w:p>
        </w:tc>
        <w:tc>
          <w:tcPr>
            <w:tcW w:type="dxa" w:w="794"/>
            <w:tcBorders>
              <w:bottom w:val="single" w:sz="6" w:color="000000"/>
            </w:tcBorders>
          </w:tcPr>
          <w:p>
            <w:pPr>
              <w:pStyle w:val="ICST-Tabletext"/>
              <w:spacing w:before="20" w:after="20"/>
              <w:ind w:firstLine="0"/>
              <w:jc w:val="right"/>
            </w:pPr>
            <w:r>
              <w:rPr>
                <w:b/>
                <w:sz w:val="14"/>
              </w:rPr>
              <w:t>EL</w:t>
            </w:r>
          </w:p>
        </w:tc>
      </w:tr>
      <w:tr>
        <w:trPr>
          <w:cantSplit/>
        </w:trPr>
        <w:tc>
          <w:tcPr>
            <w:tcW w:type="dxa" w:w="737"/>
          </w:tcPr>
          <w:p>
            <w:pPr>
              <w:pStyle w:val="ICST-Tabletext"/>
              <w:spacing w:before="20" w:after="20"/>
              <w:ind w:firstLine="0"/>
              <w:jc w:val="left"/>
            </w:pPr>
            <w:r>
              <w:rPr>
                <w:sz w:val="14"/>
              </w:rPr>
              <w:t>t001</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0.165</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t001</w:t>
            </w:r>
          </w:p>
        </w:tc>
        <w:tc>
          <w:tcPr>
            <w:tcW w:type="dxa" w:w="2268"/>
          </w:tcPr>
          <w:p>
            <w:pPr>
              <w:pStyle w:val="ICST-Tabletext"/>
              <w:spacing w:before="20" w:after="20"/>
              <w:ind w:firstLine="0"/>
              <w:jc w:val="left"/>
            </w:pPr>
            <w:r>
              <w:rPr>
                <w:sz w:val="14"/>
              </w:rPr>
              <w:t>payment</w:t>
            </w:r>
          </w:p>
        </w:tc>
        <w:tc>
          <w:tcPr>
            <w:tcW w:type="dxa" w:w="1020"/>
          </w:tcPr>
          <w:p>
            <w:pPr>
              <w:pStyle w:val="ICST-Tabletext"/>
              <w:spacing w:before="20" w:after="20"/>
              <w:ind w:firstLine="0"/>
              <w:jc w:val="right"/>
            </w:pPr>
            <w:r>
              <w:rPr>
                <w:sz w:val="14"/>
              </w:rPr>
              <w:t>0.072</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t002</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0.761</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redisUnavailable</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t005</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0.057</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nodeCpuHigh</w:t>
            </w:r>
          </w:p>
        </w:tc>
        <w:tc>
          <w:tcPr>
            <w:tcW w:type="dxa" w:w="794"/>
          </w:tcPr>
          <w:p>
            <w:pPr>
              <w:pStyle w:val="ICST-Tabletext"/>
              <w:spacing w:before="20" w:after="20"/>
              <w:ind w:firstLine="0"/>
              <w:jc w:val="right"/>
            </w:pPr>
            <w:r>
              <w:rPr>
                <w:sz w:val="14"/>
              </w:rPr>
              <w:t>0.0625</w:t>
            </w:r>
          </w:p>
        </w:tc>
      </w:tr>
      <w:tr>
        <w:trPr>
          <w:cantSplit/>
        </w:trPr>
        <w:tc>
          <w:tcPr>
            <w:tcW w:type="dxa" w:w="737"/>
          </w:tcPr>
          <w:p>
            <w:pPr>
              <w:pStyle w:val="ICST-Tabletext"/>
              <w:spacing w:before="20" w:after="20"/>
              <w:ind w:firstLine="0"/>
              <w:jc w:val="left"/>
            </w:pPr>
            <w:r>
              <w:rPr>
                <w:sz w:val="14"/>
              </w:rPr>
              <w:t>t006</w:t>
            </w:r>
          </w:p>
        </w:tc>
        <w:tc>
          <w:tcPr>
            <w:tcW w:type="dxa" w:w="2268"/>
          </w:tcPr>
          <w:p>
            <w:pPr>
              <w:pStyle w:val="ICST-Tabletext"/>
              <w:spacing w:before="20" w:after="20"/>
              <w:ind w:firstLine="0"/>
              <w:jc w:val="left"/>
            </w:pPr>
            <w:r>
              <w:rPr>
                <w:sz w:val="14"/>
              </w:rPr>
              <w:t>frontend</w:t>
            </w:r>
          </w:p>
        </w:tc>
        <w:tc>
          <w:tcPr>
            <w:tcW w:type="dxa" w:w="1020"/>
          </w:tcPr>
          <w:p>
            <w:pPr>
              <w:pStyle w:val="ICST-Tabletext"/>
              <w:spacing w:before="20" w:after="20"/>
              <w:ind w:firstLine="0"/>
              <w:jc w:val="right"/>
            </w:pPr>
            <w:r>
              <w:rPr>
                <w:sz w:val="14"/>
              </w:rPr>
              <w:t>0.145</w:t>
            </w:r>
          </w:p>
        </w:tc>
        <w:tc>
          <w:tcPr>
            <w:tcW w:type="dxa" w:w="1587"/>
          </w:tcPr>
          <w:p>
            <w:pPr>
              <w:pStyle w:val="ICST-Tabletext"/>
              <w:spacing w:before="20" w:after="20"/>
              <w:ind w:firstLine="0"/>
              <w:jc w:val="left"/>
            </w:pPr>
            <w:r>
              <w:rPr>
                <w:sz w:val="14"/>
              </w:rPr>
              <w:t>cache</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0.0312</w:t>
            </w:r>
          </w:p>
        </w:tc>
      </w:tr>
      <w:tr>
        <w:trPr>
          <w:cantSplit/>
        </w:trPr>
        <w:tc>
          <w:tcPr>
            <w:tcW w:type="dxa" w:w="737"/>
          </w:tcPr>
          <w:p>
            <w:pPr>
              <w:pStyle w:val="ICST-Tabletext"/>
              <w:spacing w:before="20" w:after="20"/>
              <w:ind w:firstLine="0"/>
              <w:jc w:val="left"/>
            </w:pPr>
            <w:r>
              <w:rPr>
                <w:sz w:val="14"/>
              </w:rPr>
              <w:t>t007</w:t>
            </w:r>
          </w:p>
        </w:tc>
        <w:tc>
          <w:tcPr>
            <w:tcW w:type="dxa" w:w="2268"/>
          </w:tcPr>
          <w:p>
            <w:pPr>
              <w:pStyle w:val="ICST-Tabletext"/>
              <w:spacing w:before="20" w:after="20"/>
              <w:ind w:firstLine="0"/>
              <w:jc w:val="left"/>
            </w:pPr>
            <w:r>
              <w:rPr>
                <w:sz w:val="14"/>
              </w:rPr>
              <w:t>frontend</w:t>
            </w:r>
          </w:p>
        </w:tc>
        <w:tc>
          <w:tcPr>
            <w:tcW w:type="dxa" w:w="1020"/>
          </w:tcPr>
          <w:p>
            <w:pPr>
              <w:pStyle w:val="ICST-Tabletext"/>
              <w:spacing w:before="20" w:after="20"/>
              <w:ind w:firstLine="0"/>
              <w:jc w:val="right"/>
            </w:pPr>
            <w:r>
              <w:rPr>
                <w:sz w:val="14"/>
              </w:rPr>
              <w:t>0.161</w:t>
            </w:r>
          </w:p>
        </w:tc>
        <w:tc>
          <w:tcPr>
            <w:tcW w:type="dxa" w:w="1587"/>
          </w:tcPr>
          <w:p>
            <w:pPr>
              <w:pStyle w:val="ICST-Tabletext"/>
              <w:spacing w:before="20" w:after="20"/>
              <w:ind w:firstLine="0"/>
              <w:jc w:val="left"/>
            </w:pPr>
            <w:r>
              <w:rPr>
                <w:sz w:val="14"/>
              </w:rPr>
              <w:t>cache</w:t>
            </w:r>
          </w:p>
        </w:tc>
        <w:tc>
          <w:tcPr>
            <w:tcW w:type="dxa" w:w="2268"/>
          </w:tcPr>
          <w:p>
            <w:pPr>
              <w:pStyle w:val="ICST-Tabletext"/>
              <w:spacing w:before="20" w:after="20"/>
              <w:ind w:firstLine="0"/>
              <w:jc w:val="left"/>
            </w:pPr>
            <w:r>
              <w:rPr>
                <w:sz w:val="14"/>
              </w:rPr>
              <w:t>threadExhaustion</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t008</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0.132</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nodeCpuHigh</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t010</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0.692</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redisUnavailable</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t011</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0.112</w:t>
            </w:r>
          </w:p>
        </w:tc>
        <w:tc>
          <w:tcPr>
            <w:tcW w:type="dxa" w:w="1587"/>
          </w:tcPr>
          <w:p>
            <w:pPr>
              <w:pStyle w:val="ICST-Tabletext"/>
              <w:spacing w:before="20" w:after="20"/>
              <w:ind w:firstLine="0"/>
              <w:jc w:val="left"/>
            </w:pPr>
            <w:r>
              <w:rPr>
                <w:sz w:val="14"/>
              </w:rPr>
              <w:t>refused</w:t>
            </w:r>
          </w:p>
        </w:tc>
        <w:tc>
          <w:tcPr>
            <w:tcW w:type="dxa" w:w="2268"/>
          </w:tcPr>
          <w:p>
            <w:pPr>
              <w:pStyle w:val="ICST-Tabletext"/>
              <w:spacing w:before="20" w:after="20"/>
              <w:ind w:firstLine="0"/>
              <w:jc w:val="left"/>
            </w:pPr>
            <w:r>
              <w:rPr>
                <w:sz w:val="14"/>
              </w:rPr>
              <w:t>loadBalancerFailure</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t014</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0.072</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t016</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0.486</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t020</w:t>
            </w:r>
          </w:p>
        </w:tc>
        <w:tc>
          <w:tcPr>
            <w:tcW w:type="dxa" w:w="2268"/>
          </w:tcPr>
          <w:p>
            <w:pPr>
              <w:pStyle w:val="ICST-Tabletext"/>
              <w:spacing w:before="20" w:after="20"/>
              <w:ind w:firstLine="0"/>
              <w:jc w:val="left"/>
            </w:pPr>
            <w:r>
              <w:rPr>
                <w:sz w:val="14"/>
              </w:rPr>
              <w:t>inventory</w:t>
            </w:r>
          </w:p>
        </w:tc>
        <w:tc>
          <w:tcPr>
            <w:tcW w:type="dxa" w:w="1020"/>
          </w:tcPr>
          <w:p>
            <w:pPr>
              <w:pStyle w:val="ICST-Tabletext"/>
              <w:spacing w:before="20" w:after="20"/>
              <w:ind w:firstLine="0"/>
              <w:jc w:val="right"/>
            </w:pPr>
            <w:r>
              <w:rPr>
                <w:sz w:val="14"/>
              </w:rPr>
              <w:t>0.456</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t020</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0.514</w:t>
            </w:r>
          </w:p>
        </w:tc>
        <w:tc>
          <w:tcPr>
            <w:tcW w:type="dxa" w:w="1587"/>
          </w:tcPr>
          <w:p>
            <w:pPr>
              <w:pStyle w:val="ICST-Tabletext"/>
              <w:spacing w:before="20" w:after="20"/>
              <w:ind w:firstLine="0"/>
              <w:jc w:val="left"/>
            </w:pPr>
            <w:r>
              <w:rPr>
                <w:sz w:val="14"/>
              </w:rPr>
              <w:t>refused</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t020</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0.057</w:t>
            </w:r>
          </w:p>
        </w:tc>
        <w:tc>
          <w:tcPr>
            <w:tcW w:type="dxa" w:w="1587"/>
          </w:tcPr>
          <w:p>
            <w:pPr>
              <w:pStyle w:val="ICST-Tabletext"/>
              <w:spacing w:before="20" w:after="20"/>
              <w:ind w:firstLine="0"/>
              <w:jc w:val="left"/>
            </w:pPr>
            <w:r>
              <w:rPr>
                <w:sz w:val="14"/>
              </w:rPr>
              <w:t>ratelimit</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t026</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0.247</w:t>
            </w:r>
          </w:p>
        </w:tc>
        <w:tc>
          <w:tcPr>
            <w:tcW w:type="dxa" w:w="1587"/>
          </w:tcPr>
          <w:p>
            <w:pPr>
              <w:pStyle w:val="ICST-Tabletext"/>
              <w:spacing w:before="20" w:after="20"/>
              <w:ind w:firstLine="0"/>
              <w:jc w:val="left"/>
            </w:pPr>
            <w:r>
              <w:rPr>
                <w:sz w:val="14"/>
              </w:rPr>
              <w:t>refused</w:t>
            </w:r>
          </w:p>
        </w:tc>
        <w:tc>
          <w:tcPr>
            <w:tcW w:type="dxa" w:w="2268"/>
          </w:tcPr>
          <w:p>
            <w:pPr>
              <w:pStyle w:val="ICST-Tabletext"/>
              <w:spacing w:before="20" w:after="20"/>
              <w:ind w:firstLine="0"/>
              <w:jc w:val="left"/>
            </w:pPr>
            <w:r>
              <w:rPr>
                <w:sz w:val="14"/>
              </w:rPr>
              <w:t>resourceLimitMisconfig</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t030</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0.072</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slowSQL</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t031</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0.719</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redisUnavailable</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t032</w:t>
            </w:r>
          </w:p>
        </w:tc>
        <w:tc>
          <w:tcPr>
            <w:tcW w:type="dxa" w:w="2268"/>
          </w:tcPr>
          <w:p>
            <w:pPr>
              <w:pStyle w:val="ICST-Tabletext"/>
              <w:spacing w:before="20" w:after="20"/>
              <w:ind w:firstLine="0"/>
              <w:jc w:val="left"/>
            </w:pPr>
            <w:r>
              <w:rPr>
                <w:sz w:val="14"/>
              </w:rPr>
              <w:t>inventory</w:t>
            </w:r>
          </w:p>
        </w:tc>
        <w:tc>
          <w:tcPr>
            <w:tcW w:type="dxa" w:w="1020"/>
          </w:tcPr>
          <w:p>
            <w:pPr>
              <w:pStyle w:val="ICST-Tabletext"/>
              <w:spacing w:before="20" w:after="20"/>
              <w:ind w:firstLine="0"/>
              <w:jc w:val="right"/>
            </w:pPr>
            <w:r>
              <w:rPr>
                <w:sz w:val="14"/>
              </w:rPr>
              <w:t>0.644</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t036</w:t>
            </w:r>
          </w:p>
        </w:tc>
        <w:tc>
          <w:tcPr>
            <w:tcW w:type="dxa" w:w="2268"/>
          </w:tcPr>
          <w:p>
            <w:pPr>
              <w:pStyle w:val="ICST-Tabletext"/>
              <w:spacing w:before="20" w:after="20"/>
              <w:ind w:firstLine="0"/>
              <w:jc w:val="left"/>
            </w:pPr>
            <w:r>
              <w:rPr>
                <w:sz w:val="14"/>
              </w:rPr>
              <w:t>cart</w:t>
            </w:r>
          </w:p>
        </w:tc>
        <w:tc>
          <w:tcPr>
            <w:tcW w:type="dxa" w:w="1020"/>
          </w:tcPr>
          <w:p>
            <w:pPr>
              <w:pStyle w:val="ICST-Tabletext"/>
              <w:spacing w:before="20" w:after="20"/>
              <w:ind w:firstLine="0"/>
              <w:jc w:val="right"/>
            </w:pPr>
            <w:r>
              <w:rPr>
                <w:sz w:val="14"/>
              </w:rPr>
              <w:t>0.132</w:t>
            </w:r>
          </w:p>
        </w:tc>
        <w:tc>
          <w:tcPr>
            <w:tcW w:type="dxa" w:w="1587"/>
          </w:tcPr>
          <w:p>
            <w:pPr>
              <w:pStyle w:val="ICST-Tabletext"/>
              <w:spacing w:before="20" w:after="20"/>
              <w:ind w:firstLine="0"/>
              <w:jc w:val="left"/>
            </w:pPr>
            <w:r>
              <w:rPr>
                <w:sz w:val="14"/>
              </w:rPr>
              <w:t>redis</w:t>
            </w:r>
          </w:p>
        </w:tc>
        <w:tc>
          <w:tcPr>
            <w:tcW w:type="dxa" w:w="2268"/>
          </w:tcPr>
          <w:p>
            <w:pPr>
              <w:pStyle w:val="ICST-Tabletext"/>
              <w:spacing w:before="20" w:after="20"/>
              <w:ind w:firstLine="0"/>
              <w:jc w:val="left"/>
            </w:pPr>
            <w:r>
              <w:rPr>
                <w:sz w:val="14"/>
              </w:rPr>
              <w:t>nodeCpuHigh</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t045</w:t>
            </w:r>
          </w:p>
        </w:tc>
        <w:tc>
          <w:tcPr>
            <w:tcW w:type="dxa" w:w="2268"/>
          </w:tcPr>
          <w:p>
            <w:pPr>
              <w:pStyle w:val="ICST-Tabletext"/>
              <w:spacing w:before="20" w:after="20"/>
              <w:ind w:firstLine="0"/>
              <w:jc w:val="left"/>
            </w:pPr>
            <w:r>
              <w:rPr>
                <w:sz w:val="14"/>
              </w:rPr>
              <w:t>ad</w:t>
            </w:r>
          </w:p>
        </w:tc>
        <w:tc>
          <w:tcPr>
            <w:tcW w:type="dxa" w:w="1020"/>
          </w:tcPr>
          <w:p>
            <w:pPr>
              <w:pStyle w:val="ICST-Tabletext"/>
              <w:spacing w:before="20" w:after="20"/>
              <w:ind w:firstLine="0"/>
              <w:jc w:val="right"/>
            </w:pPr>
            <w:r>
              <w:rPr>
                <w:sz w:val="14"/>
              </w:rPr>
              <w:t>0.071</w:t>
            </w:r>
          </w:p>
        </w:tc>
        <w:tc>
          <w:tcPr>
            <w:tcW w:type="dxa" w:w="1587"/>
          </w:tcPr>
          <w:p>
            <w:pPr>
              <w:pStyle w:val="ICST-Tabletext"/>
              <w:spacing w:before="20" w:after="20"/>
              <w:ind w:firstLine="0"/>
              <w:jc w:val="left"/>
            </w:pPr>
            <w:r>
              <w:rPr>
                <w:sz w:val="14"/>
              </w:rPr>
              <w:t>refused</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t046</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0.187</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t046</w:t>
            </w:r>
          </w:p>
        </w:tc>
        <w:tc>
          <w:tcPr>
            <w:tcW w:type="dxa" w:w="2268"/>
          </w:tcPr>
          <w:p>
            <w:pPr>
              <w:pStyle w:val="ICST-Tabletext"/>
              <w:spacing w:before="20" w:after="20"/>
              <w:ind w:firstLine="0"/>
              <w:jc w:val="left"/>
            </w:pPr>
            <w:r>
              <w:rPr>
                <w:sz w:val="14"/>
              </w:rPr>
              <w:t>payment</w:t>
            </w:r>
          </w:p>
        </w:tc>
        <w:tc>
          <w:tcPr>
            <w:tcW w:type="dxa" w:w="1020"/>
          </w:tcPr>
          <w:p>
            <w:pPr>
              <w:pStyle w:val="ICST-Tabletext"/>
              <w:spacing w:before="20" w:after="20"/>
              <w:ind w:firstLine="0"/>
              <w:jc w:val="right"/>
            </w:pPr>
            <w:r>
              <w:rPr>
                <w:sz w:val="14"/>
              </w:rPr>
              <w:t>0.078</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t051</w:t>
            </w:r>
          </w:p>
        </w:tc>
        <w:tc>
          <w:tcPr>
            <w:tcW w:type="dxa" w:w="2268"/>
          </w:tcPr>
          <w:p>
            <w:pPr>
              <w:pStyle w:val="ICST-Tabletext"/>
              <w:spacing w:before="20" w:after="20"/>
              <w:ind w:firstLine="0"/>
              <w:jc w:val="left"/>
            </w:pPr>
            <w:r>
              <w:rPr>
                <w:sz w:val="14"/>
              </w:rPr>
              <w:t>inventory</w:t>
            </w:r>
          </w:p>
        </w:tc>
        <w:tc>
          <w:tcPr>
            <w:tcW w:type="dxa" w:w="1020"/>
          </w:tcPr>
          <w:p>
            <w:pPr>
              <w:pStyle w:val="ICST-Tabletext"/>
              <w:spacing w:before="20" w:after="20"/>
              <w:ind w:firstLine="0"/>
              <w:jc w:val="right"/>
            </w:pPr>
            <w:r>
              <w:rPr>
                <w:sz w:val="14"/>
              </w:rPr>
              <w:t>0.944</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trafficSurge</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t052</w:t>
            </w:r>
          </w:p>
        </w:tc>
        <w:tc>
          <w:tcPr>
            <w:tcW w:type="dxa" w:w="2268"/>
          </w:tcPr>
          <w:p>
            <w:pPr>
              <w:pStyle w:val="ICST-Tabletext"/>
              <w:spacing w:before="20" w:after="20"/>
              <w:ind w:firstLine="0"/>
              <w:jc w:val="left"/>
            </w:pPr>
            <w:r>
              <w:rPr>
                <w:sz w:val="14"/>
              </w:rPr>
              <w:t>payment</w:t>
            </w:r>
          </w:p>
        </w:tc>
        <w:tc>
          <w:tcPr>
            <w:tcW w:type="dxa" w:w="1020"/>
          </w:tcPr>
          <w:p>
            <w:pPr>
              <w:pStyle w:val="ICST-Tabletext"/>
              <w:spacing w:before="20" w:after="20"/>
              <w:ind w:firstLine="0"/>
              <w:jc w:val="right"/>
            </w:pPr>
            <w:r>
              <w:rPr>
                <w:sz w:val="14"/>
              </w:rPr>
              <w:t>0.406</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t052</w:t>
            </w:r>
          </w:p>
        </w:tc>
        <w:tc>
          <w:tcPr>
            <w:tcW w:type="dxa" w:w="2268"/>
          </w:tcPr>
          <w:p>
            <w:pPr>
              <w:pStyle w:val="ICST-Tabletext"/>
              <w:spacing w:before="20" w:after="20"/>
              <w:ind w:firstLine="0"/>
              <w:jc w:val="left"/>
            </w:pPr>
            <w:r>
              <w:rPr>
                <w:sz w:val="14"/>
              </w:rPr>
              <w:t>shipping</w:t>
            </w:r>
          </w:p>
        </w:tc>
        <w:tc>
          <w:tcPr>
            <w:tcW w:type="dxa" w:w="1020"/>
          </w:tcPr>
          <w:p>
            <w:pPr>
              <w:pStyle w:val="ICST-Tabletext"/>
              <w:spacing w:before="20" w:after="20"/>
              <w:ind w:firstLine="0"/>
              <w:jc w:val="right"/>
            </w:pPr>
            <w:r>
              <w:rPr>
                <w:sz w:val="14"/>
              </w:rPr>
              <w:t>0.208</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t052</w:t>
            </w:r>
          </w:p>
        </w:tc>
        <w:tc>
          <w:tcPr>
            <w:tcW w:type="dxa" w:w="2268"/>
          </w:tcPr>
          <w:p>
            <w:pPr>
              <w:pStyle w:val="ICST-Tabletext"/>
              <w:spacing w:before="20" w:after="20"/>
              <w:ind w:firstLine="0"/>
              <w:jc w:val="left"/>
            </w:pPr>
            <w:r>
              <w:rPr>
                <w:sz w:val="14"/>
              </w:rPr>
              <w:t>frontend</w:t>
            </w:r>
          </w:p>
        </w:tc>
        <w:tc>
          <w:tcPr>
            <w:tcW w:type="dxa" w:w="1020"/>
          </w:tcPr>
          <w:p>
            <w:pPr>
              <w:pStyle w:val="ICST-Tabletext"/>
              <w:spacing w:before="20" w:after="20"/>
              <w:ind w:firstLine="0"/>
              <w:jc w:val="right"/>
            </w:pPr>
            <w:r>
              <w:rPr>
                <w:sz w:val="14"/>
              </w:rPr>
              <w:t>0.116</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1</w:t>
            </w:r>
          </w:p>
        </w:tc>
      </w:tr>
      <w:tr>
        <w:trPr>
          <w:cantSplit/>
        </w:trPr>
        <w:tc>
          <w:tcPr>
            <w:tcW w:type="dxa" w:w="737"/>
          </w:tcPr>
          <w:p>
            <w:pPr>
              <w:pStyle w:val="ICST-Tabletext"/>
              <w:spacing w:before="20" w:after="20"/>
              <w:ind w:firstLine="0"/>
              <w:jc w:val="left"/>
            </w:pPr>
            <w:r>
              <w:rPr>
                <w:sz w:val="14"/>
              </w:rPr>
              <w:t>t054</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0.105</w:t>
            </w:r>
          </w:p>
        </w:tc>
        <w:tc>
          <w:tcPr>
            <w:tcW w:type="dxa" w:w="1587"/>
          </w:tcPr>
          <w:p>
            <w:pPr>
              <w:pStyle w:val="ICST-Tabletext"/>
              <w:spacing w:before="20" w:after="20"/>
              <w:ind w:firstLine="0"/>
              <w:jc w:val="left"/>
            </w:pPr>
            <w:r>
              <w:rPr>
                <w:sz w:val="14"/>
              </w:rPr>
              <w:t>oom</w:t>
            </w:r>
          </w:p>
        </w:tc>
        <w:tc>
          <w:tcPr>
            <w:tcW w:type="dxa" w:w="2268"/>
          </w:tcPr>
          <w:p>
            <w:pPr>
              <w:pStyle w:val="ICST-Tabletext"/>
              <w:spacing w:before="20" w:after="20"/>
              <w:ind w:firstLine="0"/>
              <w:jc w:val="left"/>
            </w:pPr>
            <w:r>
              <w:rPr>
                <w:sz w:val="14"/>
              </w:rPr>
              <w:t>rateLimiting</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t066</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0.628</w:t>
            </w:r>
          </w:p>
        </w:tc>
        <w:tc>
          <w:tcPr>
            <w:tcW w:type="dxa" w:w="1587"/>
          </w:tcPr>
          <w:p>
            <w:pPr>
              <w:pStyle w:val="ICST-Tabletext"/>
              <w:spacing w:before="20" w:after="20"/>
              <w:ind w:firstLine="0"/>
              <w:jc w:val="left"/>
            </w:pPr>
            <w:r>
              <w:rPr>
                <w:sz w:val="14"/>
              </w:rPr>
              <w:t>dns</w:t>
            </w:r>
          </w:p>
        </w:tc>
        <w:tc>
          <w:tcPr>
            <w:tcW w:type="dxa" w:w="2268"/>
          </w:tcPr>
          <w:p>
            <w:pPr>
              <w:pStyle w:val="ICST-Tabletext"/>
              <w:spacing w:before="20" w:after="20"/>
              <w:ind w:firstLine="0"/>
              <w:jc w:val="left"/>
            </w:pPr>
            <w:r>
              <w:rPr>
                <w:sz w:val="14"/>
              </w:rPr>
              <w:t>dnsResolutionFailure</w:t>
            </w:r>
          </w:p>
        </w:tc>
        <w:tc>
          <w:tcPr>
            <w:tcW w:type="dxa" w:w="794"/>
          </w:tcPr>
          <w:p>
            <w:pPr>
              <w:pStyle w:val="ICST-Tabletext"/>
              <w:spacing w:before="20" w:after="20"/>
              <w:ind w:firstLine="0"/>
              <w:jc w:val="right"/>
            </w:pPr>
            <w:r>
              <w:rPr>
                <w:sz w:val="14"/>
              </w:rPr>
              <w:t>0.5</w:t>
            </w:r>
          </w:p>
        </w:tc>
      </w:tr>
      <w:tr>
        <w:trPr>
          <w:cantSplit/>
        </w:trPr>
        <w:tc>
          <w:tcPr>
            <w:tcW w:type="dxa" w:w="737"/>
          </w:tcPr>
          <w:p>
            <w:pPr>
              <w:pStyle w:val="ICST-Tabletext"/>
              <w:spacing w:before="20" w:after="20"/>
              <w:ind w:firstLine="0"/>
              <w:jc w:val="left"/>
            </w:pPr>
            <w:r>
              <w:rPr>
                <w:sz w:val="14"/>
              </w:rPr>
              <w:t>t076</w:t>
            </w:r>
          </w:p>
        </w:tc>
        <w:tc>
          <w:tcPr>
            <w:tcW w:type="dxa" w:w="2268"/>
          </w:tcPr>
          <w:p>
            <w:pPr>
              <w:pStyle w:val="ICST-Tabletext"/>
              <w:spacing w:before="20" w:after="20"/>
              <w:ind w:firstLine="0"/>
              <w:jc w:val="left"/>
            </w:pPr>
            <w:r>
              <w:rPr>
                <w:sz w:val="14"/>
              </w:rPr>
              <w:t>checkout</w:t>
            </w:r>
          </w:p>
        </w:tc>
        <w:tc>
          <w:tcPr>
            <w:tcW w:type="dxa" w:w="1020"/>
          </w:tcPr>
          <w:p>
            <w:pPr>
              <w:pStyle w:val="ICST-Tabletext"/>
              <w:spacing w:before="20" w:after="20"/>
              <w:ind w:firstLine="0"/>
              <w:jc w:val="right"/>
            </w:pPr>
            <w:r>
              <w:rPr>
                <w:sz w:val="14"/>
              </w:rPr>
              <w:t>0.209</w:t>
            </w:r>
          </w:p>
        </w:tc>
        <w:tc>
          <w:tcPr>
            <w:tcW w:type="dxa" w:w="1587"/>
          </w:tcPr>
          <w:p>
            <w:pPr>
              <w:pStyle w:val="ICST-Tabletext"/>
              <w:spacing w:before="20" w:after="20"/>
              <w:ind w:firstLine="0"/>
              <w:jc w:val="left"/>
            </w:pPr>
            <w:r>
              <w:rPr>
                <w:sz w:val="14"/>
              </w:rPr>
              <w:t>refused</w:t>
            </w:r>
          </w:p>
        </w:tc>
        <w:tc>
          <w:tcPr>
            <w:tcW w:type="dxa" w:w="2268"/>
          </w:tcPr>
          <w:p>
            <w:pPr>
              <w:pStyle w:val="ICST-Tabletext"/>
              <w:spacing w:before="20" w:after="20"/>
              <w:ind w:firstLine="0"/>
              <w:jc w:val="left"/>
            </w:pPr>
            <w:r>
              <w:rPr>
                <w:sz w:val="14"/>
              </w:rPr>
              <w:t>replicaScaleDown</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t081</w:t>
            </w:r>
          </w:p>
        </w:tc>
        <w:tc>
          <w:tcPr>
            <w:tcW w:type="dxa" w:w="2268"/>
          </w:tcPr>
          <w:p>
            <w:pPr>
              <w:pStyle w:val="ICST-Tabletext"/>
              <w:spacing w:before="20" w:after="20"/>
              <w:ind w:firstLine="0"/>
              <w:jc w:val="left"/>
            </w:pPr>
            <w:r>
              <w:rPr>
                <w:sz w:val="14"/>
              </w:rPr>
              <w:t>product-catalog</w:t>
            </w:r>
          </w:p>
        </w:tc>
        <w:tc>
          <w:tcPr>
            <w:tcW w:type="dxa" w:w="1020"/>
          </w:tcPr>
          <w:p>
            <w:pPr>
              <w:pStyle w:val="ICST-Tabletext"/>
              <w:spacing w:before="20" w:after="20"/>
              <w:ind w:firstLine="0"/>
              <w:jc w:val="right"/>
            </w:pPr>
            <w:r>
              <w:rPr>
                <w:sz w:val="14"/>
              </w:rPr>
              <w:t>0.061</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replicaScaleDown</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t084</w:t>
            </w:r>
          </w:p>
        </w:tc>
        <w:tc>
          <w:tcPr>
            <w:tcW w:type="dxa" w:w="2268"/>
          </w:tcPr>
          <w:p>
            <w:pPr>
              <w:pStyle w:val="ICST-Tabletext"/>
              <w:spacing w:before="20" w:after="20"/>
              <w:ind w:firstLine="0"/>
              <w:jc w:val="left"/>
            </w:pPr>
            <w:r>
              <w:rPr>
                <w:sz w:val="14"/>
              </w:rPr>
              <w:t>inventory</w:t>
            </w:r>
          </w:p>
        </w:tc>
        <w:tc>
          <w:tcPr>
            <w:tcW w:type="dxa" w:w="1020"/>
          </w:tcPr>
          <w:p>
            <w:pPr>
              <w:pStyle w:val="ICST-Tabletext"/>
              <w:spacing w:before="20" w:after="20"/>
              <w:ind w:firstLine="0"/>
              <w:jc w:val="right"/>
            </w:pPr>
            <w:r>
              <w:rPr>
                <w:sz w:val="14"/>
              </w:rPr>
              <w:t>0.145</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slowSQL</w:t>
            </w:r>
          </w:p>
        </w:tc>
        <w:tc>
          <w:tcPr>
            <w:tcW w:type="dxa" w:w="794"/>
          </w:tcPr>
          <w:p>
            <w:pPr>
              <w:pStyle w:val="ICST-Tabletext"/>
              <w:spacing w:before="20" w:after="20"/>
              <w:ind w:firstLine="0"/>
              <w:jc w:val="right"/>
            </w:pPr>
            <w:r>
              <w:rPr>
                <w:sz w:val="14"/>
              </w:rPr>
              <w:t>0.0625</w:t>
            </w:r>
          </w:p>
        </w:tc>
      </w:tr>
      <w:tr>
        <w:trPr>
          <w:cantSplit/>
        </w:trPr>
        <w:tc>
          <w:tcPr>
            <w:tcW w:type="dxa" w:w="737"/>
          </w:tcPr>
          <w:p>
            <w:pPr>
              <w:pStyle w:val="ICST-Tabletext"/>
              <w:spacing w:before="20" w:after="20"/>
              <w:ind w:firstLine="0"/>
              <w:jc w:val="left"/>
            </w:pPr>
            <w:r>
              <w:rPr>
                <w:sz w:val="14"/>
              </w:rPr>
              <w:t>t088</w:t>
            </w:r>
          </w:p>
        </w:tc>
        <w:tc>
          <w:tcPr>
            <w:tcW w:type="dxa" w:w="2268"/>
          </w:tcPr>
          <w:p>
            <w:pPr>
              <w:pStyle w:val="ICST-Tabletext"/>
              <w:spacing w:before="20" w:after="20"/>
              <w:ind w:firstLine="0"/>
              <w:jc w:val="left"/>
            </w:pPr>
            <w:r>
              <w:rPr>
                <w:sz w:val="14"/>
              </w:rPr>
              <w:t>product-catalog</w:t>
            </w:r>
          </w:p>
        </w:tc>
        <w:tc>
          <w:tcPr>
            <w:tcW w:type="dxa" w:w="1020"/>
          </w:tcPr>
          <w:p>
            <w:pPr>
              <w:pStyle w:val="ICST-Tabletext"/>
              <w:spacing w:before="20" w:after="20"/>
              <w:ind w:firstLine="0"/>
              <w:jc w:val="right"/>
            </w:pPr>
            <w:r>
              <w:rPr>
                <w:sz w:val="14"/>
              </w:rPr>
              <w:t>0.086</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trafficHotspot</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t088</w:t>
            </w:r>
          </w:p>
        </w:tc>
        <w:tc>
          <w:tcPr>
            <w:tcW w:type="dxa" w:w="2268"/>
          </w:tcPr>
          <w:p>
            <w:pPr>
              <w:pStyle w:val="ICST-Tabletext"/>
              <w:spacing w:before="20" w:after="20"/>
              <w:ind w:firstLine="0"/>
              <w:jc w:val="left"/>
            </w:pPr>
            <w:r>
              <w:rPr>
                <w:sz w:val="14"/>
              </w:rPr>
              <w:t>ad</w:t>
            </w:r>
          </w:p>
        </w:tc>
        <w:tc>
          <w:tcPr>
            <w:tcW w:type="dxa" w:w="1020"/>
          </w:tcPr>
          <w:p>
            <w:pPr>
              <w:pStyle w:val="ICST-Tabletext"/>
              <w:spacing w:before="20" w:after="20"/>
              <w:ind w:firstLine="0"/>
              <w:jc w:val="right"/>
            </w:pPr>
            <w:r>
              <w:rPr>
                <w:sz w:val="14"/>
              </w:rPr>
              <w:t>0.051</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trafficHotspot</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t095</w:t>
            </w:r>
          </w:p>
        </w:tc>
        <w:tc>
          <w:tcPr>
            <w:tcW w:type="dxa" w:w="2268"/>
          </w:tcPr>
          <w:p>
            <w:pPr>
              <w:pStyle w:val="ICST-Tabletext"/>
              <w:spacing w:before="20" w:after="20"/>
              <w:ind w:firstLine="0"/>
              <w:jc w:val="left"/>
            </w:pPr>
            <w:r>
              <w:rPr>
                <w:sz w:val="14"/>
              </w:rPr>
              <w:t>shipping</w:t>
            </w:r>
          </w:p>
        </w:tc>
        <w:tc>
          <w:tcPr>
            <w:tcW w:type="dxa" w:w="1020"/>
          </w:tcPr>
          <w:p>
            <w:pPr>
              <w:pStyle w:val="ICST-Tabletext"/>
              <w:spacing w:before="20" w:after="20"/>
              <w:ind w:firstLine="0"/>
              <w:jc w:val="right"/>
            </w:pPr>
            <w:r>
              <w:rPr>
                <w:sz w:val="14"/>
              </w:rPr>
              <w:t>0.059</w:t>
            </w:r>
          </w:p>
        </w:tc>
        <w:tc>
          <w:tcPr>
            <w:tcW w:type="dxa" w:w="1587"/>
          </w:tcPr>
          <w:p>
            <w:pPr>
              <w:pStyle w:val="ICST-Tabletext"/>
              <w:spacing w:before="20" w:after="20"/>
              <w:ind w:firstLine="0"/>
              <w:jc w:val="left"/>
            </w:pPr>
            <w:r>
              <w:rPr>
                <w:sz w:val="14"/>
              </w:rPr>
              <w:t>netpol</w:t>
            </w:r>
          </w:p>
        </w:tc>
        <w:tc>
          <w:tcPr>
            <w:tcW w:type="dxa" w:w="2268"/>
          </w:tcPr>
          <w:p>
            <w:pPr>
              <w:pStyle w:val="ICST-Tabletext"/>
              <w:spacing w:before="20" w:after="20"/>
              <w:ind w:firstLine="0"/>
              <w:jc w:val="left"/>
            </w:pPr>
            <w:r>
              <w:rPr>
                <w:sz w:val="14"/>
              </w:rPr>
              <w:t>podPendingUnschedulable</w:t>
            </w:r>
          </w:p>
        </w:tc>
        <w:tc>
          <w:tcPr>
            <w:tcW w:type="dxa" w:w="794"/>
          </w:tcPr>
          <w:p>
            <w:pPr>
              <w:pStyle w:val="ICST-Tabletext"/>
              <w:spacing w:before="20" w:after="20"/>
              <w:ind w:firstLine="0"/>
              <w:jc w:val="right"/>
            </w:pPr>
            <w:r>
              <w:rPr>
                <w:sz w:val="14"/>
              </w:rPr>
              <w:t>0.25</w:t>
            </w:r>
          </w:p>
        </w:tc>
      </w:tr>
      <w:tr>
        <w:trPr>
          <w:cantSplit/>
        </w:trPr>
        <w:tc>
          <w:tcPr>
            <w:tcW w:type="dxa" w:w="737"/>
          </w:tcPr>
          <w:p>
            <w:pPr>
              <w:pStyle w:val="ICST-Tabletext"/>
              <w:spacing w:before="20" w:after="20"/>
              <w:ind w:firstLine="0"/>
              <w:jc w:val="left"/>
            </w:pPr>
            <w:r>
              <w:rPr>
                <w:sz w:val="14"/>
              </w:rPr>
              <w:t>t098</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0.587</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codeDefect</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t099</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0.687</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httpError5xx</w:t>
            </w:r>
          </w:p>
        </w:tc>
        <w:tc>
          <w:tcPr>
            <w:tcW w:type="dxa" w:w="794"/>
          </w:tcPr>
          <w:p>
            <w:pPr>
              <w:pStyle w:val="ICST-Tabletext"/>
              <w:spacing w:before="20" w:after="20"/>
              <w:ind w:firstLine="0"/>
              <w:jc w:val="right"/>
            </w:pPr>
            <w:r>
              <w:rPr>
                <w:sz w:val="14"/>
              </w:rPr>
              <w:t>0.125</w:t>
            </w:r>
          </w:p>
        </w:tc>
      </w:tr>
      <w:tr>
        <w:trPr>
          <w:cantSplit/>
        </w:trPr>
        <w:tc>
          <w:tcPr>
            <w:tcW w:type="dxa" w:w="737"/>
          </w:tcPr>
          <w:p>
            <w:pPr>
              <w:pStyle w:val="ICST-Tabletext"/>
              <w:spacing w:before="20" w:after="20"/>
              <w:ind w:firstLine="0"/>
              <w:jc w:val="left"/>
            </w:pPr>
            <w:r>
              <w:rPr>
                <w:sz w:val="14"/>
              </w:rPr>
              <w:t>t100</w:t>
            </w:r>
          </w:p>
        </w:tc>
        <w:tc>
          <w:tcPr>
            <w:tcW w:type="dxa" w:w="2268"/>
          </w:tcPr>
          <w:p>
            <w:pPr>
              <w:pStyle w:val="ICST-Tabletext"/>
              <w:spacing w:before="20" w:after="20"/>
              <w:ind w:firstLine="0"/>
              <w:jc w:val="left"/>
            </w:pPr>
            <w:r>
              <w:rPr>
                <w:sz w:val="14"/>
              </w:rPr>
              <w:t>recommendation</w:t>
            </w:r>
          </w:p>
        </w:tc>
        <w:tc>
          <w:tcPr>
            <w:tcW w:type="dxa" w:w="1020"/>
          </w:tcPr>
          <w:p>
            <w:pPr>
              <w:pStyle w:val="ICST-Tabletext"/>
              <w:spacing w:before="20" w:after="20"/>
              <w:ind w:firstLine="0"/>
              <w:jc w:val="right"/>
            </w:pPr>
            <w:r>
              <w:rPr>
                <w:sz w:val="14"/>
              </w:rPr>
              <w:t>0.062</w:t>
            </w:r>
          </w:p>
        </w:tc>
        <w:tc>
          <w:tcPr>
            <w:tcW w:type="dxa" w:w="1587"/>
          </w:tcPr>
          <w:p>
            <w:pPr>
              <w:pStyle w:val="ICST-Tabletext"/>
              <w:spacing w:before="20" w:after="20"/>
              <w:ind w:firstLine="0"/>
              <w:jc w:val="left"/>
            </w:pPr>
            <w:r>
              <w:rPr>
                <w:sz w:val="14"/>
              </w:rPr>
              <w:t>none</w:t>
            </w:r>
          </w:p>
        </w:tc>
        <w:tc>
          <w:tcPr>
            <w:tcW w:type="dxa" w:w="2268"/>
          </w:tcPr>
          <w:p>
            <w:pPr>
              <w:pStyle w:val="ICST-Tabletext"/>
              <w:spacing w:before="20" w:after="20"/>
              <w:ind w:firstLine="0"/>
              <w:jc w:val="left"/>
            </w:pPr>
            <w:r>
              <w:rPr>
                <w:sz w:val="14"/>
              </w:rPr>
              <w:t>replicaScaleDown</w:t>
            </w:r>
          </w:p>
        </w:tc>
        <w:tc>
          <w:tcPr>
            <w:tcW w:type="dxa" w:w="794"/>
          </w:tcPr>
          <w:p>
            <w:pPr>
              <w:pStyle w:val="ICST-Tabletext"/>
              <w:spacing w:before="20" w:after="20"/>
              <w:ind w:firstLine="0"/>
              <w:jc w:val="right"/>
            </w:pPr>
            <w:r>
              <w:rPr>
                <w:sz w:val="14"/>
              </w:rPr>
              <w:t>0.0625</w:t>
            </w:r>
          </w:p>
        </w:tc>
      </w:tr>
      <w:tr>
        <w:trPr>
          <w:cantSplit/>
        </w:trPr>
        <w:tc>
          <w:tcPr>
            <w:tcW w:type="dxa" w:w="737"/>
          </w:tcPr>
          <w:p>
            <w:pPr>
              <w:pStyle w:val="ICST-Tabletext"/>
              <w:spacing w:before="20" w:after="20"/>
              <w:ind w:firstLine="0"/>
              <w:jc w:val="left"/>
            </w:pPr>
            <w:r>
              <w:rPr>
                <w:sz w:val="14"/>
              </w:rPr>
              <w:t>t103</w:t>
            </w:r>
          </w:p>
        </w:tc>
        <w:tc>
          <w:tcPr>
            <w:tcW w:type="dxa" w:w="2268"/>
          </w:tcPr>
          <w:p>
            <w:pPr>
              <w:pStyle w:val="ICST-Tabletext"/>
              <w:spacing w:before="20" w:after="20"/>
              <w:ind w:firstLine="0"/>
              <w:jc w:val="left"/>
            </w:pPr>
            <w:r>
              <w:rPr>
                <w:sz w:val="14"/>
              </w:rPr>
              <w:t>inventory</w:t>
            </w:r>
          </w:p>
        </w:tc>
        <w:tc>
          <w:tcPr>
            <w:tcW w:type="dxa" w:w="1020"/>
          </w:tcPr>
          <w:p>
            <w:pPr>
              <w:pStyle w:val="ICST-Tabletext"/>
              <w:spacing w:before="20" w:after="20"/>
              <w:ind w:firstLine="0"/>
              <w:jc w:val="right"/>
            </w:pPr>
            <w:r>
              <w:rPr>
                <w:sz w:val="14"/>
              </w:rPr>
              <w:t>0.057</w:t>
            </w:r>
          </w:p>
        </w:tc>
        <w:tc>
          <w:tcPr>
            <w:tcW w:type="dxa" w:w="1587"/>
          </w:tcPr>
          <w:p>
            <w:pPr>
              <w:pStyle w:val="ICST-Tabletext"/>
              <w:spacing w:before="20" w:after="20"/>
              <w:ind w:firstLine="0"/>
              <w:jc w:val="left"/>
            </w:pPr>
            <w:r>
              <w:rPr>
                <w:sz w:val="14"/>
              </w:rPr>
              <w:t>sql</w:t>
            </w:r>
          </w:p>
        </w:tc>
        <w:tc>
          <w:tcPr>
            <w:tcW w:type="dxa" w:w="2268"/>
          </w:tcPr>
          <w:p>
            <w:pPr>
              <w:pStyle w:val="ICST-Tabletext"/>
              <w:spacing w:before="20" w:after="20"/>
              <w:ind w:firstLine="0"/>
              <w:jc w:val="left"/>
            </w:pPr>
            <w:r>
              <w:rPr>
                <w:sz w:val="14"/>
              </w:rPr>
              <w:t>redisUnavailable</w:t>
            </w:r>
          </w:p>
        </w:tc>
        <w:tc>
          <w:tcPr>
            <w:tcW w:type="dxa" w:w="794"/>
          </w:tcPr>
          <w:p>
            <w:pPr>
              <w:pStyle w:val="ICST-Tabletext"/>
              <w:spacing w:before="20" w:after="20"/>
              <w:ind w:firstLine="0"/>
              <w:jc w:val="right"/>
            </w:pPr>
            <w:r>
              <w:rPr>
                <w:sz w:val="14"/>
              </w:rPr>
              <w:t>0.0625</w:t>
            </w:r>
          </w:p>
        </w:tc>
      </w:tr>
    </w:tbl>
    <w:p>
      <w:pPr>
        <w:pStyle w:val="ICST-Bodytextnoindent"/>
        <w:spacing w:before="40" w:after="160"/>
      </w:pPr>
      <w:r>
        <w:rPr>
          <w:sz w:val="14"/>
        </w:rPr>
        <w:t>A reading is "none" when the LLM chose no category or its quote was not found verbatim in the text.</w:t>
      </w:r>
    </w:p>
    <w:p>
      <w:pPr>
        <w:pStyle w:val="ICST-Bodytextnoindent"/>
      </w:pPr>
      <w:r>
        <w:rPr>
          <w:b/>
        </w:rPr>
        <w:t>Causal chains and π.</w:t>
      </w:r>
      <w:r>
        <w:rPr/>
        <w:t xml:space="preserve"> The run reported here did not store the generated chains or the EM estimate of π per case. The pipeline now writes both (columns reasoning_chain and v4_pi); Table D4 will list representative chains — one correct, one with the right entity and the wrong type, one three hops away — once the configuration is re-run. [TO BE FILLED FROM THE NEXT RUN]</w:t>
      </w:r>
    </w:p>
    <w:p>
      <w:pPr>
        <w:pStyle w:val="ICST-Heading1"/>
      </w:pPr>
      <w:r>
        <w:rPr/>
        <w:t>Appendix E. Changes Made by the LLM Typing Step</w:t>
      </w:r>
    </w:p>
    <w:p>
      <w:pPr>
        <w:pStyle w:val="ICST-Captions"/>
        <w:keepNext/>
      </w:pPr>
      <w:r>
        <w:rPr/>
        <w:t>Table E1. The 22 cases in which the accepted LLM type differs from the statistical type.</w:t>
      </w:r>
    </w:p>
    <w:tbl>
      <w:tblPr>
        <w:tblW w:type="auto" w:w="0"/>
        <w:jc w:val="center"/>
        <w:tblBorders>
          <w:top w:val="single" w:sz="10" w:color="000000"/>
          <w:bottom w:val="single" w:sz="10" w:color="000000"/>
        </w:tblBorders>
        <w:tblLook w:firstColumn="1" w:firstRow="1" w:lastColumn="0" w:lastRow="0" w:noHBand="0" w:noVBand="1" w:val="04A0"/>
      </w:tblPr>
      <w:tblGrid>
        <w:gridCol w:w="737"/>
        <w:gridCol w:w="1927"/>
        <w:gridCol w:w="1927"/>
        <w:gridCol w:w="2154"/>
        <w:gridCol w:w="680"/>
        <w:gridCol w:w="1474"/>
      </w:tblGrid>
      <w:tr>
        <w:trPr>
          <w:tblHeader/>
          <w:cantSplit/>
        </w:trPr>
        <w:tc>
          <w:tcPr>
            <w:tcW w:type="dxa" w:w="737"/>
            <w:tcBorders>
              <w:bottom w:val="single" w:sz="6" w:color="000000"/>
            </w:tcBorders>
          </w:tcPr>
          <w:p>
            <w:pPr>
              <w:pStyle w:val="ICST-Tabletext"/>
              <w:spacing w:before="20" w:after="20"/>
              <w:ind w:firstLine="0"/>
              <w:jc w:val="left"/>
            </w:pPr>
            <w:r>
              <w:rPr>
                <w:b/>
                <w:sz w:val="14"/>
              </w:rPr>
              <w:t>Case</w:t>
            </w:r>
          </w:p>
        </w:tc>
        <w:tc>
          <w:tcPr>
            <w:tcW w:type="dxa" w:w="1928"/>
            <w:tcBorders>
              <w:bottom w:val="single" w:sz="6" w:color="000000"/>
            </w:tcBorders>
          </w:tcPr>
          <w:p>
            <w:pPr>
              <w:pStyle w:val="ICST-Tabletext"/>
              <w:spacing w:before="20" w:after="20"/>
              <w:ind w:firstLine="0"/>
              <w:jc w:val="left"/>
            </w:pPr>
            <w:r>
              <w:rPr>
                <w:b/>
                <w:sz w:val="14"/>
              </w:rPr>
              <w:t>Statistical type</w:t>
            </w:r>
          </w:p>
        </w:tc>
        <w:tc>
          <w:tcPr>
            <w:tcW w:type="dxa" w:w="1928"/>
            <w:tcBorders>
              <w:bottom w:val="single" w:sz="6" w:color="000000"/>
            </w:tcBorders>
          </w:tcPr>
          <w:p>
            <w:pPr>
              <w:pStyle w:val="ICST-Tabletext"/>
              <w:spacing w:before="20" w:after="20"/>
              <w:ind w:firstLine="0"/>
              <w:jc w:val="left"/>
            </w:pPr>
            <w:r>
              <w:rPr>
                <w:b/>
                <w:sz w:val="14"/>
              </w:rPr>
              <w:t>LLM type</w:t>
            </w:r>
          </w:p>
        </w:tc>
        <w:tc>
          <w:tcPr>
            <w:tcW w:type="dxa" w:w="2154"/>
            <w:tcBorders>
              <w:bottom w:val="single" w:sz="6" w:color="000000"/>
            </w:tcBorders>
          </w:tcPr>
          <w:p>
            <w:pPr>
              <w:pStyle w:val="ICST-Tabletext"/>
              <w:spacing w:before="20" w:after="20"/>
              <w:ind w:firstLine="0"/>
              <w:jc w:val="left"/>
            </w:pPr>
            <w:r>
              <w:rPr>
                <w:b/>
                <w:sz w:val="14"/>
              </w:rPr>
              <w:t>True type</w:t>
            </w:r>
          </w:p>
        </w:tc>
        <w:tc>
          <w:tcPr>
            <w:tcW w:type="dxa" w:w="680"/>
            <w:tcBorders>
              <w:bottom w:val="single" w:sz="6" w:color="000000"/>
            </w:tcBorders>
          </w:tcPr>
          <w:p>
            <w:pPr>
              <w:pStyle w:val="ICST-Tabletext"/>
              <w:spacing w:before="20" w:after="20"/>
              <w:ind w:firstLine="0"/>
              <w:jc w:val="right"/>
            </w:pPr>
            <w:r>
              <w:rPr>
                <w:b/>
                <w:sz w:val="14"/>
              </w:rPr>
              <w:t>EL</w:t>
            </w:r>
          </w:p>
        </w:tc>
        <w:tc>
          <w:tcPr>
            <w:tcW w:type="dxa" w:w="1474"/>
            <w:tcBorders>
              <w:bottom w:val="single" w:sz="6" w:color="000000"/>
            </w:tcBorders>
          </w:tcPr>
          <w:p>
            <w:pPr>
              <w:pStyle w:val="ICST-Tabletext"/>
              <w:spacing w:before="20" w:after="20"/>
              <w:ind w:firstLine="0"/>
              <w:jc w:val="left"/>
            </w:pPr>
            <w:r>
              <w:rPr>
                <w:b/>
                <w:sz w:val="14"/>
              </w:rPr>
              <w:t>Effect</w:t>
            </w:r>
          </w:p>
        </w:tc>
      </w:tr>
      <w:tr>
        <w:trPr>
          <w:cantSplit/>
        </w:trPr>
        <w:tc>
          <w:tcPr>
            <w:tcW w:type="dxa" w:w="737"/>
          </w:tcPr>
          <w:p>
            <w:pPr>
              <w:pStyle w:val="ICST-Tabletext"/>
              <w:spacing w:before="20" w:after="20"/>
              <w:ind w:firstLine="0"/>
              <w:jc w:val="left"/>
            </w:pPr>
            <w:r>
              <w:rPr>
                <w:sz w:val="14"/>
              </w:rPr>
              <w:t>t005</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trafficHotspot</w:t>
            </w:r>
          </w:p>
        </w:tc>
        <w:tc>
          <w:tcPr>
            <w:tcW w:type="dxa" w:w="2154"/>
          </w:tcPr>
          <w:p>
            <w:pPr>
              <w:pStyle w:val="ICST-Tabletext"/>
              <w:spacing w:before="20" w:after="20"/>
              <w:ind w:firstLine="0"/>
              <w:jc w:val="left"/>
            </w:pPr>
            <w:r>
              <w:rPr>
                <w:sz w:val="14"/>
              </w:rPr>
              <w:t>nodeCpuHigh</w:t>
            </w:r>
          </w:p>
        </w:tc>
        <w:tc>
          <w:tcPr>
            <w:tcW w:type="dxa" w:w="680"/>
          </w:tcPr>
          <w:p>
            <w:pPr>
              <w:pStyle w:val="ICST-Tabletext"/>
              <w:spacing w:before="20" w:after="20"/>
              <w:ind w:firstLine="0"/>
              <w:jc w:val="right"/>
            </w:pPr>
            <w:r>
              <w:rPr>
                <w:sz w:val="14"/>
              </w:rPr>
              <w:t>0.0625</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t025</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dbNetworkLatency</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t027</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cpuFullLoad</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right</w:t>
            </w:r>
          </w:p>
        </w:tc>
      </w:tr>
      <w:tr>
        <w:trPr>
          <w:cantSplit/>
        </w:trPr>
        <w:tc>
          <w:tcPr>
            <w:tcW w:type="dxa" w:w="737"/>
          </w:tcPr>
          <w:p>
            <w:pPr>
              <w:pStyle w:val="ICST-Tabletext"/>
              <w:spacing w:before="20" w:after="20"/>
              <w:ind w:firstLine="0"/>
              <w:jc w:val="left"/>
            </w:pPr>
            <w:r>
              <w:rPr>
                <w:sz w:val="14"/>
              </w:rPr>
              <w:t>t030</w:t>
            </w:r>
          </w:p>
        </w:tc>
        <w:tc>
          <w:tcPr>
            <w:tcW w:type="dxa" w:w="1928"/>
          </w:tcPr>
          <w:p>
            <w:pPr>
              <w:pStyle w:val="ICST-Tabletext"/>
              <w:spacing w:before="20" w:after="20"/>
              <w:ind w:firstLine="0"/>
              <w:jc w:val="left"/>
            </w:pPr>
            <w:r>
              <w:rPr>
                <w:sz w:val="14"/>
              </w:rPr>
              <w:t>trafficHotspot</w:t>
            </w:r>
          </w:p>
        </w:tc>
        <w:tc>
          <w:tcPr>
            <w:tcW w:type="dxa" w:w="1928"/>
          </w:tcPr>
          <w:p>
            <w:pPr>
              <w:pStyle w:val="ICST-Tabletext"/>
              <w:spacing w:before="20" w:after="20"/>
              <w:ind w:firstLine="0"/>
              <w:jc w:val="left"/>
            </w:pPr>
            <w:r>
              <w:rPr>
                <w:sz w:val="14"/>
              </w:rPr>
              <w:t>trafficSurge</w:t>
            </w:r>
          </w:p>
        </w:tc>
        <w:tc>
          <w:tcPr>
            <w:tcW w:type="dxa" w:w="2154"/>
          </w:tcPr>
          <w:p>
            <w:pPr>
              <w:pStyle w:val="ICST-Tabletext"/>
              <w:spacing w:before="20" w:after="20"/>
              <w:ind w:firstLine="0"/>
              <w:jc w:val="left"/>
            </w:pPr>
            <w:r>
              <w:rPr>
                <w:sz w:val="14"/>
              </w:rPr>
              <w:t>slowSQL</w:t>
            </w:r>
          </w:p>
        </w:tc>
        <w:tc>
          <w:tcPr>
            <w:tcW w:type="dxa" w:w="680"/>
          </w:tcPr>
          <w:p>
            <w:pPr>
              <w:pStyle w:val="ICST-Tabletext"/>
              <w:spacing w:before="20" w:after="20"/>
              <w:ind w:firstLine="0"/>
              <w:jc w:val="right"/>
            </w:pPr>
            <w:r>
              <w:rPr>
                <w:sz w:val="14"/>
              </w:rPr>
              <w:t>0.25</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t033</w:t>
            </w:r>
          </w:p>
        </w:tc>
        <w:tc>
          <w:tcPr>
            <w:tcW w:type="dxa" w:w="1928"/>
          </w:tcPr>
          <w:p>
            <w:pPr>
              <w:pStyle w:val="ICST-Tabletext"/>
              <w:spacing w:before="20" w:after="20"/>
              <w:ind w:firstLine="0"/>
              <w:jc w:val="left"/>
            </w:pPr>
            <w:r>
              <w:rPr>
                <w:sz w:val="14"/>
              </w:rPr>
              <w:t>diskIOHigh</w:t>
            </w:r>
          </w:p>
        </w:tc>
        <w:tc>
          <w:tcPr>
            <w:tcW w:type="dxa" w:w="1928"/>
          </w:tcPr>
          <w:p>
            <w:pPr>
              <w:pStyle w:val="ICST-Tabletext"/>
              <w:spacing w:before="20" w:after="20"/>
              <w:ind w:firstLine="0"/>
              <w:jc w:val="left"/>
            </w:pPr>
            <w:r>
              <w:rPr>
                <w:sz w:val="14"/>
              </w:rPr>
              <w:t>nodeCpuHigh</w:t>
            </w:r>
          </w:p>
        </w:tc>
        <w:tc>
          <w:tcPr>
            <w:tcW w:type="dxa" w:w="2154"/>
          </w:tcPr>
          <w:p>
            <w:pPr>
              <w:pStyle w:val="ICST-Tabletext"/>
              <w:spacing w:before="20" w:after="20"/>
              <w:ind w:firstLine="0"/>
              <w:jc w:val="left"/>
            </w:pPr>
            <w:r>
              <w:rPr>
                <w:sz w:val="14"/>
              </w:rPr>
              <w:t>replicaScaleDown</w:t>
            </w:r>
          </w:p>
        </w:tc>
        <w:tc>
          <w:tcPr>
            <w:tcW w:type="dxa" w:w="680"/>
          </w:tcPr>
          <w:p>
            <w:pPr>
              <w:pStyle w:val="ICST-Tabletext"/>
              <w:spacing w:before="20" w:after="20"/>
              <w:ind w:firstLine="0"/>
              <w:jc w:val="right"/>
            </w:pPr>
            <w:r>
              <w:rPr>
                <w:sz w:val="14"/>
              </w:rPr>
              <w:t>0.0312</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t035</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nullPointerException</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t043</w:t>
            </w:r>
          </w:p>
        </w:tc>
        <w:tc>
          <w:tcPr>
            <w:tcW w:type="dxa" w:w="1928"/>
          </w:tcPr>
          <w:p>
            <w:pPr>
              <w:pStyle w:val="ICST-Tabletext"/>
              <w:spacing w:before="20" w:after="20"/>
              <w:ind w:firstLine="0"/>
              <w:jc w:val="left"/>
            </w:pPr>
            <w:r>
              <w:rPr>
                <w:sz w:val="14"/>
              </w:rPr>
              <w:t>memoryPressure</w:t>
            </w:r>
          </w:p>
        </w:tc>
        <w:tc>
          <w:tcPr>
            <w:tcW w:type="dxa" w:w="1928"/>
          </w:tcPr>
          <w:p>
            <w:pPr>
              <w:pStyle w:val="ICST-Tabletext"/>
              <w:spacing w:before="20" w:after="20"/>
              <w:ind w:firstLine="0"/>
              <w:jc w:val="left"/>
            </w:pPr>
            <w:r>
              <w:rPr>
                <w:sz w:val="14"/>
              </w:rPr>
              <w:t>redisUnavailable</w:t>
            </w:r>
          </w:p>
        </w:tc>
        <w:tc>
          <w:tcPr>
            <w:tcW w:type="dxa" w:w="2154"/>
          </w:tcPr>
          <w:p>
            <w:pPr>
              <w:pStyle w:val="ICST-Tabletext"/>
              <w:spacing w:before="20" w:after="20"/>
              <w:ind w:firstLine="0"/>
              <w:jc w:val="left"/>
            </w:pPr>
            <w:r>
              <w:rPr>
                <w:sz w:val="14"/>
              </w:rPr>
              <w:t>httpError5xx</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t044</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memoryPressure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t047</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memoryPressure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t049</w:t>
            </w:r>
          </w:p>
        </w:tc>
        <w:tc>
          <w:tcPr>
            <w:tcW w:type="dxa" w:w="1928"/>
          </w:tcPr>
          <w:p>
            <w:pPr>
              <w:pStyle w:val="ICST-Tabletext"/>
              <w:spacing w:before="20" w:after="20"/>
              <w:ind w:firstLine="0"/>
              <w:jc w:val="left"/>
            </w:pPr>
            <w:r>
              <w:rPr>
                <w:sz w:val="14"/>
              </w:rPr>
              <w:t>trafficHotspot</w:t>
            </w:r>
          </w:p>
        </w:tc>
        <w:tc>
          <w:tcPr>
            <w:tcW w:type="dxa" w:w="1928"/>
          </w:tcPr>
          <w:p>
            <w:pPr>
              <w:pStyle w:val="ICST-Tabletext"/>
              <w:spacing w:before="20" w:after="20"/>
              <w:ind w:firstLine="0"/>
              <w:jc w:val="left"/>
            </w:pPr>
            <w:r>
              <w:rPr>
                <w:sz w:val="14"/>
              </w:rPr>
              <w:t>trafficSurge</w:t>
            </w:r>
          </w:p>
        </w:tc>
        <w:tc>
          <w:tcPr>
            <w:tcW w:type="dxa" w:w="2154"/>
          </w:tcPr>
          <w:p>
            <w:pPr>
              <w:pStyle w:val="ICST-Tabletext"/>
              <w:spacing w:before="20" w:after="20"/>
              <w:ind w:firstLine="0"/>
              <w:jc w:val="left"/>
            </w:pPr>
            <w:r>
              <w:rPr>
                <w:sz w:val="14"/>
              </w:rPr>
              <w:t>trafficHotspot</w:t>
            </w:r>
          </w:p>
        </w:tc>
        <w:tc>
          <w:tcPr>
            <w:tcW w:type="dxa" w:w="680"/>
          </w:tcPr>
          <w:p>
            <w:pPr>
              <w:pStyle w:val="ICST-Tabletext"/>
              <w:spacing w:before="20" w:after="20"/>
              <w:ind w:firstLine="0"/>
              <w:jc w:val="right"/>
            </w:pPr>
            <w:r>
              <w:rPr>
                <w:sz w:val="14"/>
              </w:rPr>
              <w:t>0.125</w:t>
            </w:r>
          </w:p>
        </w:tc>
        <w:tc>
          <w:tcPr>
            <w:tcW w:type="dxa" w:w="1474"/>
          </w:tcPr>
          <w:p>
            <w:pPr>
              <w:pStyle w:val="ICST-Tabletext"/>
              <w:spacing w:before="20" w:after="20"/>
              <w:ind w:firstLine="0"/>
              <w:jc w:val="left"/>
            </w:pPr>
            <w:r>
              <w:rPr>
                <w:sz w:val="14"/>
              </w:rPr>
              <w:t>right → wrong</w:t>
            </w:r>
          </w:p>
        </w:tc>
      </w:tr>
      <w:tr>
        <w:trPr>
          <w:cantSplit/>
        </w:trPr>
        <w:tc>
          <w:tcPr>
            <w:tcW w:type="dxa" w:w="737"/>
          </w:tcPr>
          <w:p>
            <w:pPr>
              <w:pStyle w:val="ICST-Tabletext"/>
              <w:spacing w:before="20" w:after="20"/>
              <w:ind w:firstLine="0"/>
              <w:jc w:val="left"/>
            </w:pPr>
            <w:r>
              <w:rPr>
                <w:sz w:val="14"/>
              </w:rPr>
              <w:t>t051</w:t>
            </w:r>
          </w:p>
        </w:tc>
        <w:tc>
          <w:tcPr>
            <w:tcW w:type="dxa" w:w="1928"/>
          </w:tcPr>
          <w:p>
            <w:pPr>
              <w:pStyle w:val="ICST-Tabletext"/>
              <w:spacing w:before="20" w:after="20"/>
              <w:ind w:firstLine="0"/>
              <w:jc w:val="left"/>
            </w:pPr>
            <w:r>
              <w:rPr>
                <w:sz w:val="14"/>
              </w:rPr>
              <w:t>cacheBreakdown</w:t>
            </w:r>
          </w:p>
        </w:tc>
        <w:tc>
          <w:tcPr>
            <w:tcW w:type="dxa" w:w="1928"/>
          </w:tcPr>
          <w:p>
            <w:pPr>
              <w:pStyle w:val="ICST-Tabletext"/>
              <w:spacing w:before="20" w:after="20"/>
              <w:ind w:firstLine="0"/>
              <w:jc w:val="left"/>
            </w:pPr>
            <w:r>
              <w:rPr>
                <w:sz w:val="14"/>
              </w:rPr>
              <w:t>trafficSurge</w:t>
            </w:r>
          </w:p>
        </w:tc>
        <w:tc>
          <w:tcPr>
            <w:tcW w:type="dxa" w:w="2154"/>
          </w:tcPr>
          <w:p>
            <w:pPr>
              <w:pStyle w:val="ICST-Tabletext"/>
              <w:spacing w:before="20" w:after="20"/>
              <w:ind w:firstLine="0"/>
              <w:jc w:val="left"/>
            </w:pPr>
            <w:r>
              <w:rPr>
                <w:sz w:val="14"/>
              </w:rPr>
              <w:t>trafficSurge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right</w:t>
            </w:r>
          </w:p>
        </w:tc>
      </w:tr>
      <w:tr>
        <w:trPr>
          <w:cantSplit/>
        </w:trPr>
        <w:tc>
          <w:tcPr>
            <w:tcW w:type="dxa" w:w="737"/>
          </w:tcPr>
          <w:p>
            <w:pPr>
              <w:pStyle w:val="ICST-Tabletext"/>
              <w:spacing w:before="20" w:after="20"/>
              <w:ind w:firstLine="0"/>
              <w:jc w:val="left"/>
            </w:pPr>
            <w:r>
              <w:rPr>
                <w:sz w:val="14"/>
              </w:rPr>
              <w:t>t055</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threadExhaustion</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t057</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memoryPressure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t061</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memoryPressure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t067</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cpuFullLoad</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right</w:t>
            </w:r>
          </w:p>
        </w:tc>
      </w:tr>
      <w:tr>
        <w:trPr>
          <w:cantSplit/>
        </w:trPr>
        <w:tc>
          <w:tcPr>
            <w:tcW w:type="dxa" w:w="737"/>
          </w:tcPr>
          <w:p>
            <w:pPr>
              <w:pStyle w:val="ICST-Tabletext"/>
              <w:spacing w:before="20" w:after="20"/>
              <w:ind w:firstLine="0"/>
              <w:jc w:val="left"/>
            </w:pPr>
            <w:r>
              <w:rPr>
                <w:sz w:val="14"/>
              </w:rPr>
              <w:t>t072</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memoryPressure</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t075</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loadBalancerFailure</w:t>
            </w:r>
          </w:p>
        </w:tc>
        <w:tc>
          <w:tcPr>
            <w:tcW w:type="dxa" w:w="680"/>
          </w:tcPr>
          <w:p>
            <w:pPr>
              <w:pStyle w:val="ICST-Tabletext"/>
              <w:spacing w:before="20" w:after="20"/>
              <w:ind w:firstLine="0"/>
              <w:jc w:val="right"/>
            </w:pPr>
            <w:r>
              <w:rPr>
                <w:sz w:val="14"/>
              </w:rPr>
              <w:t>0.5</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t080</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nodeCpuHigh</w:t>
            </w:r>
          </w:p>
        </w:tc>
        <w:tc>
          <w:tcPr>
            <w:tcW w:type="dxa" w:w="680"/>
          </w:tcPr>
          <w:p>
            <w:pPr>
              <w:pStyle w:val="ICST-Tabletext"/>
              <w:spacing w:before="20" w:after="20"/>
              <w:ind w:firstLine="0"/>
              <w:jc w:val="right"/>
            </w:pPr>
            <w:r>
              <w:rPr>
                <w:sz w:val="14"/>
              </w:rPr>
              <w:t>0.0625</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t083</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nullPointerException</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wrong</w:t>
            </w:r>
          </w:p>
        </w:tc>
      </w:tr>
      <w:tr>
        <w:trPr>
          <w:cantSplit/>
        </w:trPr>
        <w:tc>
          <w:tcPr>
            <w:tcW w:type="dxa" w:w="737"/>
          </w:tcPr>
          <w:p>
            <w:pPr>
              <w:pStyle w:val="ICST-Tabletext"/>
              <w:spacing w:before="20" w:after="20"/>
              <w:ind w:firstLine="0"/>
              <w:jc w:val="left"/>
            </w:pPr>
            <w:r>
              <w:rPr>
                <w:sz w:val="14"/>
              </w:rPr>
              <w:t>t086</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cpuFullLoad</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right</w:t>
            </w:r>
          </w:p>
        </w:tc>
      </w:tr>
      <w:tr>
        <w:trPr>
          <w:cantSplit/>
        </w:trPr>
        <w:tc>
          <w:tcPr>
            <w:tcW w:type="dxa" w:w="737"/>
          </w:tcPr>
          <w:p>
            <w:pPr>
              <w:pStyle w:val="ICST-Tabletext"/>
              <w:spacing w:before="20" w:after="20"/>
              <w:ind w:firstLine="0"/>
              <w:jc w:val="left"/>
            </w:pPr>
            <w:r>
              <w:rPr>
                <w:sz w:val="14"/>
              </w:rPr>
              <w:t>t088</w:t>
            </w:r>
          </w:p>
        </w:tc>
        <w:tc>
          <w:tcPr>
            <w:tcW w:type="dxa" w:w="1928"/>
          </w:tcPr>
          <w:p>
            <w:pPr>
              <w:pStyle w:val="ICST-Tabletext"/>
              <w:spacing w:before="20" w:after="20"/>
              <w:ind w:firstLine="0"/>
              <w:jc w:val="left"/>
            </w:pPr>
            <w:r>
              <w:rPr>
                <w:sz w:val="14"/>
              </w:rPr>
              <w:t>trafficHotspot</w:t>
            </w:r>
          </w:p>
        </w:tc>
        <w:tc>
          <w:tcPr>
            <w:tcW w:type="dxa" w:w="1928"/>
          </w:tcPr>
          <w:p>
            <w:pPr>
              <w:pStyle w:val="ICST-Tabletext"/>
              <w:spacing w:before="20" w:after="20"/>
              <w:ind w:firstLine="0"/>
              <w:jc w:val="left"/>
            </w:pPr>
            <w:r>
              <w:rPr>
                <w:sz w:val="14"/>
              </w:rPr>
              <w:t>trafficSurge</w:t>
            </w:r>
          </w:p>
        </w:tc>
        <w:tc>
          <w:tcPr>
            <w:tcW w:type="dxa" w:w="2154"/>
          </w:tcPr>
          <w:p>
            <w:pPr>
              <w:pStyle w:val="ICST-Tabletext"/>
              <w:spacing w:before="20" w:after="20"/>
              <w:ind w:firstLine="0"/>
              <w:jc w:val="left"/>
            </w:pPr>
            <w:r>
              <w:rPr>
                <w:sz w:val="14"/>
              </w:rPr>
              <w:t>trafficHotspot</w:t>
            </w:r>
          </w:p>
        </w:tc>
        <w:tc>
          <w:tcPr>
            <w:tcW w:type="dxa" w:w="680"/>
          </w:tcPr>
          <w:p>
            <w:pPr>
              <w:pStyle w:val="ICST-Tabletext"/>
              <w:spacing w:before="20" w:after="20"/>
              <w:ind w:firstLine="0"/>
              <w:jc w:val="right"/>
            </w:pPr>
            <w:r>
              <w:rPr>
                <w:sz w:val="14"/>
              </w:rPr>
              <w:t>0.125</w:t>
            </w:r>
          </w:p>
        </w:tc>
        <w:tc>
          <w:tcPr>
            <w:tcW w:type="dxa" w:w="1474"/>
          </w:tcPr>
          <w:p>
            <w:pPr>
              <w:pStyle w:val="ICST-Tabletext"/>
              <w:spacing w:before="20" w:after="20"/>
              <w:ind w:firstLine="0"/>
              <w:jc w:val="left"/>
            </w:pPr>
            <w:r>
              <w:rPr>
                <w:sz w:val="14"/>
              </w:rPr>
              <w:t>right → wrong</w:t>
            </w:r>
          </w:p>
        </w:tc>
      </w:tr>
      <w:tr>
        <w:trPr>
          <w:cantSplit/>
        </w:trPr>
        <w:tc>
          <w:tcPr>
            <w:tcW w:type="dxa" w:w="737"/>
          </w:tcPr>
          <w:p>
            <w:pPr>
              <w:pStyle w:val="ICST-Tabletext"/>
              <w:spacing w:before="20" w:after="20"/>
              <w:ind w:firstLine="0"/>
              <w:jc w:val="left"/>
            </w:pPr>
            <w:r>
              <w:rPr>
                <w:sz w:val="14"/>
              </w:rPr>
              <w:t>t093</w:t>
            </w:r>
          </w:p>
        </w:tc>
        <w:tc>
          <w:tcPr>
            <w:tcW w:type="dxa" w:w="1928"/>
          </w:tcPr>
          <w:p>
            <w:pPr>
              <w:pStyle w:val="ICST-Tabletext"/>
              <w:spacing w:before="20" w:after="20"/>
              <w:ind w:firstLine="0"/>
              <w:jc w:val="left"/>
            </w:pPr>
            <w:r>
              <w:rPr>
                <w:sz w:val="14"/>
              </w:rPr>
              <w:t>cpuDeadLoop</w:t>
            </w:r>
          </w:p>
        </w:tc>
        <w:tc>
          <w:tcPr>
            <w:tcW w:type="dxa" w:w="1928"/>
          </w:tcPr>
          <w:p>
            <w:pPr>
              <w:pStyle w:val="ICST-Tabletext"/>
              <w:spacing w:before="20" w:after="20"/>
              <w:ind w:firstLine="0"/>
              <w:jc w:val="left"/>
            </w:pPr>
            <w:r>
              <w:rPr>
                <w:sz w:val="14"/>
              </w:rPr>
              <w:t>cpuFullLoad</w:t>
            </w:r>
          </w:p>
        </w:tc>
        <w:tc>
          <w:tcPr>
            <w:tcW w:type="dxa" w:w="2154"/>
          </w:tcPr>
          <w:p>
            <w:pPr>
              <w:pStyle w:val="ICST-Tabletext"/>
              <w:spacing w:before="20" w:after="20"/>
              <w:ind w:firstLine="0"/>
              <w:jc w:val="left"/>
            </w:pPr>
            <w:r>
              <w:rPr>
                <w:sz w:val="14"/>
              </w:rPr>
              <w:t>cpuFullLoad</w:t>
            </w:r>
          </w:p>
        </w:tc>
        <w:tc>
          <w:tcPr>
            <w:tcW w:type="dxa" w:w="680"/>
          </w:tcPr>
          <w:p>
            <w:pPr>
              <w:pStyle w:val="ICST-Tabletext"/>
              <w:spacing w:before="20" w:after="20"/>
              <w:ind w:firstLine="0"/>
              <w:jc w:val="right"/>
            </w:pPr>
            <w:r>
              <w:rPr>
                <w:sz w:val="14"/>
              </w:rPr>
              <w:t>1</w:t>
            </w:r>
          </w:p>
        </w:tc>
        <w:tc>
          <w:tcPr>
            <w:tcW w:type="dxa" w:w="1474"/>
          </w:tcPr>
          <w:p>
            <w:pPr>
              <w:pStyle w:val="ICST-Tabletext"/>
              <w:spacing w:before="20" w:after="20"/>
              <w:ind w:firstLine="0"/>
              <w:jc w:val="left"/>
            </w:pPr>
            <w:r>
              <w:rPr>
                <w:sz w:val="14"/>
              </w:rPr>
              <w:t>wrong → right</w:t>
            </w:r>
          </w:p>
        </w:tc>
      </w:tr>
    </w:tbl>
    <w:p>
      <w:pPr>
        <w:pStyle w:val="ICST-Bodytextnoindent"/>
        <w:spacing w:before="40" w:after="160"/>
      </w:pPr>
      <w:r>
        <w:rPr>
          <w:sz w:val="14"/>
        </w:rPr>
        <w:t>Accepted in 99 of 103 cases (type in the shortlist and verbatim evidence line). Net effect: +3 correct types.</w:t>
      </w:r>
    </w:p>
    <w:p>
      <w:pPr>
        <w:pStyle w:val="ICST-Heading1"/>
      </w:pPr>
      <w:r>
        <w:rPr/>
        <w:t>Appendix F. Per-Case Results</w:t>
      </w:r>
    </w:p>
    <w:p>
      <w:pPr>
        <w:pStyle w:val="ICST-Captions"/>
        <w:keepNext/>
      </w:pPr>
      <w:r>
        <w:rPr/>
        <w:t>Table F1. Per-case results of GAMA-RCA + LLM (Qwen3-8B).</w:t>
      </w:r>
    </w:p>
    <w:tbl>
      <w:tblPr>
        <w:tblW w:type="auto" w:w="0"/>
        <w:jc w:val="center"/>
        <w:tblBorders>
          <w:top w:val="single" w:sz="10" w:color="000000"/>
          <w:bottom w:val="single" w:sz="10" w:color="000000"/>
        </w:tblBorders>
        <w:tblLook w:firstColumn="1" w:firstRow="1" w:lastColumn="0" w:lastRow="0" w:noHBand="0" w:noVBand="1" w:val="04A0"/>
      </w:tblPr>
      <w:tblGrid>
        <w:gridCol w:w="623"/>
        <w:gridCol w:w="1814"/>
        <w:gridCol w:w="1474"/>
        <w:gridCol w:w="1814"/>
        <w:gridCol w:w="1474"/>
        <w:gridCol w:w="623"/>
        <w:gridCol w:w="453"/>
        <w:gridCol w:w="510"/>
        <w:gridCol w:w="623"/>
      </w:tblGrid>
      <w:tr>
        <w:trPr>
          <w:tblHeader/>
          <w:cantSplit/>
        </w:trPr>
        <w:tc>
          <w:tcPr>
            <w:tcW w:type="dxa" w:w="624"/>
            <w:tcBorders>
              <w:bottom w:val="single" w:sz="6" w:color="000000"/>
            </w:tcBorders>
          </w:tcPr>
          <w:p>
            <w:pPr>
              <w:pStyle w:val="ICST-Tabletext"/>
              <w:spacing w:before="20" w:after="20"/>
              <w:ind w:firstLine="0"/>
              <w:jc w:val="left"/>
            </w:pPr>
            <w:r>
              <w:rPr>
                <w:b/>
                <w:sz w:val="13"/>
              </w:rPr>
              <w:t>Case</w:t>
            </w:r>
          </w:p>
        </w:tc>
        <w:tc>
          <w:tcPr>
            <w:tcW w:type="dxa" w:w="1814"/>
            <w:tcBorders>
              <w:bottom w:val="single" w:sz="6" w:color="000000"/>
            </w:tcBorders>
          </w:tcPr>
          <w:p>
            <w:pPr>
              <w:pStyle w:val="ICST-Tabletext"/>
              <w:spacing w:before="20" w:after="20"/>
              <w:ind w:firstLine="0"/>
              <w:jc w:val="left"/>
            </w:pPr>
            <w:r>
              <w:rPr>
                <w:b/>
                <w:sz w:val="13"/>
              </w:rPr>
              <w:t>True type</w:t>
            </w:r>
          </w:p>
        </w:tc>
        <w:tc>
          <w:tcPr>
            <w:tcW w:type="dxa" w:w="1474"/>
            <w:tcBorders>
              <w:bottom w:val="single" w:sz="6" w:color="000000"/>
            </w:tcBorders>
          </w:tcPr>
          <w:p>
            <w:pPr>
              <w:pStyle w:val="ICST-Tabletext"/>
              <w:spacing w:before="20" w:after="20"/>
              <w:ind w:firstLine="0"/>
              <w:jc w:val="left"/>
            </w:pPr>
            <w:r>
              <w:rPr>
                <w:b/>
                <w:sz w:val="13"/>
              </w:rPr>
              <w:t>True entity</w:t>
            </w:r>
          </w:p>
        </w:tc>
        <w:tc>
          <w:tcPr>
            <w:tcW w:type="dxa" w:w="1814"/>
            <w:tcBorders>
              <w:bottom w:val="single" w:sz="6" w:color="000000"/>
            </w:tcBorders>
          </w:tcPr>
          <w:p>
            <w:pPr>
              <w:pStyle w:val="ICST-Tabletext"/>
              <w:spacing w:before="20" w:after="20"/>
              <w:ind w:firstLine="0"/>
              <w:jc w:val="left"/>
            </w:pPr>
            <w:r>
              <w:rPr>
                <w:b/>
                <w:sz w:val="13"/>
              </w:rPr>
              <w:t>Predicted type</w:t>
            </w:r>
          </w:p>
        </w:tc>
        <w:tc>
          <w:tcPr>
            <w:tcW w:type="dxa" w:w="1474"/>
            <w:tcBorders>
              <w:bottom w:val="single" w:sz="6" w:color="000000"/>
            </w:tcBorders>
          </w:tcPr>
          <w:p>
            <w:pPr>
              <w:pStyle w:val="ICST-Tabletext"/>
              <w:spacing w:before="20" w:after="20"/>
              <w:ind w:firstLine="0"/>
              <w:jc w:val="left"/>
            </w:pPr>
            <w:r>
              <w:rPr>
                <w:b/>
                <w:sz w:val="13"/>
              </w:rPr>
              <w:t>Predicted entity</w:t>
            </w:r>
          </w:p>
        </w:tc>
        <w:tc>
          <w:tcPr>
            <w:tcW w:type="dxa" w:w="624"/>
            <w:tcBorders>
              <w:bottom w:val="single" w:sz="6" w:color="000000"/>
            </w:tcBorders>
          </w:tcPr>
          <w:p>
            <w:pPr>
              <w:pStyle w:val="ICST-Tabletext"/>
              <w:spacing w:before="20" w:after="20"/>
              <w:ind w:firstLine="0"/>
              <w:jc w:val="right"/>
            </w:pPr>
            <w:r>
              <w:rPr>
                <w:b/>
                <w:sz w:val="13"/>
              </w:rPr>
              <w:t>EL</w:t>
            </w:r>
          </w:p>
        </w:tc>
        <w:tc>
          <w:tcPr>
            <w:tcW w:type="dxa" w:w="454"/>
            <w:tcBorders>
              <w:bottom w:val="single" w:sz="6" w:color="000000"/>
            </w:tcBorders>
          </w:tcPr>
          <w:p>
            <w:pPr>
              <w:pStyle w:val="ICST-Tabletext"/>
              <w:spacing w:before="20" w:after="20"/>
              <w:ind w:firstLine="0"/>
              <w:jc w:val="right"/>
            </w:pPr>
            <w:r>
              <w:rPr>
                <w:b/>
                <w:sz w:val="13"/>
              </w:rPr>
              <w:t>FI</w:t>
            </w:r>
          </w:p>
        </w:tc>
        <w:tc>
          <w:tcPr>
            <w:tcW w:type="dxa" w:w="510"/>
            <w:tcBorders>
              <w:bottom w:val="single" w:sz="6" w:color="000000"/>
            </w:tcBorders>
          </w:tcPr>
          <w:p>
            <w:pPr>
              <w:pStyle w:val="ICST-Tabletext"/>
              <w:spacing w:before="20" w:after="20"/>
              <w:ind w:firstLine="0"/>
              <w:jc w:val="right"/>
            </w:pPr>
            <w:r>
              <w:rPr>
                <w:b/>
                <w:sz w:val="13"/>
              </w:rPr>
              <w:t>RP</w:t>
            </w:r>
          </w:p>
        </w:tc>
        <w:tc>
          <w:tcPr>
            <w:tcW w:type="dxa" w:w="624"/>
            <w:tcBorders>
              <w:bottom w:val="single" w:sz="6" w:color="000000"/>
            </w:tcBorders>
          </w:tcPr>
          <w:p>
            <w:pPr>
              <w:pStyle w:val="ICST-Tabletext"/>
              <w:spacing w:before="20" w:after="20"/>
              <w:ind w:firstLine="0"/>
              <w:jc w:val="right"/>
            </w:pPr>
            <w:r>
              <w:rPr>
                <w:b/>
                <w:sz w:val="13"/>
              </w:rPr>
              <w:t>P(ê)</w:t>
            </w:r>
          </w:p>
        </w:tc>
      </w:tr>
      <w:tr>
        <w:trPr>
          <w:cantSplit/>
        </w:trPr>
        <w:tc>
          <w:tcPr>
            <w:tcW w:type="dxa" w:w="624"/>
          </w:tcPr>
          <w:p>
            <w:pPr>
              <w:pStyle w:val="ICST-Tabletext"/>
              <w:spacing w:before="20" w:after="20"/>
              <w:ind w:firstLine="0"/>
              <w:jc w:val="left"/>
            </w:pPr>
            <w:r>
              <w:rPr>
                <w:sz w:val="13"/>
              </w:rPr>
              <w:t>t001</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payment</w:t>
            </w:r>
          </w:p>
        </w:tc>
        <w:tc>
          <w:tcPr>
            <w:tcW w:type="dxa" w:w="1814"/>
          </w:tcPr>
          <w:p>
            <w:pPr>
              <w:pStyle w:val="ICST-Tabletext"/>
              <w:spacing w:before="20" w:after="20"/>
              <w:ind w:firstLine="0"/>
              <w:jc w:val="left"/>
            </w:pPr>
            <w:r>
              <w:rPr>
                <w:sz w:val="13"/>
              </w:rPr>
              <w:t>codeDefect</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0.20</w:t>
            </w:r>
          </w:p>
        </w:tc>
      </w:tr>
      <w:tr>
        <w:trPr>
          <w:cantSplit/>
        </w:trPr>
        <w:tc>
          <w:tcPr>
            <w:tcW w:type="dxa" w:w="624"/>
          </w:tcPr>
          <w:p>
            <w:pPr>
              <w:pStyle w:val="ICST-Tabletext"/>
              <w:spacing w:before="20" w:after="20"/>
              <w:ind w:firstLine="0"/>
              <w:jc w:val="left"/>
            </w:pPr>
            <w:r>
              <w:rPr>
                <w:sz w:val="13"/>
              </w:rPr>
              <w:t>t002</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0.95</w:t>
            </w:r>
          </w:p>
        </w:tc>
      </w:tr>
      <w:tr>
        <w:trPr>
          <w:cantSplit/>
        </w:trPr>
        <w:tc>
          <w:tcPr>
            <w:tcW w:type="dxa" w:w="624"/>
          </w:tcPr>
          <w:p>
            <w:pPr>
              <w:pStyle w:val="ICST-Tabletext"/>
              <w:spacing w:before="20" w:after="20"/>
              <w:ind w:firstLine="0"/>
              <w:jc w:val="left"/>
            </w:pPr>
            <w:r>
              <w:rPr>
                <w:sz w:val="13"/>
              </w:rPr>
              <w:t>t003</w:t>
            </w:r>
          </w:p>
        </w:tc>
        <w:tc>
          <w:tcPr>
            <w:tcW w:type="dxa" w:w="1814"/>
          </w:tcPr>
          <w:p>
            <w:pPr>
              <w:pStyle w:val="ICST-Tabletext"/>
              <w:spacing w:before="20" w:after="20"/>
              <w:ind w:firstLine="0"/>
              <w:jc w:val="left"/>
            </w:pPr>
            <w:r>
              <w:rPr>
                <w:sz w:val="13"/>
              </w:rPr>
              <w:t>nodeMemoryOOM</w:t>
            </w:r>
          </w:p>
        </w:tc>
        <w:tc>
          <w:tcPr>
            <w:tcW w:type="dxa" w:w="1474"/>
          </w:tcPr>
          <w:p>
            <w:pPr>
              <w:pStyle w:val="ICST-Tabletext"/>
              <w:spacing w:before="20" w:after="20"/>
              <w:ind w:firstLine="0"/>
              <w:jc w:val="left"/>
            </w:pPr>
            <w:r>
              <w:rPr>
                <w:sz w:val="13"/>
              </w:rPr>
              <w:t>node-10.0.1.69</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ad</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0.90</w:t>
            </w:r>
          </w:p>
        </w:tc>
      </w:tr>
      <w:tr>
        <w:trPr>
          <w:cantSplit/>
        </w:trPr>
        <w:tc>
          <w:tcPr>
            <w:tcW w:type="dxa" w:w="624"/>
          </w:tcPr>
          <w:p>
            <w:pPr>
              <w:pStyle w:val="ICST-Tabletext"/>
              <w:spacing w:before="20" w:after="20"/>
              <w:ind w:firstLine="0"/>
              <w:jc w:val="left"/>
            </w:pPr>
            <w:r>
              <w:rPr>
                <w:sz w:val="13"/>
              </w:rPr>
              <w:t>t004</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0.94</w:t>
            </w:r>
          </w:p>
        </w:tc>
      </w:tr>
      <w:tr>
        <w:trPr>
          <w:cantSplit/>
        </w:trPr>
        <w:tc>
          <w:tcPr>
            <w:tcW w:type="dxa" w:w="624"/>
          </w:tcPr>
          <w:p>
            <w:pPr>
              <w:pStyle w:val="ICST-Tabletext"/>
              <w:spacing w:before="20" w:after="20"/>
              <w:ind w:firstLine="0"/>
              <w:jc w:val="left"/>
            </w:pPr>
            <w:r>
              <w:rPr>
                <w:sz w:val="13"/>
              </w:rPr>
              <w:t>t005</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trafficHotspot</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0.98</w:t>
            </w:r>
          </w:p>
        </w:tc>
      </w:tr>
      <w:tr>
        <w:trPr>
          <w:cantSplit/>
        </w:trPr>
        <w:tc>
          <w:tcPr>
            <w:tcW w:type="dxa" w:w="624"/>
          </w:tcPr>
          <w:p>
            <w:pPr>
              <w:pStyle w:val="ICST-Tabletext"/>
              <w:spacing w:before="20" w:after="20"/>
              <w:ind w:firstLine="0"/>
              <w:jc w:val="left"/>
            </w:pPr>
            <w:r>
              <w:rPr>
                <w:sz w:val="13"/>
              </w:rPr>
              <w:t>t006</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node-10.0.1.69</w:t>
            </w:r>
          </w:p>
        </w:tc>
        <w:tc>
          <w:tcPr>
            <w:tcW w:type="dxa" w:w="624"/>
          </w:tcPr>
          <w:p>
            <w:pPr>
              <w:pStyle w:val="ICST-Tabletext"/>
              <w:spacing w:before="20" w:after="20"/>
              <w:ind w:firstLine="0"/>
              <w:jc w:val="right"/>
            </w:pPr>
            <w:r>
              <w:rPr>
                <w:sz w:val="13"/>
              </w:rPr>
              <w:t>0.0312</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0.36</w:t>
            </w:r>
          </w:p>
        </w:tc>
      </w:tr>
      <w:tr>
        <w:trPr>
          <w:cantSplit/>
        </w:trPr>
        <w:tc>
          <w:tcPr>
            <w:tcW w:type="dxa" w:w="624"/>
          </w:tcPr>
          <w:p>
            <w:pPr>
              <w:pStyle w:val="ICST-Tabletext"/>
              <w:spacing w:before="20" w:after="20"/>
              <w:ind w:firstLine="0"/>
              <w:jc w:val="left"/>
            </w:pPr>
            <w:r>
              <w:rPr>
                <w:sz w:val="13"/>
              </w:rPr>
              <w:t>t007</w:t>
            </w:r>
          </w:p>
        </w:tc>
        <w:tc>
          <w:tcPr>
            <w:tcW w:type="dxa" w:w="1814"/>
          </w:tcPr>
          <w:p>
            <w:pPr>
              <w:pStyle w:val="ICST-Tabletext"/>
              <w:spacing w:before="20" w:after="20"/>
              <w:ind w:firstLine="0"/>
              <w:jc w:val="left"/>
            </w:pPr>
            <w:r>
              <w:rPr>
                <w:sz w:val="13"/>
              </w:rPr>
              <w:t>threadExhaustion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0.20</w:t>
            </w:r>
          </w:p>
        </w:tc>
      </w:tr>
      <w:tr>
        <w:trPr>
          <w:cantSplit/>
        </w:trPr>
        <w:tc>
          <w:tcPr>
            <w:tcW w:type="dxa" w:w="624"/>
          </w:tcPr>
          <w:p>
            <w:pPr>
              <w:pStyle w:val="ICST-Tabletext"/>
              <w:spacing w:before="20" w:after="20"/>
              <w:ind w:firstLine="0"/>
              <w:jc w:val="left"/>
            </w:pPr>
            <w:r>
              <w:rPr>
                <w:sz w:val="13"/>
              </w:rPr>
              <w:t>t008</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90</w:t>
            </w:r>
          </w:p>
        </w:tc>
        <w:tc>
          <w:tcPr>
            <w:tcW w:type="dxa" w:w="624"/>
          </w:tcPr>
          <w:p>
            <w:pPr>
              <w:pStyle w:val="ICST-Tabletext"/>
              <w:spacing w:before="20" w:after="20"/>
              <w:ind w:firstLine="0"/>
              <w:jc w:val="right"/>
            </w:pPr>
            <w:r>
              <w:rPr>
                <w:sz w:val="13"/>
              </w:rPr>
              <w:t>0.71</w:t>
            </w:r>
          </w:p>
        </w:tc>
      </w:tr>
      <w:tr>
        <w:trPr>
          <w:cantSplit/>
        </w:trPr>
        <w:tc>
          <w:tcPr>
            <w:tcW w:type="dxa" w:w="624"/>
          </w:tcPr>
          <w:p>
            <w:pPr>
              <w:pStyle w:val="ICST-Tabletext"/>
              <w:spacing w:before="20" w:after="20"/>
              <w:ind w:firstLine="0"/>
              <w:jc w:val="left"/>
            </w:pPr>
            <w:r>
              <w:rPr>
                <w:sz w:val="13"/>
              </w:rPr>
              <w:t>t009</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t010</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0.98</w:t>
            </w:r>
          </w:p>
        </w:tc>
      </w:tr>
      <w:tr>
        <w:trPr>
          <w:cantSplit/>
        </w:trPr>
        <w:tc>
          <w:tcPr>
            <w:tcW w:type="dxa" w:w="624"/>
          </w:tcPr>
          <w:p>
            <w:pPr>
              <w:pStyle w:val="ICST-Tabletext"/>
              <w:spacing w:before="20" w:after="20"/>
              <w:ind w:firstLine="0"/>
              <w:jc w:val="left"/>
            </w:pPr>
            <w:r>
              <w:rPr>
                <w:sz w:val="13"/>
              </w:rPr>
              <w:t>t011</w:t>
            </w:r>
          </w:p>
        </w:tc>
        <w:tc>
          <w:tcPr>
            <w:tcW w:type="dxa" w:w="1814"/>
          </w:tcPr>
          <w:p>
            <w:pPr>
              <w:pStyle w:val="ICST-Tabletext"/>
              <w:spacing w:before="20" w:after="20"/>
              <w:ind w:firstLine="0"/>
              <w:jc w:val="left"/>
            </w:pPr>
            <w:r>
              <w:rPr>
                <w:sz w:val="13"/>
              </w:rPr>
              <w:t>loadBalancerFailure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t012</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node-10.0.16.64</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88</w:t>
            </w:r>
          </w:p>
        </w:tc>
        <w:tc>
          <w:tcPr>
            <w:tcW w:type="dxa" w:w="624"/>
          </w:tcPr>
          <w:p>
            <w:pPr>
              <w:pStyle w:val="ICST-Tabletext"/>
              <w:spacing w:before="20" w:after="20"/>
              <w:ind w:firstLine="0"/>
              <w:jc w:val="right"/>
            </w:pPr>
            <w:r>
              <w:rPr>
                <w:sz w:val="13"/>
              </w:rPr>
              <w:t>0.61</w:t>
            </w:r>
          </w:p>
        </w:tc>
      </w:tr>
      <w:tr>
        <w:trPr>
          <w:cantSplit/>
        </w:trPr>
        <w:tc>
          <w:tcPr>
            <w:tcW w:type="dxa" w:w="624"/>
          </w:tcPr>
          <w:p>
            <w:pPr>
              <w:pStyle w:val="ICST-Tabletext"/>
              <w:spacing w:before="20" w:after="20"/>
              <w:ind w:firstLine="0"/>
              <w:jc w:val="left"/>
            </w:pPr>
            <w:r>
              <w:rPr>
                <w:sz w:val="13"/>
              </w:rPr>
              <w:t>t013</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93</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t014</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payment</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0.34</w:t>
            </w:r>
          </w:p>
        </w:tc>
      </w:tr>
      <w:tr>
        <w:trPr>
          <w:cantSplit/>
        </w:trPr>
        <w:tc>
          <w:tcPr>
            <w:tcW w:type="dxa" w:w="624"/>
          </w:tcPr>
          <w:p>
            <w:pPr>
              <w:pStyle w:val="ICST-Tabletext"/>
              <w:spacing w:before="20" w:after="20"/>
              <w:ind w:firstLine="0"/>
              <w:jc w:val="left"/>
            </w:pPr>
            <w:r>
              <w:rPr>
                <w:sz w:val="13"/>
              </w:rPr>
              <w:t>t015</w:t>
            </w:r>
          </w:p>
        </w:tc>
        <w:tc>
          <w:tcPr>
            <w:tcW w:type="dxa" w:w="1814"/>
          </w:tcPr>
          <w:p>
            <w:pPr>
              <w:pStyle w:val="ICST-Tabletext"/>
              <w:spacing w:before="20" w:after="20"/>
              <w:ind w:firstLine="0"/>
              <w:jc w:val="left"/>
            </w:pPr>
            <w:r>
              <w:rPr>
                <w:sz w:val="13"/>
              </w:rPr>
              <w:t>dbNetworkLatency</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t016</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86</w:t>
            </w:r>
          </w:p>
        </w:tc>
        <w:tc>
          <w:tcPr>
            <w:tcW w:type="dxa" w:w="624"/>
          </w:tcPr>
          <w:p>
            <w:pPr>
              <w:pStyle w:val="ICST-Tabletext"/>
              <w:spacing w:before="20" w:after="20"/>
              <w:ind w:firstLine="0"/>
              <w:jc w:val="right"/>
            </w:pPr>
            <w:r>
              <w:rPr>
                <w:sz w:val="13"/>
              </w:rPr>
              <w:t>0.83</w:t>
            </w:r>
          </w:p>
        </w:tc>
      </w:tr>
      <w:tr>
        <w:trPr>
          <w:cantSplit/>
        </w:trPr>
        <w:tc>
          <w:tcPr>
            <w:tcW w:type="dxa" w:w="624"/>
          </w:tcPr>
          <w:p>
            <w:pPr>
              <w:pStyle w:val="ICST-Tabletext"/>
              <w:spacing w:before="20" w:after="20"/>
              <w:ind w:firstLine="0"/>
              <w:jc w:val="left"/>
            </w:pPr>
            <w:r>
              <w:rPr>
                <w:sz w:val="13"/>
              </w:rPr>
              <w:t>t017</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t018</w:t>
            </w:r>
          </w:p>
        </w:tc>
        <w:tc>
          <w:tcPr>
            <w:tcW w:type="dxa" w:w="1814"/>
          </w:tcPr>
          <w:p>
            <w:pPr>
              <w:pStyle w:val="ICST-Tabletext"/>
              <w:spacing w:before="20" w:after="20"/>
              <w:ind w:firstLine="0"/>
              <w:jc w:val="left"/>
            </w:pPr>
            <w:r>
              <w:rPr>
                <w:sz w:val="13"/>
              </w:rPr>
              <w:t>cpuDeadLoop</w:t>
            </w:r>
          </w:p>
        </w:tc>
        <w:tc>
          <w:tcPr>
            <w:tcW w:type="dxa" w:w="1474"/>
          </w:tcPr>
          <w:p>
            <w:pPr>
              <w:pStyle w:val="ICST-Tabletext"/>
              <w:spacing w:before="20" w:after="20"/>
              <w:ind w:firstLine="0"/>
              <w:jc w:val="left"/>
            </w:pPr>
            <w:r>
              <w:rPr>
                <w:sz w:val="13"/>
              </w:rPr>
              <w:t>ad</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0.91</w:t>
            </w:r>
          </w:p>
        </w:tc>
      </w:tr>
      <w:tr>
        <w:trPr>
          <w:cantSplit/>
        </w:trPr>
        <w:tc>
          <w:tcPr>
            <w:tcW w:type="dxa" w:w="624"/>
          </w:tcPr>
          <w:p>
            <w:pPr>
              <w:pStyle w:val="ICST-Tabletext"/>
              <w:spacing w:before="20" w:after="20"/>
              <w:ind w:firstLine="0"/>
              <w:jc w:val="left"/>
            </w:pPr>
            <w:r>
              <w:rPr>
                <w:sz w:val="13"/>
              </w:rPr>
              <w:t>t019</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node-10.0.1.49</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54</w:t>
            </w:r>
          </w:p>
        </w:tc>
        <w:tc>
          <w:tcPr>
            <w:tcW w:type="dxa" w:w="624"/>
          </w:tcPr>
          <w:p>
            <w:pPr>
              <w:pStyle w:val="ICST-Tabletext"/>
              <w:spacing w:before="20" w:after="20"/>
              <w:ind w:firstLine="0"/>
              <w:jc w:val="right"/>
            </w:pPr>
            <w:r>
              <w:rPr>
                <w:sz w:val="13"/>
              </w:rPr>
              <w:t>0.90</w:t>
            </w:r>
          </w:p>
        </w:tc>
      </w:tr>
      <w:tr>
        <w:trPr>
          <w:cantSplit/>
        </w:trPr>
        <w:tc>
          <w:tcPr>
            <w:tcW w:type="dxa" w:w="624"/>
          </w:tcPr>
          <w:p>
            <w:pPr>
              <w:pStyle w:val="ICST-Tabletext"/>
              <w:spacing w:before="20" w:after="20"/>
              <w:ind w:firstLine="0"/>
              <w:jc w:val="left"/>
            </w:pPr>
            <w:r>
              <w:rPr>
                <w:sz w:val="13"/>
              </w:rPr>
              <w:t>t020</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networkPolicyIsolation</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74</w:t>
            </w:r>
          </w:p>
        </w:tc>
        <w:tc>
          <w:tcPr>
            <w:tcW w:type="dxa" w:w="624"/>
          </w:tcPr>
          <w:p>
            <w:pPr>
              <w:pStyle w:val="ICST-Tabletext"/>
              <w:spacing w:before="20" w:after="20"/>
              <w:ind w:firstLine="0"/>
              <w:jc w:val="right"/>
            </w:pPr>
            <w:r>
              <w:rPr>
                <w:sz w:val="13"/>
              </w:rPr>
              <w:t>0.48</w:t>
            </w:r>
          </w:p>
        </w:tc>
      </w:tr>
      <w:tr>
        <w:trPr>
          <w:cantSplit/>
        </w:trPr>
        <w:tc>
          <w:tcPr>
            <w:tcW w:type="dxa" w:w="624"/>
          </w:tcPr>
          <w:p>
            <w:pPr>
              <w:pStyle w:val="ICST-Tabletext"/>
              <w:spacing w:before="20" w:after="20"/>
              <w:ind w:firstLine="0"/>
              <w:jc w:val="left"/>
            </w:pPr>
            <w:r>
              <w:rPr>
                <w:sz w:val="13"/>
              </w:rPr>
              <w:t>t021</w:t>
            </w:r>
          </w:p>
        </w:tc>
        <w:tc>
          <w:tcPr>
            <w:tcW w:type="dxa" w:w="1814"/>
          </w:tcPr>
          <w:p>
            <w:pPr>
              <w:pStyle w:val="ICST-Tabletext"/>
              <w:spacing w:before="20" w:after="20"/>
              <w:ind w:firstLine="0"/>
              <w:jc w:val="left"/>
            </w:pPr>
            <w:r>
              <w:rPr>
                <w:sz w:val="13"/>
              </w:rPr>
              <w:t>slowSQL</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0.82</w:t>
            </w:r>
          </w:p>
        </w:tc>
      </w:tr>
      <w:tr>
        <w:trPr>
          <w:cantSplit/>
        </w:trPr>
        <w:tc>
          <w:tcPr>
            <w:tcW w:type="dxa" w:w="624"/>
          </w:tcPr>
          <w:p>
            <w:pPr>
              <w:pStyle w:val="ICST-Tabletext"/>
              <w:spacing w:before="20" w:after="20"/>
              <w:ind w:firstLine="0"/>
              <w:jc w:val="left"/>
            </w:pPr>
            <w:r>
              <w:rPr>
                <w:sz w:val="13"/>
              </w:rPr>
              <w:t>t022</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node-10.0.1.56</w:t>
            </w:r>
          </w:p>
        </w:tc>
        <w:tc>
          <w:tcPr>
            <w:tcW w:type="dxa" w:w="1814"/>
          </w:tcPr>
          <w:p>
            <w:pPr>
              <w:pStyle w:val="ICST-Tabletext"/>
              <w:spacing w:before="20" w:after="20"/>
              <w:ind w:firstLine="0"/>
              <w:jc w:val="left"/>
            </w:pPr>
            <w:r>
              <w:rPr>
                <w:sz w:val="13"/>
              </w:rPr>
              <w:t>nodeMemoryOOM</w:t>
            </w:r>
          </w:p>
        </w:tc>
        <w:tc>
          <w:tcPr>
            <w:tcW w:type="dxa" w:w="1474"/>
          </w:tcPr>
          <w:p>
            <w:pPr>
              <w:pStyle w:val="ICST-Tabletext"/>
              <w:spacing w:before="20" w:after="20"/>
              <w:ind w:firstLine="0"/>
              <w:jc w:val="left"/>
            </w:pPr>
            <w:r>
              <w:rPr>
                <w:sz w:val="13"/>
              </w:rPr>
              <w:t>node-10.0.2.37</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43</w:t>
            </w:r>
          </w:p>
        </w:tc>
        <w:tc>
          <w:tcPr>
            <w:tcW w:type="dxa" w:w="624"/>
          </w:tcPr>
          <w:p>
            <w:pPr>
              <w:pStyle w:val="ICST-Tabletext"/>
              <w:spacing w:before="20" w:after="20"/>
              <w:ind w:firstLine="0"/>
              <w:jc w:val="right"/>
            </w:pPr>
            <w:r>
              <w:rPr>
                <w:sz w:val="13"/>
              </w:rPr>
              <w:t>0.52</w:t>
            </w:r>
          </w:p>
        </w:tc>
      </w:tr>
      <w:tr>
        <w:trPr>
          <w:cantSplit/>
        </w:trPr>
        <w:tc>
          <w:tcPr>
            <w:tcW w:type="dxa" w:w="624"/>
          </w:tcPr>
          <w:p>
            <w:pPr>
              <w:pStyle w:val="ICST-Tabletext"/>
              <w:spacing w:before="20" w:after="20"/>
              <w:ind w:firstLine="0"/>
              <w:jc w:val="left"/>
            </w:pPr>
            <w:r>
              <w:rPr>
                <w:sz w:val="13"/>
              </w:rPr>
              <w:t>t023</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frontend</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0.86</w:t>
            </w:r>
          </w:p>
        </w:tc>
      </w:tr>
      <w:tr>
        <w:trPr>
          <w:cantSplit/>
        </w:trPr>
        <w:tc>
          <w:tcPr>
            <w:tcW w:type="dxa" w:w="624"/>
          </w:tcPr>
          <w:p>
            <w:pPr>
              <w:pStyle w:val="ICST-Tabletext"/>
              <w:spacing w:before="20" w:after="20"/>
              <w:ind w:firstLine="0"/>
              <w:jc w:val="left"/>
            </w:pPr>
            <w:r>
              <w:rPr>
                <w:sz w:val="13"/>
              </w:rPr>
              <w:t>t024</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94</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t025</w:t>
            </w:r>
          </w:p>
        </w:tc>
        <w:tc>
          <w:tcPr>
            <w:tcW w:type="dxa" w:w="1814"/>
          </w:tcPr>
          <w:p>
            <w:pPr>
              <w:pStyle w:val="ICST-Tabletext"/>
              <w:spacing w:before="20" w:after="20"/>
              <w:ind w:firstLine="0"/>
              <w:jc w:val="left"/>
            </w:pPr>
            <w:r>
              <w:rPr>
                <w:sz w:val="13"/>
              </w:rPr>
              <w:t>dbNetworkLatency</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t026</w:t>
            </w:r>
          </w:p>
        </w:tc>
        <w:tc>
          <w:tcPr>
            <w:tcW w:type="dxa" w:w="1814"/>
          </w:tcPr>
          <w:p>
            <w:pPr>
              <w:pStyle w:val="ICST-Tabletext"/>
              <w:spacing w:before="20" w:after="20"/>
              <w:ind w:firstLine="0"/>
              <w:jc w:val="left"/>
            </w:pPr>
            <w:r>
              <w:rPr>
                <w:sz w:val="13"/>
              </w:rPr>
              <w:t>resourceLimitMisconfig</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0.73</w:t>
            </w:r>
          </w:p>
        </w:tc>
      </w:tr>
      <w:tr>
        <w:trPr>
          <w:cantSplit/>
        </w:trPr>
        <w:tc>
          <w:tcPr>
            <w:tcW w:type="dxa" w:w="624"/>
          </w:tcPr>
          <w:p>
            <w:pPr>
              <w:pStyle w:val="ICST-Tabletext"/>
              <w:spacing w:before="20" w:after="20"/>
              <w:ind w:firstLine="0"/>
              <w:jc w:val="left"/>
            </w:pPr>
            <w:r>
              <w:rPr>
                <w:sz w:val="13"/>
              </w:rPr>
              <w:t>t027</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61</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t028</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node-10.0.2.59</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60</w:t>
            </w:r>
          </w:p>
        </w:tc>
        <w:tc>
          <w:tcPr>
            <w:tcW w:type="dxa" w:w="624"/>
          </w:tcPr>
          <w:p>
            <w:pPr>
              <w:pStyle w:val="ICST-Tabletext"/>
              <w:spacing w:before="20" w:after="20"/>
              <w:ind w:firstLine="0"/>
              <w:jc w:val="right"/>
            </w:pPr>
            <w:r>
              <w:rPr>
                <w:sz w:val="13"/>
              </w:rPr>
              <w:t>0.57</w:t>
            </w:r>
          </w:p>
        </w:tc>
      </w:tr>
      <w:tr>
        <w:trPr>
          <w:cantSplit/>
        </w:trPr>
        <w:tc>
          <w:tcPr>
            <w:tcW w:type="dxa" w:w="624"/>
          </w:tcPr>
          <w:p>
            <w:pPr>
              <w:pStyle w:val="ICST-Tabletext"/>
              <w:spacing w:before="20" w:after="20"/>
              <w:ind w:firstLine="0"/>
              <w:jc w:val="left"/>
            </w:pPr>
            <w:r>
              <w:rPr>
                <w:sz w:val="13"/>
              </w:rPr>
              <w:t>t029</w:t>
            </w:r>
          </w:p>
        </w:tc>
        <w:tc>
          <w:tcPr>
            <w:tcW w:type="dxa" w:w="1814"/>
          </w:tcPr>
          <w:p>
            <w:pPr>
              <w:pStyle w:val="ICST-Tabletext"/>
              <w:spacing w:before="20" w:after="20"/>
              <w:ind w:firstLine="0"/>
              <w:jc w:val="left"/>
            </w:pPr>
            <w:r>
              <w:rPr>
                <w:sz w:val="13"/>
              </w:rPr>
              <w:t>nullPointerException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node-10.0.2.59</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0.48</w:t>
            </w:r>
          </w:p>
        </w:tc>
      </w:tr>
      <w:tr>
        <w:trPr>
          <w:cantSplit/>
        </w:trPr>
        <w:tc>
          <w:tcPr>
            <w:tcW w:type="dxa" w:w="624"/>
          </w:tcPr>
          <w:p>
            <w:pPr>
              <w:pStyle w:val="ICST-Tabletext"/>
              <w:spacing w:before="20" w:after="20"/>
              <w:ind w:firstLine="0"/>
              <w:jc w:val="left"/>
            </w:pPr>
            <w:r>
              <w:rPr>
                <w:sz w:val="13"/>
              </w:rPr>
              <w:t>t030</w:t>
            </w:r>
          </w:p>
        </w:tc>
        <w:tc>
          <w:tcPr>
            <w:tcW w:type="dxa" w:w="1814"/>
          </w:tcPr>
          <w:p>
            <w:pPr>
              <w:pStyle w:val="ICST-Tabletext"/>
              <w:spacing w:before="20" w:after="20"/>
              <w:ind w:firstLine="0"/>
              <w:jc w:val="left"/>
            </w:pPr>
            <w:r>
              <w:rPr>
                <w:sz w:val="13"/>
              </w:rPr>
              <w:t>slowSQL</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0.95</w:t>
            </w:r>
          </w:p>
        </w:tc>
      </w:tr>
      <w:tr>
        <w:trPr>
          <w:cantSplit/>
        </w:trPr>
        <w:tc>
          <w:tcPr>
            <w:tcW w:type="dxa" w:w="624"/>
          </w:tcPr>
          <w:p>
            <w:pPr>
              <w:pStyle w:val="ICST-Tabletext"/>
              <w:spacing w:before="20" w:after="20"/>
              <w:ind w:firstLine="0"/>
              <w:jc w:val="left"/>
            </w:pPr>
            <w:r>
              <w:rPr>
                <w:sz w:val="13"/>
              </w:rPr>
              <w:t>t031</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0.97</w:t>
            </w:r>
          </w:p>
        </w:tc>
      </w:tr>
      <w:tr>
        <w:trPr>
          <w:cantSplit/>
        </w:trPr>
        <w:tc>
          <w:tcPr>
            <w:tcW w:type="dxa" w:w="624"/>
          </w:tcPr>
          <w:p>
            <w:pPr>
              <w:pStyle w:val="ICST-Tabletext"/>
              <w:spacing w:before="20" w:after="20"/>
              <w:ind w:firstLine="0"/>
              <w:jc w:val="left"/>
            </w:pPr>
            <w:r>
              <w:rPr>
                <w:sz w:val="13"/>
              </w:rPr>
              <w:t>t032</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53</w:t>
            </w:r>
          </w:p>
        </w:tc>
        <w:tc>
          <w:tcPr>
            <w:tcW w:type="dxa" w:w="624"/>
          </w:tcPr>
          <w:p>
            <w:pPr>
              <w:pStyle w:val="ICST-Tabletext"/>
              <w:spacing w:before="20" w:after="20"/>
              <w:ind w:firstLine="0"/>
              <w:jc w:val="right"/>
            </w:pPr>
            <w:r>
              <w:rPr>
                <w:sz w:val="13"/>
              </w:rPr>
              <w:t>0.79</w:t>
            </w:r>
          </w:p>
        </w:tc>
      </w:tr>
      <w:tr>
        <w:trPr>
          <w:cantSplit/>
        </w:trPr>
        <w:tc>
          <w:tcPr>
            <w:tcW w:type="dxa" w:w="624"/>
          </w:tcPr>
          <w:p>
            <w:pPr>
              <w:pStyle w:val="ICST-Tabletext"/>
              <w:spacing w:before="20" w:after="20"/>
              <w:ind w:firstLine="0"/>
              <w:jc w:val="left"/>
            </w:pPr>
            <w:r>
              <w:rPr>
                <w:sz w:val="13"/>
              </w:rPr>
              <w:t>t033</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id 53ba95</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624"/>
          </w:tcPr>
          <w:p>
            <w:pPr>
              <w:pStyle w:val="ICST-Tabletext"/>
              <w:spacing w:before="20" w:after="20"/>
              <w:ind w:firstLine="0"/>
              <w:jc w:val="right"/>
            </w:pPr>
            <w:r>
              <w:rPr>
                <w:sz w:val="13"/>
              </w:rPr>
              <w:t>0.0312</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32</w:t>
            </w:r>
          </w:p>
        </w:tc>
        <w:tc>
          <w:tcPr>
            <w:tcW w:type="dxa" w:w="624"/>
          </w:tcPr>
          <w:p>
            <w:pPr>
              <w:pStyle w:val="ICST-Tabletext"/>
              <w:spacing w:before="20" w:after="20"/>
              <w:ind w:firstLine="0"/>
              <w:jc w:val="right"/>
            </w:pPr>
            <w:r>
              <w:rPr>
                <w:sz w:val="13"/>
              </w:rPr>
              <w:t>0.57</w:t>
            </w:r>
          </w:p>
        </w:tc>
      </w:tr>
      <w:tr>
        <w:trPr>
          <w:cantSplit/>
        </w:trPr>
        <w:tc>
          <w:tcPr>
            <w:tcW w:type="dxa" w:w="624"/>
          </w:tcPr>
          <w:p>
            <w:pPr>
              <w:pStyle w:val="ICST-Tabletext"/>
              <w:spacing w:before="20" w:after="20"/>
              <w:ind w:firstLine="0"/>
              <w:jc w:val="left"/>
            </w:pPr>
            <w:r>
              <w:rPr>
                <w:sz w:val="13"/>
              </w:rPr>
              <w:t>t034</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77</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t035</w:t>
            </w:r>
          </w:p>
        </w:tc>
        <w:tc>
          <w:tcPr>
            <w:tcW w:type="dxa" w:w="1814"/>
          </w:tcPr>
          <w:p>
            <w:pPr>
              <w:pStyle w:val="ICST-Tabletext"/>
              <w:spacing w:before="20" w:after="20"/>
              <w:ind w:firstLine="0"/>
              <w:jc w:val="left"/>
            </w:pPr>
            <w:r>
              <w:rPr>
                <w:sz w:val="13"/>
              </w:rPr>
              <w:t>nullPointerException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0.95</w:t>
            </w:r>
          </w:p>
        </w:tc>
      </w:tr>
      <w:tr>
        <w:trPr>
          <w:cantSplit/>
        </w:trPr>
        <w:tc>
          <w:tcPr>
            <w:tcW w:type="dxa" w:w="624"/>
          </w:tcPr>
          <w:p>
            <w:pPr>
              <w:pStyle w:val="ICST-Tabletext"/>
              <w:spacing w:before="20" w:after="20"/>
              <w:ind w:firstLine="0"/>
              <w:jc w:val="left"/>
            </w:pPr>
            <w:r>
              <w:rPr>
                <w:sz w:val="13"/>
              </w:rPr>
              <w:t>t036</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90</w:t>
            </w:r>
          </w:p>
        </w:tc>
        <w:tc>
          <w:tcPr>
            <w:tcW w:type="dxa" w:w="624"/>
          </w:tcPr>
          <w:p>
            <w:pPr>
              <w:pStyle w:val="ICST-Tabletext"/>
              <w:spacing w:before="20" w:after="20"/>
              <w:ind w:firstLine="0"/>
              <w:jc w:val="right"/>
            </w:pPr>
            <w:r>
              <w:rPr>
                <w:sz w:val="13"/>
              </w:rPr>
              <w:t>0.71</w:t>
            </w:r>
          </w:p>
        </w:tc>
      </w:tr>
      <w:tr>
        <w:trPr>
          <w:cantSplit/>
        </w:trPr>
        <w:tc>
          <w:tcPr>
            <w:tcW w:type="dxa" w:w="624"/>
          </w:tcPr>
          <w:p>
            <w:pPr>
              <w:pStyle w:val="ICST-Tabletext"/>
              <w:spacing w:before="20" w:after="20"/>
              <w:ind w:firstLine="0"/>
              <w:jc w:val="left"/>
            </w:pPr>
            <w:r>
              <w:rPr>
                <w:sz w:val="13"/>
              </w:rPr>
              <w:t>t037</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node-10.0.2.59</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0.63</w:t>
            </w:r>
          </w:p>
        </w:tc>
      </w:tr>
      <w:tr>
        <w:trPr>
          <w:cantSplit/>
        </w:trPr>
        <w:tc>
          <w:tcPr>
            <w:tcW w:type="dxa" w:w="624"/>
          </w:tcPr>
          <w:p>
            <w:pPr>
              <w:pStyle w:val="ICST-Tabletext"/>
              <w:spacing w:before="20" w:after="20"/>
              <w:ind w:firstLine="0"/>
              <w:jc w:val="left"/>
            </w:pPr>
            <w:r>
              <w:rPr>
                <w:sz w:val="13"/>
              </w:rPr>
              <w:t>t038</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62</w:t>
            </w:r>
          </w:p>
        </w:tc>
        <w:tc>
          <w:tcPr>
            <w:tcW w:type="dxa" w:w="624"/>
          </w:tcPr>
          <w:p>
            <w:pPr>
              <w:pStyle w:val="ICST-Tabletext"/>
              <w:spacing w:before="20" w:after="20"/>
              <w:ind w:firstLine="0"/>
              <w:jc w:val="right"/>
            </w:pPr>
            <w:r>
              <w:rPr>
                <w:sz w:val="13"/>
              </w:rPr>
              <w:t>0.69</w:t>
            </w:r>
          </w:p>
        </w:tc>
      </w:tr>
      <w:tr>
        <w:trPr>
          <w:cantSplit/>
        </w:trPr>
        <w:tc>
          <w:tcPr>
            <w:tcW w:type="dxa" w:w="624"/>
          </w:tcPr>
          <w:p>
            <w:pPr>
              <w:pStyle w:val="ICST-Tabletext"/>
              <w:spacing w:before="20" w:after="20"/>
              <w:ind w:firstLine="0"/>
              <w:jc w:val="left"/>
            </w:pPr>
            <w:r>
              <w:rPr>
                <w:sz w:val="13"/>
              </w:rPr>
              <w:t>t039</w:t>
            </w:r>
          </w:p>
        </w:tc>
        <w:tc>
          <w:tcPr>
            <w:tcW w:type="dxa" w:w="1814"/>
          </w:tcPr>
          <w:p>
            <w:pPr>
              <w:pStyle w:val="ICST-Tabletext"/>
              <w:spacing w:before="20" w:after="20"/>
              <w:ind w:firstLine="0"/>
              <w:jc w:val="left"/>
            </w:pPr>
            <w:r>
              <w:rPr>
                <w:sz w:val="13"/>
              </w:rPr>
              <w:t>networkPolicyIsolation</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shipping</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0.19</w:t>
            </w:r>
          </w:p>
        </w:tc>
      </w:tr>
      <w:tr>
        <w:trPr>
          <w:cantSplit/>
        </w:trPr>
        <w:tc>
          <w:tcPr>
            <w:tcW w:type="dxa" w:w="624"/>
          </w:tcPr>
          <w:p>
            <w:pPr>
              <w:pStyle w:val="ICST-Tabletext"/>
              <w:spacing w:before="20" w:after="20"/>
              <w:ind w:firstLine="0"/>
              <w:jc w:val="left"/>
            </w:pPr>
            <w:r>
              <w:rPr>
                <w:sz w:val="13"/>
              </w:rPr>
              <w:t>t040</w:t>
            </w:r>
          </w:p>
        </w:tc>
        <w:tc>
          <w:tcPr>
            <w:tcW w:type="dxa" w:w="1814"/>
          </w:tcPr>
          <w:p>
            <w:pPr>
              <w:pStyle w:val="ICST-Tabletext"/>
              <w:spacing w:before="20" w:after="20"/>
              <w:ind w:firstLine="0"/>
              <w:jc w:val="left"/>
            </w:pPr>
            <w:r>
              <w:rPr>
                <w:sz w:val="13"/>
              </w:rPr>
              <w:t>fullGC</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node-10.0.2.35</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78</w:t>
            </w:r>
          </w:p>
        </w:tc>
        <w:tc>
          <w:tcPr>
            <w:tcW w:type="dxa" w:w="624"/>
          </w:tcPr>
          <w:p>
            <w:pPr>
              <w:pStyle w:val="ICST-Tabletext"/>
              <w:spacing w:before="20" w:after="20"/>
              <w:ind w:firstLine="0"/>
              <w:jc w:val="right"/>
            </w:pPr>
            <w:r>
              <w:rPr>
                <w:sz w:val="13"/>
              </w:rPr>
              <w:t>0.61</w:t>
            </w:r>
          </w:p>
        </w:tc>
      </w:tr>
      <w:tr>
        <w:trPr>
          <w:cantSplit/>
        </w:trPr>
        <w:tc>
          <w:tcPr>
            <w:tcW w:type="dxa" w:w="624"/>
          </w:tcPr>
          <w:p>
            <w:pPr>
              <w:pStyle w:val="ICST-Tabletext"/>
              <w:spacing w:before="20" w:after="20"/>
              <w:ind w:firstLine="0"/>
              <w:jc w:val="left"/>
            </w:pPr>
            <w:r>
              <w:rPr>
                <w:sz w:val="13"/>
              </w:rPr>
              <w:t>t041</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t042</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0.52</w:t>
            </w:r>
          </w:p>
        </w:tc>
      </w:tr>
      <w:tr>
        <w:trPr>
          <w:cantSplit/>
        </w:trPr>
        <w:tc>
          <w:tcPr>
            <w:tcW w:type="dxa" w:w="624"/>
          </w:tcPr>
          <w:p>
            <w:pPr>
              <w:pStyle w:val="ICST-Tabletext"/>
              <w:spacing w:before="20" w:after="20"/>
              <w:ind w:firstLine="0"/>
              <w:jc w:val="left"/>
            </w:pPr>
            <w:r>
              <w:rPr>
                <w:sz w:val="13"/>
              </w:rPr>
              <w:t>t043</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86</w:t>
            </w:r>
          </w:p>
        </w:tc>
        <w:tc>
          <w:tcPr>
            <w:tcW w:type="dxa" w:w="624"/>
          </w:tcPr>
          <w:p>
            <w:pPr>
              <w:pStyle w:val="ICST-Tabletext"/>
              <w:spacing w:before="20" w:after="20"/>
              <w:ind w:firstLine="0"/>
              <w:jc w:val="right"/>
            </w:pPr>
            <w:r>
              <w:rPr>
                <w:sz w:val="13"/>
              </w:rPr>
              <w:t>0.97</w:t>
            </w:r>
          </w:p>
        </w:tc>
      </w:tr>
      <w:tr>
        <w:trPr>
          <w:cantSplit/>
        </w:trPr>
        <w:tc>
          <w:tcPr>
            <w:tcW w:type="dxa" w:w="624"/>
          </w:tcPr>
          <w:p>
            <w:pPr>
              <w:pStyle w:val="ICST-Tabletext"/>
              <w:spacing w:before="20" w:after="20"/>
              <w:ind w:firstLine="0"/>
              <w:jc w:val="left"/>
            </w:pPr>
            <w:r>
              <w:rPr>
                <w:sz w:val="13"/>
              </w:rPr>
              <w:t>t044</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76</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t045</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ad</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ad</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t046</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payment</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email</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0.28</w:t>
            </w:r>
          </w:p>
        </w:tc>
      </w:tr>
      <w:tr>
        <w:trPr>
          <w:cantSplit/>
        </w:trPr>
        <w:tc>
          <w:tcPr>
            <w:tcW w:type="dxa" w:w="624"/>
          </w:tcPr>
          <w:p>
            <w:pPr>
              <w:pStyle w:val="ICST-Tabletext"/>
              <w:spacing w:before="20" w:after="20"/>
              <w:ind w:firstLine="0"/>
              <w:jc w:val="left"/>
            </w:pPr>
            <w:r>
              <w:rPr>
                <w:sz w:val="13"/>
              </w:rPr>
              <w:t>t047</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92</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t048</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node-10.0.1.56</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0.92</w:t>
            </w:r>
          </w:p>
        </w:tc>
      </w:tr>
      <w:tr>
        <w:trPr>
          <w:cantSplit/>
        </w:trPr>
        <w:tc>
          <w:tcPr>
            <w:tcW w:type="dxa" w:w="624"/>
          </w:tcPr>
          <w:p>
            <w:pPr>
              <w:pStyle w:val="ICST-Tabletext"/>
              <w:spacing w:before="20" w:after="20"/>
              <w:ind w:firstLine="0"/>
              <w:jc w:val="left"/>
            </w:pPr>
            <w:r>
              <w:rPr>
                <w:sz w:val="13"/>
              </w:rPr>
              <w:t>t049</w:t>
            </w:r>
          </w:p>
        </w:tc>
        <w:tc>
          <w:tcPr>
            <w:tcW w:type="dxa" w:w="1814"/>
          </w:tcPr>
          <w:p>
            <w:pPr>
              <w:pStyle w:val="ICST-Tabletext"/>
              <w:spacing w:before="20" w:after="20"/>
              <w:ind w:firstLine="0"/>
              <w:jc w:val="left"/>
            </w:pPr>
            <w:r>
              <w:rPr>
                <w:sz w:val="13"/>
              </w:rPr>
              <w:t>trafficHotspot</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0.49</w:t>
            </w:r>
          </w:p>
        </w:tc>
      </w:tr>
      <w:tr>
        <w:trPr>
          <w:cantSplit/>
        </w:trPr>
        <w:tc>
          <w:tcPr>
            <w:tcW w:type="dxa" w:w="624"/>
          </w:tcPr>
          <w:p>
            <w:pPr>
              <w:pStyle w:val="ICST-Tabletext"/>
              <w:spacing w:before="20" w:after="20"/>
              <w:ind w:firstLine="0"/>
              <w:jc w:val="left"/>
            </w:pPr>
            <w:r>
              <w:rPr>
                <w:sz w:val="13"/>
              </w:rPr>
              <w:t>t050</w:t>
            </w:r>
          </w:p>
        </w:tc>
        <w:tc>
          <w:tcPr>
            <w:tcW w:type="dxa" w:w="1814"/>
          </w:tcPr>
          <w:p>
            <w:pPr>
              <w:pStyle w:val="ICST-Tabletext"/>
              <w:spacing w:before="20" w:after="20"/>
              <w:ind w:firstLine="0"/>
              <w:jc w:val="left"/>
            </w:pPr>
            <w:r>
              <w:rPr>
                <w:sz w:val="13"/>
              </w:rPr>
              <w:t>nullPointerException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t051</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88</w:t>
            </w:r>
          </w:p>
        </w:tc>
        <w:tc>
          <w:tcPr>
            <w:tcW w:type="dxa" w:w="624"/>
          </w:tcPr>
          <w:p>
            <w:pPr>
              <w:pStyle w:val="ICST-Tabletext"/>
              <w:spacing w:before="20" w:after="20"/>
              <w:ind w:firstLine="0"/>
              <w:jc w:val="right"/>
            </w:pPr>
            <w:r>
              <w:rPr>
                <w:sz w:val="13"/>
              </w:rPr>
              <w:t>0.84</w:t>
            </w:r>
          </w:p>
        </w:tc>
      </w:tr>
      <w:tr>
        <w:trPr>
          <w:cantSplit/>
        </w:trPr>
        <w:tc>
          <w:tcPr>
            <w:tcW w:type="dxa" w:w="624"/>
          </w:tcPr>
          <w:p>
            <w:pPr>
              <w:pStyle w:val="ICST-Tabletext"/>
              <w:spacing w:before="20" w:after="20"/>
              <w:ind w:firstLine="0"/>
              <w:jc w:val="left"/>
            </w:pPr>
            <w:r>
              <w:rPr>
                <w:sz w:val="13"/>
              </w:rPr>
              <w:t>t052</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payment</w:t>
            </w:r>
          </w:p>
        </w:tc>
        <w:tc>
          <w:tcPr>
            <w:tcW w:type="dxa" w:w="1814"/>
          </w:tcPr>
          <w:p>
            <w:pPr>
              <w:pStyle w:val="ICST-Tabletext"/>
              <w:spacing w:before="20" w:after="20"/>
              <w:ind w:firstLine="0"/>
              <w:jc w:val="left"/>
            </w:pPr>
            <w:r>
              <w:rPr>
                <w:sz w:val="13"/>
              </w:rPr>
              <w:t>codeDefect</w:t>
            </w:r>
          </w:p>
        </w:tc>
        <w:tc>
          <w:tcPr>
            <w:tcW w:type="dxa" w:w="1474"/>
          </w:tcPr>
          <w:p>
            <w:pPr>
              <w:pStyle w:val="ICST-Tabletext"/>
              <w:spacing w:before="20" w:after="20"/>
              <w:ind w:firstLine="0"/>
              <w:jc w:val="left"/>
            </w:pPr>
            <w:r>
              <w:rPr>
                <w:sz w:val="13"/>
              </w:rPr>
              <w:t>payment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0.34</w:t>
            </w:r>
          </w:p>
        </w:tc>
      </w:tr>
      <w:tr>
        <w:trPr>
          <w:cantSplit/>
        </w:trPr>
        <w:tc>
          <w:tcPr>
            <w:tcW w:type="dxa" w:w="624"/>
          </w:tcPr>
          <w:p>
            <w:pPr>
              <w:pStyle w:val="ICST-Tabletext"/>
              <w:spacing w:before="20" w:after="20"/>
              <w:ind w:firstLine="0"/>
              <w:jc w:val="left"/>
            </w:pPr>
            <w:r>
              <w:rPr>
                <w:sz w:val="13"/>
              </w:rPr>
              <w:t>t053</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frontend</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88</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t054</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0.90</w:t>
            </w:r>
          </w:p>
        </w:tc>
      </w:tr>
      <w:tr>
        <w:trPr>
          <w:cantSplit/>
        </w:trPr>
        <w:tc>
          <w:tcPr>
            <w:tcW w:type="dxa" w:w="624"/>
          </w:tcPr>
          <w:p>
            <w:pPr>
              <w:pStyle w:val="ICST-Tabletext"/>
              <w:spacing w:before="20" w:after="20"/>
              <w:ind w:firstLine="0"/>
              <w:jc w:val="left"/>
            </w:pPr>
            <w:r>
              <w:rPr>
                <w:sz w:val="13"/>
              </w:rPr>
              <w:t>t055</w:t>
            </w:r>
          </w:p>
        </w:tc>
        <w:tc>
          <w:tcPr>
            <w:tcW w:type="dxa" w:w="1814"/>
          </w:tcPr>
          <w:p>
            <w:pPr>
              <w:pStyle w:val="ICST-Tabletext"/>
              <w:spacing w:before="20" w:after="20"/>
              <w:ind w:firstLine="0"/>
              <w:jc w:val="left"/>
            </w:pPr>
            <w:r>
              <w:rPr>
                <w:sz w:val="13"/>
              </w:rPr>
              <w:t>threadExhaustion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78</w:t>
            </w:r>
          </w:p>
        </w:tc>
        <w:tc>
          <w:tcPr>
            <w:tcW w:type="dxa" w:w="624"/>
          </w:tcPr>
          <w:p>
            <w:pPr>
              <w:pStyle w:val="ICST-Tabletext"/>
              <w:spacing w:before="20" w:after="20"/>
              <w:ind w:firstLine="0"/>
              <w:jc w:val="right"/>
            </w:pPr>
            <w:r>
              <w:rPr>
                <w:sz w:val="13"/>
              </w:rPr>
              <w:t>0.94</w:t>
            </w:r>
          </w:p>
        </w:tc>
      </w:tr>
      <w:tr>
        <w:trPr>
          <w:cantSplit/>
        </w:trPr>
        <w:tc>
          <w:tcPr>
            <w:tcW w:type="dxa" w:w="624"/>
          </w:tcPr>
          <w:p>
            <w:pPr>
              <w:pStyle w:val="ICST-Tabletext"/>
              <w:spacing w:before="20" w:after="20"/>
              <w:ind w:firstLine="0"/>
              <w:jc w:val="left"/>
            </w:pPr>
            <w:r>
              <w:rPr>
                <w:sz w:val="13"/>
              </w:rPr>
              <w:t>t056</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74</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t057</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92</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t058</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65</w:t>
            </w:r>
          </w:p>
        </w:tc>
        <w:tc>
          <w:tcPr>
            <w:tcW w:type="dxa" w:w="624"/>
          </w:tcPr>
          <w:p>
            <w:pPr>
              <w:pStyle w:val="ICST-Tabletext"/>
              <w:spacing w:before="20" w:after="20"/>
              <w:ind w:firstLine="0"/>
              <w:jc w:val="right"/>
            </w:pPr>
            <w:r>
              <w:rPr>
                <w:sz w:val="13"/>
              </w:rPr>
              <w:t>0.60</w:t>
            </w:r>
          </w:p>
        </w:tc>
      </w:tr>
      <w:tr>
        <w:trPr>
          <w:cantSplit/>
        </w:trPr>
        <w:tc>
          <w:tcPr>
            <w:tcW w:type="dxa" w:w="624"/>
          </w:tcPr>
          <w:p>
            <w:pPr>
              <w:pStyle w:val="ICST-Tabletext"/>
              <w:spacing w:before="20" w:after="20"/>
              <w:ind w:firstLine="0"/>
              <w:jc w:val="left"/>
            </w:pPr>
            <w:r>
              <w:rPr>
                <w:sz w:val="13"/>
              </w:rPr>
              <w:t>t059</w:t>
            </w:r>
          </w:p>
        </w:tc>
        <w:tc>
          <w:tcPr>
            <w:tcW w:type="dxa" w:w="1814"/>
          </w:tcPr>
          <w:p>
            <w:pPr>
              <w:pStyle w:val="ICST-Tabletext"/>
              <w:spacing w:before="20" w:after="20"/>
              <w:ind w:firstLine="0"/>
              <w:jc w:val="left"/>
            </w:pPr>
            <w:r>
              <w:rPr>
                <w:sz w:val="13"/>
              </w:rPr>
              <w:t>fullGC</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92</w:t>
            </w:r>
          </w:p>
        </w:tc>
        <w:tc>
          <w:tcPr>
            <w:tcW w:type="dxa" w:w="624"/>
          </w:tcPr>
          <w:p>
            <w:pPr>
              <w:pStyle w:val="ICST-Tabletext"/>
              <w:spacing w:before="20" w:after="20"/>
              <w:ind w:firstLine="0"/>
              <w:jc w:val="right"/>
            </w:pPr>
            <w:r>
              <w:rPr>
                <w:sz w:val="13"/>
              </w:rPr>
              <w:t>0.53</w:t>
            </w:r>
          </w:p>
        </w:tc>
      </w:tr>
      <w:tr>
        <w:trPr>
          <w:cantSplit/>
        </w:trPr>
        <w:tc>
          <w:tcPr>
            <w:tcW w:type="dxa" w:w="624"/>
          </w:tcPr>
          <w:p>
            <w:pPr>
              <w:pStyle w:val="ICST-Tabletext"/>
              <w:spacing w:before="20" w:after="20"/>
              <w:ind w:firstLine="0"/>
              <w:jc w:val="left"/>
            </w:pPr>
            <w:r>
              <w:rPr>
                <w:sz w:val="13"/>
              </w:rPr>
              <w:t>t060</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nodeDown</w:t>
            </w:r>
          </w:p>
        </w:tc>
        <w:tc>
          <w:tcPr>
            <w:tcW w:type="dxa" w:w="1474"/>
          </w:tcPr>
          <w:p>
            <w:pPr>
              <w:pStyle w:val="ICST-Tabletext"/>
              <w:spacing w:before="20" w:after="20"/>
              <w:ind w:firstLine="0"/>
              <w:jc w:val="left"/>
            </w:pPr>
            <w:r>
              <w:rPr>
                <w:sz w:val="13"/>
              </w:rPr>
              <w:t>node-10.0.1.49</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0.57</w:t>
            </w:r>
          </w:p>
        </w:tc>
      </w:tr>
      <w:tr>
        <w:trPr>
          <w:cantSplit/>
        </w:trPr>
        <w:tc>
          <w:tcPr>
            <w:tcW w:type="dxa" w:w="624"/>
          </w:tcPr>
          <w:p>
            <w:pPr>
              <w:pStyle w:val="ICST-Tabletext"/>
              <w:spacing w:before="20" w:after="20"/>
              <w:ind w:firstLine="0"/>
              <w:jc w:val="left"/>
            </w:pPr>
            <w:r>
              <w:rPr>
                <w:sz w:val="13"/>
              </w:rPr>
              <w:t>t061</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85</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t062</w:t>
            </w:r>
          </w:p>
        </w:tc>
        <w:tc>
          <w:tcPr>
            <w:tcW w:type="dxa" w:w="1814"/>
          </w:tcPr>
          <w:p>
            <w:pPr>
              <w:pStyle w:val="ICST-Tabletext"/>
              <w:spacing w:before="20" w:after="20"/>
              <w:ind w:firstLine="0"/>
              <w:jc w:val="left"/>
            </w:pPr>
            <w:r>
              <w:rPr>
                <w:sz w:val="13"/>
              </w:rPr>
              <w:t>messageQueueBacklog</w:t>
            </w:r>
          </w:p>
        </w:tc>
        <w:tc>
          <w:tcPr>
            <w:tcW w:type="dxa" w:w="1474"/>
          </w:tcPr>
          <w:p>
            <w:pPr>
              <w:pStyle w:val="ICST-Tabletext"/>
              <w:spacing w:before="20" w:after="20"/>
              <w:ind w:firstLine="0"/>
              <w:jc w:val="left"/>
            </w:pPr>
            <w:r>
              <w:rPr>
                <w:sz w:val="13"/>
              </w:rPr>
              <w:t>id 938b93</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0.0078</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42</w:t>
            </w:r>
          </w:p>
        </w:tc>
        <w:tc>
          <w:tcPr>
            <w:tcW w:type="dxa" w:w="624"/>
          </w:tcPr>
          <w:p>
            <w:pPr>
              <w:pStyle w:val="ICST-Tabletext"/>
              <w:spacing w:before="20" w:after="20"/>
              <w:ind w:firstLine="0"/>
              <w:jc w:val="right"/>
            </w:pPr>
            <w:r>
              <w:rPr>
                <w:sz w:val="13"/>
              </w:rPr>
              <w:t>0.51</w:t>
            </w:r>
          </w:p>
        </w:tc>
      </w:tr>
      <w:tr>
        <w:trPr>
          <w:cantSplit/>
        </w:trPr>
        <w:tc>
          <w:tcPr>
            <w:tcW w:type="dxa" w:w="624"/>
          </w:tcPr>
          <w:p>
            <w:pPr>
              <w:pStyle w:val="ICST-Tabletext"/>
              <w:spacing w:before="20" w:after="20"/>
              <w:ind w:firstLine="0"/>
              <w:jc w:val="left"/>
            </w:pPr>
            <w:r>
              <w:rPr>
                <w:sz w:val="13"/>
              </w:rPr>
              <w:t>t063</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94</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t064</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88</w:t>
            </w:r>
          </w:p>
        </w:tc>
        <w:tc>
          <w:tcPr>
            <w:tcW w:type="dxa" w:w="624"/>
          </w:tcPr>
          <w:p>
            <w:pPr>
              <w:pStyle w:val="ICST-Tabletext"/>
              <w:spacing w:before="20" w:after="20"/>
              <w:ind w:firstLine="0"/>
              <w:jc w:val="right"/>
            </w:pPr>
            <w:r>
              <w:rPr>
                <w:sz w:val="13"/>
              </w:rPr>
              <w:t>0.96</w:t>
            </w:r>
          </w:p>
        </w:tc>
      </w:tr>
      <w:tr>
        <w:trPr>
          <w:cantSplit/>
        </w:trPr>
        <w:tc>
          <w:tcPr>
            <w:tcW w:type="dxa" w:w="624"/>
          </w:tcPr>
          <w:p>
            <w:pPr>
              <w:pStyle w:val="ICST-Tabletext"/>
              <w:spacing w:before="20" w:after="20"/>
              <w:ind w:firstLine="0"/>
              <w:jc w:val="left"/>
            </w:pPr>
            <w:r>
              <w:rPr>
                <w:sz w:val="13"/>
              </w:rPr>
              <w:t>t065</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62</w:t>
            </w:r>
          </w:p>
        </w:tc>
        <w:tc>
          <w:tcPr>
            <w:tcW w:type="dxa" w:w="624"/>
          </w:tcPr>
          <w:p>
            <w:pPr>
              <w:pStyle w:val="ICST-Tabletext"/>
              <w:spacing w:before="20" w:after="20"/>
              <w:ind w:firstLine="0"/>
              <w:jc w:val="right"/>
            </w:pPr>
            <w:r>
              <w:rPr>
                <w:sz w:val="13"/>
              </w:rPr>
              <w:t>0.92</w:t>
            </w:r>
          </w:p>
        </w:tc>
      </w:tr>
      <w:tr>
        <w:trPr>
          <w:cantSplit/>
        </w:trPr>
        <w:tc>
          <w:tcPr>
            <w:tcW w:type="dxa" w:w="624"/>
          </w:tcPr>
          <w:p>
            <w:pPr>
              <w:pStyle w:val="ICST-Tabletext"/>
              <w:spacing w:before="20" w:after="20"/>
              <w:ind w:firstLine="0"/>
              <w:jc w:val="left"/>
            </w:pPr>
            <w:r>
              <w:rPr>
                <w:sz w:val="13"/>
              </w:rPr>
              <w:t>t066</w:t>
            </w:r>
          </w:p>
        </w:tc>
        <w:tc>
          <w:tcPr>
            <w:tcW w:type="dxa" w:w="1814"/>
          </w:tcPr>
          <w:p>
            <w:pPr>
              <w:pStyle w:val="ICST-Tabletext"/>
              <w:spacing w:before="20" w:after="20"/>
              <w:ind w:firstLine="0"/>
              <w:jc w:val="left"/>
            </w:pPr>
            <w:r>
              <w:rPr>
                <w:sz w:val="13"/>
              </w:rPr>
              <w:t>dnsResolutionFailure</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dnsResolutionFailure</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0.96</w:t>
            </w:r>
          </w:p>
        </w:tc>
      </w:tr>
      <w:tr>
        <w:trPr>
          <w:cantSplit/>
        </w:trPr>
        <w:tc>
          <w:tcPr>
            <w:tcW w:type="dxa" w:w="624"/>
          </w:tcPr>
          <w:p>
            <w:pPr>
              <w:pStyle w:val="ICST-Tabletext"/>
              <w:spacing w:before="20" w:after="20"/>
              <w:ind w:firstLine="0"/>
              <w:jc w:val="left"/>
            </w:pPr>
            <w:r>
              <w:rPr>
                <w:sz w:val="13"/>
              </w:rPr>
              <w:t>t067</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0.96</w:t>
            </w:r>
          </w:p>
        </w:tc>
      </w:tr>
      <w:tr>
        <w:trPr>
          <w:cantSplit/>
        </w:trPr>
        <w:tc>
          <w:tcPr>
            <w:tcW w:type="dxa" w:w="624"/>
          </w:tcPr>
          <w:p>
            <w:pPr>
              <w:pStyle w:val="ICST-Tabletext"/>
              <w:spacing w:before="20" w:after="20"/>
              <w:ind w:firstLine="0"/>
              <w:jc w:val="left"/>
            </w:pPr>
            <w:r>
              <w:rPr>
                <w:sz w:val="13"/>
              </w:rPr>
              <w:t>t068</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71</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t069</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node-10.0.1.65</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54</w:t>
            </w:r>
          </w:p>
        </w:tc>
        <w:tc>
          <w:tcPr>
            <w:tcW w:type="dxa" w:w="624"/>
          </w:tcPr>
          <w:p>
            <w:pPr>
              <w:pStyle w:val="ICST-Tabletext"/>
              <w:spacing w:before="20" w:after="20"/>
              <w:ind w:firstLine="0"/>
              <w:jc w:val="right"/>
            </w:pPr>
            <w:r>
              <w:rPr>
                <w:sz w:val="13"/>
              </w:rPr>
              <w:t>0.68</w:t>
            </w:r>
          </w:p>
        </w:tc>
      </w:tr>
      <w:tr>
        <w:trPr>
          <w:cantSplit/>
        </w:trPr>
        <w:tc>
          <w:tcPr>
            <w:tcW w:type="dxa" w:w="624"/>
          </w:tcPr>
          <w:p>
            <w:pPr>
              <w:pStyle w:val="ICST-Tabletext"/>
              <w:spacing w:before="20" w:after="20"/>
              <w:ind w:firstLine="0"/>
              <w:jc w:val="left"/>
            </w:pPr>
            <w:r>
              <w:rPr>
                <w:sz w:val="13"/>
              </w:rPr>
              <w:t>t070</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94</w:t>
            </w:r>
          </w:p>
        </w:tc>
        <w:tc>
          <w:tcPr>
            <w:tcW w:type="dxa" w:w="624"/>
          </w:tcPr>
          <w:p>
            <w:pPr>
              <w:pStyle w:val="ICST-Tabletext"/>
              <w:spacing w:before="20" w:after="20"/>
              <w:ind w:firstLine="0"/>
              <w:jc w:val="right"/>
            </w:pPr>
            <w:r>
              <w:rPr>
                <w:sz w:val="13"/>
              </w:rPr>
              <w:t>0.91</w:t>
            </w:r>
          </w:p>
        </w:tc>
      </w:tr>
      <w:tr>
        <w:trPr>
          <w:cantSplit/>
        </w:trPr>
        <w:tc>
          <w:tcPr>
            <w:tcW w:type="dxa" w:w="624"/>
          </w:tcPr>
          <w:p>
            <w:pPr>
              <w:pStyle w:val="ICST-Tabletext"/>
              <w:spacing w:before="20" w:after="20"/>
              <w:ind w:firstLine="0"/>
              <w:jc w:val="left"/>
            </w:pPr>
            <w:r>
              <w:rPr>
                <w:sz w:val="13"/>
              </w:rPr>
              <w:t>t071</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93</w:t>
            </w:r>
          </w:p>
        </w:tc>
        <w:tc>
          <w:tcPr>
            <w:tcW w:type="dxa" w:w="624"/>
          </w:tcPr>
          <w:p>
            <w:pPr>
              <w:pStyle w:val="ICST-Tabletext"/>
              <w:spacing w:before="20" w:after="20"/>
              <w:ind w:firstLine="0"/>
              <w:jc w:val="right"/>
            </w:pPr>
            <w:r>
              <w:rPr>
                <w:sz w:val="13"/>
              </w:rPr>
              <w:t>0.96</w:t>
            </w:r>
          </w:p>
        </w:tc>
      </w:tr>
      <w:tr>
        <w:trPr>
          <w:cantSplit/>
        </w:trPr>
        <w:tc>
          <w:tcPr>
            <w:tcW w:type="dxa" w:w="624"/>
          </w:tcPr>
          <w:p>
            <w:pPr>
              <w:pStyle w:val="ICST-Tabletext"/>
              <w:spacing w:before="20" w:after="20"/>
              <w:ind w:firstLine="0"/>
              <w:jc w:val="left"/>
            </w:pPr>
            <w:r>
              <w:rPr>
                <w:sz w:val="13"/>
              </w:rPr>
              <w:t>t072</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t073</w:t>
            </w:r>
          </w:p>
        </w:tc>
        <w:tc>
          <w:tcPr>
            <w:tcW w:type="dxa" w:w="1814"/>
          </w:tcPr>
          <w:p>
            <w:pPr>
              <w:pStyle w:val="ICST-Tabletext"/>
              <w:spacing w:before="20" w:after="20"/>
              <w:ind w:firstLine="0"/>
              <w:jc w:val="left"/>
            </w:pPr>
            <w:r>
              <w:rPr>
                <w:sz w:val="13"/>
              </w:rPr>
              <w:t>nodeDown</w:t>
            </w:r>
          </w:p>
        </w:tc>
        <w:tc>
          <w:tcPr>
            <w:tcW w:type="dxa" w:w="1474"/>
          </w:tcPr>
          <w:p>
            <w:pPr>
              <w:pStyle w:val="ICST-Tabletext"/>
              <w:spacing w:before="20" w:after="20"/>
              <w:ind w:firstLine="0"/>
              <w:jc w:val="left"/>
            </w:pPr>
            <w:r>
              <w:rPr>
                <w:sz w:val="13"/>
              </w:rPr>
              <w:t>node-10.0.1.65</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node-10.0.2.37</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0.83</w:t>
            </w:r>
          </w:p>
        </w:tc>
      </w:tr>
      <w:tr>
        <w:trPr>
          <w:cantSplit/>
        </w:trPr>
        <w:tc>
          <w:tcPr>
            <w:tcW w:type="dxa" w:w="624"/>
          </w:tcPr>
          <w:p>
            <w:pPr>
              <w:pStyle w:val="ICST-Tabletext"/>
              <w:spacing w:before="20" w:after="20"/>
              <w:ind w:firstLine="0"/>
              <w:jc w:val="left"/>
            </w:pPr>
            <w:r>
              <w:rPr>
                <w:sz w:val="13"/>
              </w:rPr>
              <w:t>t074</w:t>
            </w:r>
          </w:p>
        </w:tc>
        <w:tc>
          <w:tcPr>
            <w:tcW w:type="dxa" w:w="1814"/>
          </w:tcPr>
          <w:p>
            <w:pPr>
              <w:pStyle w:val="ICST-Tabletext"/>
              <w:spacing w:before="20" w:after="20"/>
              <w:ind w:firstLine="0"/>
              <w:jc w:val="left"/>
            </w:pPr>
            <w:r>
              <w:rPr>
                <w:sz w:val="13"/>
              </w:rPr>
              <w:t>podCrashLoop</w:t>
            </w:r>
          </w:p>
        </w:tc>
        <w:tc>
          <w:tcPr>
            <w:tcW w:type="dxa" w:w="1474"/>
          </w:tcPr>
          <w:p>
            <w:pPr>
              <w:pStyle w:val="ICST-Tabletext"/>
              <w:spacing w:before="20" w:after="20"/>
              <w:ind w:firstLine="0"/>
              <w:jc w:val="left"/>
            </w:pPr>
            <w:r>
              <w:rPr>
                <w:sz w:val="13"/>
              </w:rPr>
              <w:t>id b4cd62</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node-10.0.2.35</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52</w:t>
            </w:r>
          </w:p>
        </w:tc>
        <w:tc>
          <w:tcPr>
            <w:tcW w:type="dxa" w:w="624"/>
          </w:tcPr>
          <w:p>
            <w:pPr>
              <w:pStyle w:val="ICST-Tabletext"/>
              <w:spacing w:before="20" w:after="20"/>
              <w:ind w:firstLine="0"/>
              <w:jc w:val="right"/>
            </w:pPr>
            <w:r>
              <w:rPr>
                <w:sz w:val="13"/>
              </w:rPr>
              <w:t>0.56</w:t>
            </w:r>
          </w:p>
        </w:tc>
      </w:tr>
      <w:tr>
        <w:trPr>
          <w:cantSplit/>
        </w:trPr>
        <w:tc>
          <w:tcPr>
            <w:tcW w:type="dxa" w:w="624"/>
          </w:tcPr>
          <w:p>
            <w:pPr>
              <w:pStyle w:val="ICST-Tabletext"/>
              <w:spacing w:before="20" w:after="20"/>
              <w:ind w:firstLine="0"/>
              <w:jc w:val="left"/>
            </w:pPr>
            <w:r>
              <w:rPr>
                <w:sz w:val="13"/>
              </w:rPr>
              <w:t>t075</w:t>
            </w:r>
          </w:p>
        </w:tc>
        <w:tc>
          <w:tcPr>
            <w:tcW w:type="dxa" w:w="1814"/>
          </w:tcPr>
          <w:p>
            <w:pPr>
              <w:pStyle w:val="ICST-Tabletext"/>
              <w:spacing w:before="20" w:after="20"/>
              <w:ind w:firstLine="0"/>
              <w:jc w:val="left"/>
            </w:pPr>
            <w:r>
              <w:rPr>
                <w:sz w:val="13"/>
              </w:rPr>
              <w:t>loadBalancerFailure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cart</w:t>
            </w:r>
          </w:p>
        </w:tc>
        <w:tc>
          <w:tcPr>
            <w:tcW w:type="dxa" w:w="624"/>
          </w:tcPr>
          <w:p>
            <w:pPr>
              <w:pStyle w:val="ICST-Tabletext"/>
              <w:spacing w:before="20" w:after="20"/>
              <w:ind w:firstLine="0"/>
              <w:jc w:val="right"/>
            </w:pPr>
            <w:r>
              <w:rPr>
                <w:sz w:val="13"/>
              </w:rPr>
              <w:t>0.5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42</w:t>
            </w:r>
          </w:p>
        </w:tc>
        <w:tc>
          <w:tcPr>
            <w:tcW w:type="dxa" w:w="624"/>
          </w:tcPr>
          <w:p>
            <w:pPr>
              <w:pStyle w:val="ICST-Tabletext"/>
              <w:spacing w:before="20" w:after="20"/>
              <w:ind w:firstLine="0"/>
              <w:jc w:val="right"/>
            </w:pPr>
            <w:r>
              <w:rPr>
                <w:sz w:val="13"/>
              </w:rPr>
              <w:t>0.93</w:t>
            </w:r>
          </w:p>
        </w:tc>
      </w:tr>
      <w:tr>
        <w:trPr>
          <w:cantSplit/>
        </w:trPr>
        <w:tc>
          <w:tcPr>
            <w:tcW w:type="dxa" w:w="624"/>
          </w:tcPr>
          <w:p>
            <w:pPr>
              <w:pStyle w:val="ICST-Tabletext"/>
              <w:spacing w:before="20" w:after="20"/>
              <w:ind w:firstLine="0"/>
              <w:jc w:val="left"/>
            </w:pPr>
            <w:r>
              <w:rPr>
                <w:sz w:val="13"/>
              </w:rPr>
              <w:t>t076</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id 53ba95</w:t>
            </w:r>
          </w:p>
        </w:tc>
        <w:tc>
          <w:tcPr>
            <w:tcW w:type="dxa" w:w="1814"/>
          </w:tcPr>
          <w:p>
            <w:pPr>
              <w:pStyle w:val="ICST-Tabletext"/>
              <w:spacing w:before="20" w:after="20"/>
              <w:ind w:firstLine="0"/>
              <w:jc w:val="left"/>
            </w:pPr>
            <w:r>
              <w:rPr>
                <w:sz w:val="13"/>
              </w:rPr>
              <w:t>networkPolicyIsolation</w:t>
            </w:r>
          </w:p>
        </w:tc>
        <w:tc>
          <w:tcPr>
            <w:tcW w:type="dxa" w:w="1474"/>
          </w:tcPr>
          <w:p>
            <w:pPr>
              <w:pStyle w:val="ICST-Tabletext"/>
              <w:spacing w:before="20" w:after="20"/>
              <w:ind w:firstLine="0"/>
              <w:jc w:val="left"/>
            </w:pPr>
            <w:r>
              <w:rPr>
                <w:sz w:val="13"/>
              </w:rPr>
              <w:t>checkout</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47</w:t>
            </w:r>
          </w:p>
        </w:tc>
        <w:tc>
          <w:tcPr>
            <w:tcW w:type="dxa" w:w="624"/>
          </w:tcPr>
          <w:p>
            <w:pPr>
              <w:pStyle w:val="ICST-Tabletext"/>
              <w:spacing w:before="20" w:after="20"/>
              <w:ind w:firstLine="0"/>
              <w:jc w:val="right"/>
            </w:pPr>
            <w:r>
              <w:rPr>
                <w:sz w:val="13"/>
              </w:rPr>
              <w:t>0.38</w:t>
            </w:r>
          </w:p>
        </w:tc>
      </w:tr>
      <w:tr>
        <w:trPr>
          <w:cantSplit/>
        </w:trPr>
        <w:tc>
          <w:tcPr>
            <w:tcW w:type="dxa" w:w="624"/>
          </w:tcPr>
          <w:p>
            <w:pPr>
              <w:pStyle w:val="ICST-Tabletext"/>
              <w:spacing w:before="20" w:after="20"/>
              <w:ind w:firstLine="0"/>
              <w:jc w:val="left"/>
            </w:pPr>
            <w:r>
              <w:rPr>
                <w:sz w:val="13"/>
              </w:rPr>
              <w:t>t077</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t078</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id 53ba95</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t079</w:t>
            </w:r>
          </w:p>
        </w:tc>
        <w:tc>
          <w:tcPr>
            <w:tcW w:type="dxa" w:w="1814"/>
          </w:tcPr>
          <w:p>
            <w:pPr>
              <w:pStyle w:val="ICST-Tabletext"/>
              <w:spacing w:before="20" w:after="20"/>
              <w:ind w:firstLine="0"/>
              <w:jc w:val="left"/>
            </w:pPr>
            <w:r>
              <w:rPr>
                <w:sz w:val="13"/>
              </w:rPr>
              <w:t>cacheBreakdown</w:t>
            </w:r>
          </w:p>
        </w:tc>
        <w:tc>
          <w:tcPr>
            <w:tcW w:type="dxa" w:w="1474"/>
          </w:tcPr>
          <w:p>
            <w:pPr>
              <w:pStyle w:val="ICST-Tabletext"/>
              <w:spacing w:before="20" w:after="20"/>
              <w:ind w:firstLine="0"/>
              <w:jc w:val="left"/>
            </w:pPr>
            <w:r>
              <w:rPr>
                <w:sz w:val="13"/>
              </w:rPr>
              <w:t>recommendation</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t080</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0.90</w:t>
            </w:r>
          </w:p>
        </w:tc>
      </w:tr>
      <w:tr>
        <w:trPr>
          <w:cantSplit/>
        </w:trPr>
        <w:tc>
          <w:tcPr>
            <w:tcW w:type="dxa" w:w="624"/>
          </w:tcPr>
          <w:p>
            <w:pPr>
              <w:pStyle w:val="ICST-Tabletext"/>
              <w:spacing w:before="20" w:after="20"/>
              <w:ind w:firstLine="0"/>
              <w:jc w:val="left"/>
            </w:pPr>
            <w:r>
              <w:rPr>
                <w:sz w:val="13"/>
              </w:rPr>
              <w:t>t081</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id 53ba95</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44</w:t>
            </w:r>
          </w:p>
        </w:tc>
        <w:tc>
          <w:tcPr>
            <w:tcW w:type="dxa" w:w="624"/>
          </w:tcPr>
          <w:p>
            <w:pPr>
              <w:pStyle w:val="ICST-Tabletext"/>
              <w:spacing w:before="20" w:after="20"/>
              <w:ind w:firstLine="0"/>
              <w:jc w:val="right"/>
            </w:pPr>
            <w:r>
              <w:rPr>
                <w:sz w:val="13"/>
              </w:rPr>
              <w:t>0.86</w:t>
            </w:r>
          </w:p>
        </w:tc>
      </w:tr>
      <w:tr>
        <w:trPr>
          <w:cantSplit/>
        </w:trPr>
        <w:tc>
          <w:tcPr>
            <w:tcW w:type="dxa" w:w="624"/>
          </w:tcPr>
          <w:p>
            <w:pPr>
              <w:pStyle w:val="ICST-Tabletext"/>
              <w:spacing w:before="20" w:after="20"/>
              <w:ind w:firstLine="0"/>
              <w:jc w:val="left"/>
            </w:pPr>
            <w:r>
              <w:rPr>
                <w:sz w:val="13"/>
              </w:rPr>
              <w:t>t082</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id cec115</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61</w:t>
            </w:r>
          </w:p>
        </w:tc>
        <w:tc>
          <w:tcPr>
            <w:tcW w:type="dxa" w:w="624"/>
          </w:tcPr>
          <w:p>
            <w:pPr>
              <w:pStyle w:val="ICST-Tabletext"/>
              <w:spacing w:before="20" w:after="20"/>
              <w:ind w:firstLine="0"/>
              <w:jc w:val="right"/>
            </w:pPr>
            <w:r>
              <w:rPr>
                <w:sz w:val="13"/>
              </w:rPr>
              <w:t>0.19</w:t>
            </w:r>
          </w:p>
        </w:tc>
      </w:tr>
      <w:tr>
        <w:trPr>
          <w:cantSplit/>
        </w:trPr>
        <w:tc>
          <w:tcPr>
            <w:tcW w:type="dxa" w:w="624"/>
          </w:tcPr>
          <w:p>
            <w:pPr>
              <w:pStyle w:val="ICST-Tabletext"/>
              <w:spacing w:before="20" w:after="20"/>
              <w:ind w:firstLine="0"/>
              <w:jc w:val="left"/>
            </w:pPr>
            <w:r>
              <w:rPr>
                <w:sz w:val="13"/>
              </w:rPr>
              <w:t>t083</w:t>
            </w:r>
          </w:p>
        </w:tc>
        <w:tc>
          <w:tcPr>
            <w:tcW w:type="dxa" w:w="1814"/>
          </w:tcPr>
          <w:p>
            <w:pPr>
              <w:pStyle w:val="ICST-Tabletext"/>
              <w:spacing w:before="20" w:after="20"/>
              <w:ind w:firstLine="0"/>
              <w:jc w:val="left"/>
            </w:pPr>
            <w:r>
              <w:rPr>
                <w:sz w:val="13"/>
              </w:rPr>
              <w:t>nullPointerException</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0.81</w:t>
            </w:r>
          </w:p>
        </w:tc>
      </w:tr>
      <w:tr>
        <w:trPr>
          <w:cantSplit/>
        </w:trPr>
        <w:tc>
          <w:tcPr>
            <w:tcW w:type="dxa" w:w="624"/>
          </w:tcPr>
          <w:p>
            <w:pPr>
              <w:pStyle w:val="ICST-Tabletext"/>
              <w:spacing w:before="20" w:after="20"/>
              <w:ind w:firstLine="0"/>
              <w:jc w:val="left"/>
            </w:pPr>
            <w:r>
              <w:rPr>
                <w:sz w:val="13"/>
              </w:rPr>
              <w:t>t084</w:t>
            </w:r>
          </w:p>
        </w:tc>
        <w:tc>
          <w:tcPr>
            <w:tcW w:type="dxa" w:w="1814"/>
          </w:tcPr>
          <w:p>
            <w:pPr>
              <w:pStyle w:val="ICST-Tabletext"/>
              <w:spacing w:before="20" w:after="20"/>
              <w:ind w:firstLine="0"/>
              <w:jc w:val="left"/>
            </w:pPr>
            <w:r>
              <w:rPr>
                <w:sz w:val="13"/>
              </w:rPr>
              <w:t>slowSQL</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node-10.0.2.37</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0.12</w:t>
            </w:r>
          </w:p>
        </w:tc>
      </w:tr>
      <w:tr>
        <w:trPr>
          <w:cantSplit/>
        </w:trPr>
        <w:tc>
          <w:tcPr>
            <w:tcW w:type="dxa" w:w="624"/>
          </w:tcPr>
          <w:p>
            <w:pPr>
              <w:pStyle w:val="ICST-Tabletext"/>
              <w:spacing w:before="20" w:after="20"/>
              <w:ind w:firstLine="0"/>
              <w:jc w:val="left"/>
            </w:pPr>
            <w:r>
              <w:rPr>
                <w:sz w:val="13"/>
              </w:rPr>
              <w:t>t085</w:t>
            </w:r>
          </w:p>
        </w:tc>
        <w:tc>
          <w:tcPr>
            <w:tcW w:type="dxa" w:w="1814"/>
          </w:tcPr>
          <w:p>
            <w:pPr>
              <w:pStyle w:val="ICST-Tabletext"/>
              <w:spacing w:before="20" w:after="20"/>
              <w:ind w:firstLine="0"/>
              <w:jc w:val="left"/>
            </w:pPr>
            <w:r>
              <w:rPr>
                <w:sz w:val="13"/>
              </w:rPr>
              <w:t>slowSQL</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t086</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85</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t087</w:t>
            </w:r>
          </w:p>
        </w:tc>
        <w:tc>
          <w:tcPr>
            <w:tcW w:type="dxa" w:w="1814"/>
          </w:tcPr>
          <w:p>
            <w:pPr>
              <w:pStyle w:val="ICST-Tabletext"/>
              <w:spacing w:before="20" w:after="20"/>
              <w:ind w:firstLine="0"/>
              <w:jc w:val="left"/>
            </w:pPr>
            <w:r>
              <w:rPr>
                <w:sz w:val="13"/>
              </w:rPr>
              <w:t>podRestartFlapping</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shipping</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58</w:t>
            </w:r>
          </w:p>
        </w:tc>
        <w:tc>
          <w:tcPr>
            <w:tcW w:type="dxa" w:w="624"/>
          </w:tcPr>
          <w:p>
            <w:pPr>
              <w:pStyle w:val="ICST-Tabletext"/>
              <w:spacing w:before="20" w:after="20"/>
              <w:ind w:firstLine="0"/>
              <w:jc w:val="right"/>
            </w:pPr>
            <w:r>
              <w:rPr>
                <w:sz w:val="13"/>
              </w:rPr>
              <w:t>0.61</w:t>
            </w:r>
          </w:p>
        </w:tc>
      </w:tr>
      <w:tr>
        <w:trPr>
          <w:cantSplit/>
        </w:trPr>
        <w:tc>
          <w:tcPr>
            <w:tcW w:type="dxa" w:w="624"/>
          </w:tcPr>
          <w:p>
            <w:pPr>
              <w:pStyle w:val="ICST-Tabletext"/>
              <w:spacing w:before="20" w:after="20"/>
              <w:ind w:firstLine="0"/>
              <w:jc w:val="left"/>
            </w:pPr>
            <w:r>
              <w:rPr>
                <w:sz w:val="13"/>
              </w:rPr>
              <w:t>t088</w:t>
            </w:r>
          </w:p>
        </w:tc>
        <w:tc>
          <w:tcPr>
            <w:tcW w:type="dxa" w:w="1814"/>
          </w:tcPr>
          <w:p>
            <w:pPr>
              <w:pStyle w:val="ICST-Tabletext"/>
              <w:spacing w:before="20" w:after="20"/>
              <w:ind w:firstLine="0"/>
              <w:jc w:val="left"/>
            </w:pPr>
            <w:r>
              <w:rPr>
                <w:sz w:val="13"/>
              </w:rPr>
              <w:t>trafficHotspot</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0.46</w:t>
            </w:r>
          </w:p>
        </w:tc>
      </w:tr>
      <w:tr>
        <w:trPr>
          <w:cantSplit/>
        </w:trPr>
        <w:tc>
          <w:tcPr>
            <w:tcW w:type="dxa" w:w="624"/>
          </w:tcPr>
          <w:p>
            <w:pPr>
              <w:pStyle w:val="ICST-Tabletext"/>
              <w:spacing w:before="20" w:after="20"/>
              <w:ind w:firstLine="0"/>
              <w:jc w:val="left"/>
            </w:pPr>
            <w:r>
              <w:rPr>
                <w:sz w:val="13"/>
              </w:rPr>
              <w:t>t089</w:t>
            </w:r>
          </w:p>
        </w:tc>
        <w:tc>
          <w:tcPr>
            <w:tcW w:type="dxa" w:w="1814"/>
          </w:tcPr>
          <w:p>
            <w:pPr>
              <w:pStyle w:val="ICST-Tabletext"/>
              <w:spacing w:before="20" w:after="20"/>
              <w:ind w:firstLine="0"/>
              <w:jc w:val="left"/>
            </w:pPr>
            <w:r>
              <w:rPr>
                <w:sz w:val="13"/>
              </w:rPr>
              <w:t>rateLimiting</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nodeMemoryOOM</w:t>
            </w:r>
          </w:p>
        </w:tc>
        <w:tc>
          <w:tcPr>
            <w:tcW w:type="dxa" w:w="1474"/>
          </w:tcPr>
          <w:p>
            <w:pPr>
              <w:pStyle w:val="ICST-Tabletext"/>
              <w:spacing w:before="20" w:after="20"/>
              <w:ind w:firstLine="0"/>
              <w:jc w:val="left"/>
            </w:pPr>
            <w:r>
              <w:rPr>
                <w:sz w:val="13"/>
              </w:rPr>
              <w:t>node-10.0.2.59</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73</w:t>
            </w:r>
          </w:p>
        </w:tc>
        <w:tc>
          <w:tcPr>
            <w:tcW w:type="dxa" w:w="624"/>
          </w:tcPr>
          <w:p>
            <w:pPr>
              <w:pStyle w:val="ICST-Tabletext"/>
              <w:spacing w:before="20" w:after="20"/>
              <w:ind w:firstLine="0"/>
              <w:jc w:val="right"/>
            </w:pPr>
            <w:r>
              <w:rPr>
                <w:sz w:val="13"/>
              </w:rPr>
              <w:t>0.83</w:t>
            </w:r>
          </w:p>
        </w:tc>
      </w:tr>
      <w:tr>
        <w:trPr>
          <w:cantSplit/>
        </w:trPr>
        <w:tc>
          <w:tcPr>
            <w:tcW w:type="dxa" w:w="624"/>
          </w:tcPr>
          <w:p>
            <w:pPr>
              <w:pStyle w:val="ICST-Tabletext"/>
              <w:spacing w:before="20" w:after="20"/>
              <w:ind w:firstLine="0"/>
              <w:jc w:val="left"/>
            </w:pPr>
            <w:r>
              <w:rPr>
                <w:sz w:val="13"/>
              </w:rPr>
              <w:t>t090</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node-10.0.1.107</w:t>
            </w:r>
          </w:p>
        </w:tc>
        <w:tc>
          <w:tcPr>
            <w:tcW w:type="dxa" w:w="1814"/>
          </w:tcPr>
          <w:p>
            <w:pPr>
              <w:pStyle w:val="ICST-Tabletext"/>
              <w:spacing w:before="20" w:after="20"/>
              <w:ind w:firstLine="0"/>
              <w:jc w:val="left"/>
            </w:pPr>
            <w:r>
              <w:rPr>
                <w:sz w:val="13"/>
              </w:rPr>
              <w:t>trafficHotspot</w:t>
            </w:r>
          </w:p>
        </w:tc>
        <w:tc>
          <w:tcPr>
            <w:tcW w:type="dxa" w:w="1474"/>
          </w:tcPr>
          <w:p>
            <w:pPr>
              <w:pStyle w:val="ICST-Tabletext"/>
              <w:spacing w:before="20" w:after="20"/>
              <w:ind w:firstLine="0"/>
              <w:jc w:val="left"/>
            </w:pPr>
            <w:r>
              <w:rPr>
                <w:sz w:val="13"/>
              </w:rPr>
              <w:t>product-catalog</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71</w:t>
            </w:r>
          </w:p>
        </w:tc>
        <w:tc>
          <w:tcPr>
            <w:tcW w:type="dxa" w:w="624"/>
          </w:tcPr>
          <w:p>
            <w:pPr>
              <w:pStyle w:val="ICST-Tabletext"/>
              <w:spacing w:before="20" w:after="20"/>
              <w:ind w:firstLine="0"/>
              <w:jc w:val="right"/>
            </w:pPr>
            <w:r>
              <w:rPr>
                <w:sz w:val="13"/>
              </w:rPr>
              <w:t>0.24</w:t>
            </w:r>
          </w:p>
        </w:tc>
      </w:tr>
      <w:tr>
        <w:trPr>
          <w:cantSplit/>
        </w:trPr>
        <w:tc>
          <w:tcPr>
            <w:tcW w:type="dxa" w:w="624"/>
          </w:tcPr>
          <w:p>
            <w:pPr>
              <w:pStyle w:val="ICST-Tabletext"/>
              <w:spacing w:before="20" w:after="20"/>
              <w:ind w:firstLine="0"/>
              <w:jc w:val="left"/>
            </w:pPr>
            <w:r>
              <w:rPr>
                <w:sz w:val="13"/>
              </w:rPr>
              <w:t>t091</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frontend</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53</w:t>
            </w:r>
          </w:p>
        </w:tc>
        <w:tc>
          <w:tcPr>
            <w:tcW w:type="dxa" w:w="624"/>
          </w:tcPr>
          <w:p>
            <w:pPr>
              <w:pStyle w:val="ICST-Tabletext"/>
              <w:spacing w:before="20" w:after="20"/>
              <w:ind w:firstLine="0"/>
              <w:jc w:val="right"/>
            </w:pPr>
            <w:r>
              <w:rPr>
                <w:sz w:val="13"/>
              </w:rPr>
              <w:t>0.98</w:t>
            </w:r>
          </w:p>
        </w:tc>
      </w:tr>
      <w:tr>
        <w:trPr>
          <w:cantSplit/>
        </w:trPr>
        <w:tc>
          <w:tcPr>
            <w:tcW w:type="dxa" w:w="624"/>
          </w:tcPr>
          <w:p>
            <w:pPr>
              <w:pStyle w:val="ICST-Tabletext"/>
              <w:spacing w:before="20" w:after="20"/>
              <w:ind w:firstLine="0"/>
              <w:jc w:val="left"/>
            </w:pPr>
            <w:r>
              <w:rPr>
                <w:sz w:val="13"/>
              </w:rPr>
              <w:t>t092</w:t>
            </w:r>
          </w:p>
        </w:tc>
        <w:tc>
          <w:tcPr>
            <w:tcW w:type="dxa" w:w="1814"/>
          </w:tcPr>
          <w:p>
            <w:pPr>
              <w:pStyle w:val="ICST-Tabletext"/>
              <w:spacing w:before="20" w:after="20"/>
              <w:ind w:firstLine="0"/>
              <w:jc w:val="left"/>
            </w:pPr>
            <w:r>
              <w:rPr>
                <w:sz w:val="13"/>
              </w:rPr>
              <w:t>nodeCpuHigh</w:t>
            </w:r>
          </w:p>
        </w:tc>
        <w:tc>
          <w:tcPr>
            <w:tcW w:type="dxa" w:w="1474"/>
          </w:tcPr>
          <w:p>
            <w:pPr>
              <w:pStyle w:val="ICST-Tabletext"/>
              <w:spacing w:before="20" w:after="20"/>
              <w:ind w:firstLine="0"/>
              <w:jc w:val="left"/>
            </w:pPr>
            <w:r>
              <w:rPr>
                <w:sz w:val="13"/>
              </w:rPr>
              <w:t>node-10.0.1.49</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73</w:t>
            </w:r>
          </w:p>
        </w:tc>
        <w:tc>
          <w:tcPr>
            <w:tcW w:type="dxa" w:w="624"/>
          </w:tcPr>
          <w:p>
            <w:pPr>
              <w:pStyle w:val="ICST-Tabletext"/>
              <w:spacing w:before="20" w:after="20"/>
              <w:ind w:firstLine="0"/>
              <w:jc w:val="right"/>
            </w:pPr>
            <w:r>
              <w:rPr>
                <w:sz w:val="13"/>
              </w:rPr>
              <w:t>0.80</w:t>
            </w:r>
          </w:p>
        </w:tc>
      </w:tr>
      <w:tr>
        <w:trPr>
          <w:cantSplit/>
        </w:trPr>
        <w:tc>
          <w:tcPr>
            <w:tcW w:type="dxa" w:w="624"/>
          </w:tcPr>
          <w:p>
            <w:pPr>
              <w:pStyle w:val="ICST-Tabletext"/>
              <w:spacing w:before="20" w:after="20"/>
              <w:ind w:firstLine="0"/>
              <w:jc w:val="left"/>
            </w:pPr>
            <w:r>
              <w:rPr>
                <w:sz w:val="13"/>
              </w:rPr>
              <w:t>t093</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88</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t094</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94</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t095</w:t>
            </w:r>
          </w:p>
        </w:tc>
        <w:tc>
          <w:tcPr>
            <w:tcW w:type="dxa" w:w="1814"/>
          </w:tcPr>
          <w:p>
            <w:pPr>
              <w:pStyle w:val="ICST-Tabletext"/>
              <w:spacing w:before="20" w:after="20"/>
              <w:ind w:firstLine="0"/>
              <w:jc w:val="left"/>
            </w:pPr>
            <w:r>
              <w:rPr>
                <w:sz w:val="13"/>
              </w:rPr>
              <w:t>podPendingUnschedulable</w:t>
            </w:r>
          </w:p>
        </w:tc>
        <w:tc>
          <w:tcPr>
            <w:tcW w:type="dxa" w:w="1474"/>
          </w:tcPr>
          <w:p>
            <w:pPr>
              <w:pStyle w:val="ICST-Tabletext"/>
              <w:spacing w:before="20" w:after="20"/>
              <w:ind w:firstLine="0"/>
              <w:jc w:val="left"/>
            </w:pPr>
            <w:r>
              <w:rPr>
                <w:sz w:val="13"/>
              </w:rPr>
              <w:t>shipping</w:t>
            </w:r>
          </w:p>
        </w:tc>
        <w:tc>
          <w:tcPr>
            <w:tcW w:type="dxa" w:w="1814"/>
          </w:tcPr>
          <w:p>
            <w:pPr>
              <w:pStyle w:val="ICST-Tabletext"/>
              <w:spacing w:before="20" w:after="20"/>
              <w:ind w:firstLine="0"/>
              <w:jc w:val="left"/>
            </w:pPr>
            <w:r>
              <w:rPr>
                <w:sz w:val="13"/>
              </w:rPr>
              <w:t>podPendingUnschedulable</w:t>
            </w:r>
          </w:p>
        </w:tc>
        <w:tc>
          <w:tcPr>
            <w:tcW w:type="dxa" w:w="1474"/>
          </w:tcPr>
          <w:p>
            <w:pPr>
              <w:pStyle w:val="ICST-Tabletext"/>
              <w:spacing w:before="20" w:after="20"/>
              <w:ind w:firstLine="0"/>
              <w:jc w:val="left"/>
            </w:pPr>
            <w:r>
              <w:rPr>
                <w:sz w:val="13"/>
              </w:rPr>
              <w:t>email</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17</w:t>
            </w:r>
          </w:p>
        </w:tc>
        <w:tc>
          <w:tcPr>
            <w:tcW w:type="dxa" w:w="624"/>
          </w:tcPr>
          <w:p>
            <w:pPr>
              <w:pStyle w:val="ICST-Tabletext"/>
              <w:spacing w:before="20" w:after="20"/>
              <w:ind w:firstLine="0"/>
              <w:jc w:val="right"/>
            </w:pPr>
            <w:r>
              <w:rPr>
                <w:sz w:val="13"/>
              </w:rPr>
              <w:t>0.41</w:t>
            </w:r>
          </w:p>
        </w:tc>
      </w:tr>
      <w:tr>
        <w:trPr>
          <w:cantSplit/>
        </w:trPr>
        <w:tc>
          <w:tcPr>
            <w:tcW w:type="dxa" w:w="624"/>
          </w:tcPr>
          <w:p>
            <w:pPr>
              <w:pStyle w:val="ICST-Tabletext"/>
              <w:spacing w:before="20" w:after="20"/>
              <w:ind w:firstLine="0"/>
              <w:jc w:val="left"/>
            </w:pPr>
            <w:r>
              <w:rPr>
                <w:sz w:val="13"/>
              </w:rPr>
              <w:t>t096</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cpuFullLoad</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100</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t097</w:t>
            </w:r>
          </w:p>
        </w:tc>
        <w:tc>
          <w:tcPr>
            <w:tcW w:type="dxa" w:w="1814"/>
          </w:tcPr>
          <w:p>
            <w:pPr>
              <w:pStyle w:val="ICST-Tabletext"/>
              <w:spacing w:before="20" w:after="20"/>
              <w:ind w:firstLine="0"/>
              <w:jc w:val="left"/>
            </w:pPr>
            <w:r>
              <w:rPr>
                <w:sz w:val="13"/>
              </w:rPr>
              <w:t>slowSQL</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35</w:t>
            </w:r>
          </w:p>
        </w:tc>
        <w:tc>
          <w:tcPr>
            <w:tcW w:type="dxa" w:w="624"/>
          </w:tcPr>
          <w:p>
            <w:pPr>
              <w:pStyle w:val="ICST-Tabletext"/>
              <w:spacing w:before="20" w:after="20"/>
              <w:ind w:firstLine="0"/>
              <w:jc w:val="right"/>
            </w:pPr>
            <w:r>
              <w:rPr>
                <w:sz w:val="13"/>
              </w:rPr>
              <w:t>1.00</w:t>
            </w:r>
          </w:p>
        </w:tc>
      </w:tr>
      <w:tr>
        <w:trPr>
          <w:cantSplit/>
        </w:trPr>
        <w:tc>
          <w:tcPr>
            <w:tcW w:type="dxa" w:w="624"/>
          </w:tcPr>
          <w:p>
            <w:pPr>
              <w:pStyle w:val="ICST-Tabletext"/>
              <w:spacing w:before="20" w:after="20"/>
              <w:ind w:firstLine="0"/>
              <w:jc w:val="left"/>
            </w:pPr>
            <w:r>
              <w:rPr>
                <w:sz w:val="13"/>
              </w:rPr>
              <w:t>t098</w:t>
            </w:r>
          </w:p>
        </w:tc>
        <w:tc>
          <w:tcPr>
            <w:tcW w:type="dxa" w:w="1814"/>
          </w:tcPr>
          <w:p>
            <w:pPr>
              <w:pStyle w:val="ICST-Tabletext"/>
              <w:spacing w:before="20" w:after="20"/>
              <w:ind w:firstLine="0"/>
              <w:jc w:val="left"/>
            </w:pPr>
            <w:r>
              <w:rPr>
                <w:sz w:val="13"/>
              </w:rPr>
              <w:t>codeDefect</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codeDefect</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75</w:t>
            </w:r>
          </w:p>
        </w:tc>
        <w:tc>
          <w:tcPr>
            <w:tcW w:type="dxa" w:w="624"/>
          </w:tcPr>
          <w:p>
            <w:pPr>
              <w:pStyle w:val="ICST-Tabletext"/>
              <w:spacing w:before="20" w:after="20"/>
              <w:ind w:firstLine="0"/>
              <w:jc w:val="right"/>
            </w:pPr>
            <w:r>
              <w:rPr>
                <w:sz w:val="13"/>
              </w:rPr>
              <w:t>0.49</w:t>
            </w:r>
          </w:p>
        </w:tc>
      </w:tr>
      <w:tr>
        <w:trPr>
          <w:cantSplit/>
        </w:trPr>
        <w:tc>
          <w:tcPr>
            <w:tcW w:type="dxa" w:w="624"/>
          </w:tcPr>
          <w:p>
            <w:pPr>
              <w:pStyle w:val="ICST-Tabletext"/>
              <w:spacing w:before="20" w:after="20"/>
              <w:ind w:firstLine="0"/>
              <w:jc w:val="left"/>
            </w:pPr>
            <w:r>
              <w:rPr>
                <w:sz w:val="13"/>
              </w:rPr>
              <w:t>t099</w:t>
            </w:r>
          </w:p>
        </w:tc>
        <w:tc>
          <w:tcPr>
            <w:tcW w:type="dxa" w:w="1814"/>
          </w:tcPr>
          <w:p>
            <w:pPr>
              <w:pStyle w:val="ICST-Tabletext"/>
              <w:spacing w:before="20" w:after="20"/>
              <w:ind w:firstLine="0"/>
              <w:jc w:val="left"/>
            </w:pPr>
            <w:r>
              <w:rPr>
                <w:sz w:val="13"/>
              </w:rPr>
              <w:t>httpError5xx</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83</w:t>
            </w:r>
          </w:p>
        </w:tc>
        <w:tc>
          <w:tcPr>
            <w:tcW w:type="dxa" w:w="624"/>
          </w:tcPr>
          <w:p>
            <w:pPr>
              <w:pStyle w:val="ICST-Tabletext"/>
              <w:spacing w:before="20" w:after="20"/>
              <w:ind w:firstLine="0"/>
              <w:jc w:val="right"/>
            </w:pPr>
            <w:r>
              <w:rPr>
                <w:sz w:val="13"/>
              </w:rPr>
              <w:t>0.52</w:t>
            </w:r>
          </w:p>
        </w:tc>
      </w:tr>
      <w:tr>
        <w:trPr>
          <w:cantSplit/>
        </w:trPr>
        <w:tc>
          <w:tcPr>
            <w:tcW w:type="dxa" w:w="624"/>
          </w:tcPr>
          <w:p>
            <w:pPr>
              <w:pStyle w:val="ICST-Tabletext"/>
              <w:spacing w:before="20" w:after="20"/>
              <w:ind w:firstLine="0"/>
              <w:jc w:val="left"/>
            </w:pPr>
            <w:r>
              <w:rPr>
                <w:sz w:val="13"/>
              </w:rPr>
              <w:t>t100</w:t>
            </w:r>
          </w:p>
        </w:tc>
        <w:tc>
          <w:tcPr>
            <w:tcW w:type="dxa" w:w="1814"/>
          </w:tcPr>
          <w:p>
            <w:pPr>
              <w:pStyle w:val="ICST-Tabletext"/>
              <w:spacing w:before="20" w:after="20"/>
              <w:ind w:firstLine="0"/>
              <w:jc w:val="left"/>
            </w:pPr>
            <w:r>
              <w:rPr>
                <w:sz w:val="13"/>
              </w:rPr>
              <w:t>replicaScaleDown</w:t>
            </w:r>
          </w:p>
        </w:tc>
        <w:tc>
          <w:tcPr>
            <w:tcW w:type="dxa" w:w="1474"/>
          </w:tcPr>
          <w:p>
            <w:pPr>
              <w:pStyle w:val="ICST-Tabletext"/>
              <w:spacing w:before="20" w:after="20"/>
              <w:ind w:firstLine="0"/>
              <w:jc w:val="left"/>
            </w:pPr>
            <w:r>
              <w:rPr>
                <w:sz w:val="13"/>
              </w:rPr>
              <w:t>id 53ba95</w:t>
            </w:r>
          </w:p>
        </w:tc>
        <w:tc>
          <w:tcPr>
            <w:tcW w:type="dxa" w:w="1814"/>
          </w:tcPr>
          <w:p>
            <w:pPr>
              <w:pStyle w:val="ICST-Tabletext"/>
              <w:spacing w:before="20" w:after="20"/>
              <w:ind w:firstLine="0"/>
              <w:jc w:val="left"/>
            </w:pPr>
            <w:r>
              <w:rPr>
                <w:sz w:val="13"/>
              </w:rPr>
              <w:t>trafficSurge</w:t>
            </w:r>
          </w:p>
        </w:tc>
        <w:tc>
          <w:tcPr>
            <w:tcW w:type="dxa" w:w="1474"/>
          </w:tcPr>
          <w:p>
            <w:pPr>
              <w:pStyle w:val="ICST-Tabletext"/>
              <w:spacing w:before="20" w:after="20"/>
              <w:ind w:firstLine="0"/>
              <w:jc w:val="left"/>
            </w:pPr>
            <w:r>
              <w:rPr>
                <w:sz w:val="13"/>
              </w:rPr>
              <w:t>recommendation</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50</w:t>
            </w:r>
          </w:p>
        </w:tc>
        <w:tc>
          <w:tcPr>
            <w:tcW w:type="dxa" w:w="624"/>
          </w:tcPr>
          <w:p>
            <w:pPr>
              <w:pStyle w:val="ICST-Tabletext"/>
              <w:spacing w:before="20" w:after="20"/>
              <w:ind w:firstLine="0"/>
              <w:jc w:val="right"/>
            </w:pPr>
            <w:r>
              <w:rPr>
                <w:sz w:val="13"/>
              </w:rPr>
              <w:t>0.99</w:t>
            </w:r>
          </w:p>
        </w:tc>
      </w:tr>
      <w:tr>
        <w:trPr>
          <w:cantSplit/>
        </w:trPr>
        <w:tc>
          <w:tcPr>
            <w:tcW w:type="dxa" w:w="624"/>
          </w:tcPr>
          <w:p>
            <w:pPr>
              <w:pStyle w:val="ICST-Tabletext"/>
              <w:spacing w:before="20" w:after="20"/>
              <w:ind w:firstLine="0"/>
              <w:jc w:val="left"/>
            </w:pPr>
            <w:r>
              <w:rPr>
                <w:sz w:val="13"/>
              </w:rPr>
              <w:t>t101</w:t>
            </w:r>
          </w:p>
        </w:tc>
        <w:tc>
          <w:tcPr>
            <w:tcW w:type="dxa" w:w="1814"/>
          </w:tcPr>
          <w:p>
            <w:pPr>
              <w:pStyle w:val="ICST-Tabletext"/>
              <w:spacing w:before="20" w:after="20"/>
              <w:ind w:firstLine="0"/>
              <w:jc w:val="left"/>
            </w:pPr>
            <w:r>
              <w:rPr>
                <w:sz w:val="13"/>
              </w:rPr>
              <w:t>trafficHotspot</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node-10.0.2.37</w:t>
            </w:r>
          </w:p>
        </w:tc>
        <w:tc>
          <w:tcPr>
            <w:tcW w:type="dxa" w:w="624"/>
          </w:tcPr>
          <w:p>
            <w:pPr>
              <w:pStyle w:val="ICST-Tabletext"/>
              <w:spacing w:before="20" w:after="20"/>
              <w:ind w:firstLine="0"/>
              <w:jc w:val="right"/>
            </w:pPr>
            <w:r>
              <w:rPr>
                <w:sz w:val="13"/>
              </w:rPr>
              <w:t>0.125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67</w:t>
            </w:r>
          </w:p>
        </w:tc>
        <w:tc>
          <w:tcPr>
            <w:tcW w:type="dxa" w:w="624"/>
          </w:tcPr>
          <w:p>
            <w:pPr>
              <w:pStyle w:val="ICST-Tabletext"/>
              <w:spacing w:before="20" w:after="20"/>
              <w:ind w:firstLine="0"/>
              <w:jc w:val="right"/>
            </w:pPr>
            <w:r>
              <w:rPr>
                <w:sz w:val="13"/>
              </w:rPr>
              <w:t>0.58</w:t>
            </w:r>
          </w:p>
        </w:tc>
      </w:tr>
      <w:tr>
        <w:trPr>
          <w:cantSplit/>
        </w:trPr>
        <w:tc>
          <w:tcPr>
            <w:tcW w:type="dxa" w:w="624"/>
          </w:tcPr>
          <w:p>
            <w:pPr>
              <w:pStyle w:val="ICST-Tabletext"/>
              <w:spacing w:before="20" w:after="20"/>
              <w:ind w:firstLine="0"/>
              <w:jc w:val="left"/>
            </w:pPr>
            <w:r>
              <w:rPr>
                <w:sz w:val="13"/>
              </w:rPr>
              <w:t>t102</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1814"/>
          </w:tcPr>
          <w:p>
            <w:pPr>
              <w:pStyle w:val="ICST-Tabletext"/>
              <w:spacing w:before="20" w:after="20"/>
              <w:ind w:firstLine="0"/>
              <w:jc w:val="left"/>
            </w:pPr>
            <w:r>
              <w:rPr>
                <w:sz w:val="13"/>
              </w:rPr>
              <w:t>memoryPressure</w:t>
            </w:r>
          </w:p>
        </w:tc>
        <w:tc>
          <w:tcPr>
            <w:tcW w:type="dxa" w:w="1474"/>
          </w:tcPr>
          <w:p>
            <w:pPr>
              <w:pStyle w:val="ICST-Tabletext"/>
              <w:spacing w:before="20" w:after="20"/>
              <w:ind w:firstLine="0"/>
              <w:jc w:val="left"/>
            </w:pPr>
            <w:r>
              <w:rPr>
                <w:sz w:val="13"/>
              </w:rPr>
              <w:t>inventory</w:t>
            </w:r>
          </w:p>
        </w:tc>
        <w:tc>
          <w:tcPr>
            <w:tcW w:type="dxa" w:w="624"/>
          </w:tcPr>
          <w:p>
            <w:pPr>
              <w:pStyle w:val="ICST-Tabletext"/>
              <w:spacing w:before="20" w:after="20"/>
              <w:ind w:firstLine="0"/>
              <w:jc w:val="right"/>
            </w:pPr>
            <w:r>
              <w:rPr>
                <w:sz w:val="13"/>
              </w:rPr>
              <w:t>1</w:t>
            </w:r>
          </w:p>
        </w:tc>
        <w:tc>
          <w:tcPr>
            <w:tcW w:type="dxa" w:w="454"/>
          </w:tcPr>
          <w:p>
            <w:pPr>
              <w:pStyle w:val="ICST-Tabletext"/>
              <w:spacing w:before="20" w:after="20"/>
              <w:ind w:firstLine="0"/>
              <w:jc w:val="right"/>
            </w:pPr>
            <w:r>
              <w:rPr>
                <w:sz w:val="13"/>
              </w:rPr>
              <w:t>1</w:t>
            </w:r>
          </w:p>
        </w:tc>
        <w:tc>
          <w:tcPr>
            <w:tcW w:type="dxa" w:w="510"/>
          </w:tcPr>
          <w:p>
            <w:pPr>
              <w:pStyle w:val="ICST-Tabletext"/>
              <w:spacing w:before="20" w:after="20"/>
              <w:ind w:firstLine="0"/>
              <w:jc w:val="right"/>
            </w:pPr>
            <w:r>
              <w:rPr>
                <w:sz w:val="13"/>
              </w:rPr>
              <w:t>79</w:t>
            </w:r>
          </w:p>
        </w:tc>
        <w:tc>
          <w:tcPr>
            <w:tcW w:type="dxa" w:w="624"/>
          </w:tcPr>
          <w:p>
            <w:pPr>
              <w:pStyle w:val="ICST-Tabletext"/>
              <w:spacing w:before="20" w:after="20"/>
              <w:ind w:firstLine="0"/>
              <w:jc w:val="right"/>
            </w:pPr>
            <w:r>
              <w:rPr>
                <w:sz w:val="13"/>
              </w:rPr>
              <w:t>0.98</w:t>
            </w:r>
          </w:p>
        </w:tc>
      </w:tr>
      <w:tr>
        <w:trPr>
          <w:cantSplit/>
        </w:trPr>
        <w:tc>
          <w:tcPr>
            <w:tcW w:type="dxa" w:w="624"/>
          </w:tcPr>
          <w:p>
            <w:pPr>
              <w:pStyle w:val="ICST-Tabletext"/>
              <w:spacing w:before="20" w:after="20"/>
              <w:ind w:firstLine="0"/>
              <w:jc w:val="left"/>
            </w:pPr>
            <w:r>
              <w:rPr>
                <w:sz w:val="13"/>
              </w:rPr>
              <w:t>t103</w:t>
            </w:r>
          </w:p>
        </w:tc>
        <w:tc>
          <w:tcPr>
            <w:tcW w:type="dxa" w:w="1814"/>
          </w:tcPr>
          <w:p>
            <w:pPr>
              <w:pStyle w:val="ICST-Tabletext"/>
              <w:spacing w:before="20" w:after="20"/>
              <w:ind w:firstLine="0"/>
              <w:jc w:val="left"/>
            </w:pPr>
            <w:r>
              <w:rPr>
                <w:sz w:val="13"/>
              </w:rPr>
              <w:t>redisUnavailable</w:t>
            </w:r>
          </w:p>
        </w:tc>
        <w:tc>
          <w:tcPr>
            <w:tcW w:type="dxa" w:w="1474"/>
          </w:tcPr>
          <w:p>
            <w:pPr>
              <w:pStyle w:val="ICST-Tabletext"/>
              <w:spacing w:before="20" w:after="20"/>
              <w:ind w:firstLine="0"/>
              <w:jc w:val="left"/>
            </w:pPr>
            <w:r>
              <w:rPr>
                <w:sz w:val="13"/>
              </w:rPr>
              <w:t>cart</w:t>
            </w:r>
          </w:p>
        </w:tc>
        <w:tc>
          <w:tcPr>
            <w:tcW w:type="dxa" w:w="1814"/>
          </w:tcPr>
          <w:p>
            <w:pPr>
              <w:pStyle w:val="ICST-Tabletext"/>
              <w:spacing w:before="20" w:after="20"/>
              <w:ind w:firstLine="0"/>
              <w:jc w:val="left"/>
            </w:pPr>
            <w:r>
              <w:rPr>
                <w:sz w:val="13"/>
              </w:rPr>
              <w:t>diskIOHigh</w:t>
            </w:r>
          </w:p>
        </w:tc>
        <w:tc>
          <w:tcPr>
            <w:tcW w:type="dxa" w:w="1474"/>
          </w:tcPr>
          <w:p>
            <w:pPr>
              <w:pStyle w:val="ICST-Tabletext"/>
              <w:spacing w:before="20" w:after="20"/>
              <w:ind w:firstLine="0"/>
              <w:jc w:val="left"/>
            </w:pPr>
            <w:r>
              <w:rPr>
                <w:sz w:val="13"/>
              </w:rPr>
              <w:t>node-10.0.2.58</w:t>
            </w:r>
          </w:p>
        </w:tc>
        <w:tc>
          <w:tcPr>
            <w:tcW w:type="dxa" w:w="624"/>
          </w:tcPr>
          <w:p>
            <w:pPr>
              <w:pStyle w:val="ICST-Tabletext"/>
              <w:spacing w:before="20" w:after="20"/>
              <w:ind w:firstLine="0"/>
              <w:jc w:val="right"/>
            </w:pPr>
            <w:r>
              <w:rPr>
                <w:sz w:val="13"/>
              </w:rPr>
              <w:t>0.0625</w:t>
            </w:r>
          </w:p>
        </w:tc>
        <w:tc>
          <w:tcPr>
            <w:tcW w:type="dxa" w:w="454"/>
          </w:tcPr>
          <w:p>
            <w:pPr>
              <w:pStyle w:val="ICST-Tabletext"/>
              <w:spacing w:before="20" w:after="20"/>
              <w:ind w:firstLine="0"/>
              <w:jc w:val="right"/>
            </w:pPr>
            <w:r>
              <w:rPr>
                <w:sz w:val="13"/>
              </w:rPr>
              <w:t>0</w:t>
            </w:r>
          </w:p>
        </w:tc>
        <w:tc>
          <w:tcPr>
            <w:tcW w:type="dxa" w:w="510"/>
          </w:tcPr>
          <w:p>
            <w:pPr>
              <w:pStyle w:val="ICST-Tabletext"/>
              <w:spacing w:before="20" w:after="20"/>
              <w:ind w:firstLine="0"/>
              <w:jc w:val="right"/>
            </w:pPr>
            <w:r>
              <w:rPr>
                <w:sz w:val="13"/>
              </w:rPr>
              <w:t>62</w:t>
            </w:r>
          </w:p>
        </w:tc>
        <w:tc>
          <w:tcPr>
            <w:tcW w:type="dxa" w:w="624"/>
          </w:tcPr>
          <w:p>
            <w:pPr>
              <w:pStyle w:val="ICST-Tabletext"/>
              <w:spacing w:before="20" w:after="20"/>
              <w:ind w:firstLine="0"/>
              <w:jc w:val="right"/>
            </w:pPr>
            <w:r>
              <w:rPr>
                <w:sz w:val="13"/>
              </w:rPr>
              <w:t>0.45</w:t>
            </w:r>
          </w:p>
        </w:tc>
      </w:tr>
    </w:tbl>
    <w:p>
      <w:pPr>
        <w:pStyle w:val="ICST-Bodytextnoindent"/>
        <w:spacing w:before="40" w:after="160"/>
      </w:pPr>
      <w:r>
        <w:rPr>
          <w:sz w:val="14"/>
        </w:rPr>
        <w:t>Entity names are resolved from the run's hypothesis lists; "id …" marks an identifier that could not be resolved. node-x.y.z.w denotes a Kubernetes node. RP on a 0–100 scale; P(ê): posterior probability of the chosen entity.</w:t>
      </w:r>
    </w:p>
    <w:sectPr w:rsidR="00ED0D64" w:rsidSect="0049356C">
      <w:headerReference w:type="first" r:id="rId20"/>
      <w:footerReference w:type="first" r:id="rId21"/>
      <w:footnotePr>
        <w:numFmt w:val="chicago"/>
      </w:footnotePr>
      <w:type w:val="nextPage"/>
      <w:pgSz w:w="11906" w:h="16838" w:code="9"/>
      <w:pgMar w:top="1644" w:right="907" w:bottom="1531" w:left="907" w:header="680" w:footer="680" w:gutter="0"/>
      <w:cols w:num="1"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DB4A" w14:textId="77777777" w:rsidR="0001134E" w:rsidRDefault="0001134E">
      <w:r>
        <w:separator/>
      </w:r>
    </w:p>
  </w:endnote>
  <w:endnote w:type="continuationSeparator" w:id="0">
    <w:p w14:paraId="573B9E4D" w14:textId="77777777" w:rsidR="0001134E" w:rsidRDefault="00011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Arial"/>
    <w:charset w:val="00"/>
    <w:family w:val="swiss"/>
    <w:pitch w:val="variable"/>
    <w:sig w:usb0="20000287" w:usb1="00000001" w:usb2="00000000" w:usb3="00000000" w:csb0="0000019F" w:csb1="00000000"/>
  </w:font>
  <w:font w:name="Miriam">
    <w:charset w:val="B1"/>
    <w:family w:val="swiss"/>
    <w:pitch w:val="variable"/>
    <w:sig w:usb0="00000803" w:usb1="00000000" w:usb2="00000000" w:usb3="00000000" w:csb0="00000021" w:csb1="00000000"/>
  </w:font>
  <w:font w:name="Tennessee Roman">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13D4" w14:textId="77777777" w:rsidR="006C0C04" w:rsidRPr="00ED0D64" w:rsidRDefault="007A4F9A">
    <w:pPr>
      <w:jc w:val="center"/>
    </w:pPr>
    <w:r w:rsidRPr="00ED0D64">
      <w:rPr>
        <w:sz w:val="18"/>
        <w:szCs w:val="18"/>
      </w:rPr>
      <w:fldChar w:fldCharType="begin"/>
    </w:r>
    <w:r w:rsidR="006C0C04" w:rsidRPr="00ED0D64">
      <w:rPr>
        <w:sz w:val="18"/>
        <w:szCs w:val="18"/>
      </w:rPr>
      <w:instrText xml:space="preserve"> PAGE   \* MERGEFORMAT </w:instrText>
    </w:r>
    <w:r w:rsidRPr="00ED0D64">
      <w:rPr>
        <w:sz w:val="18"/>
        <w:szCs w:val="18"/>
      </w:rPr>
      <w:fldChar w:fldCharType="separate"/>
    </w:r>
    <w:r w:rsidR="003A2A40">
      <w:rPr>
        <w:noProof/>
        <w:sz w:val="18"/>
        <w:szCs w:val="18"/>
      </w:rPr>
      <w:t>2</w:t>
    </w:r>
    <w:r w:rsidRPr="00ED0D64">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450C" w14:textId="77777777" w:rsidR="006C0C04" w:rsidRPr="00ED0D64" w:rsidRDefault="007A4F9A" w:rsidP="00ED0D64">
    <w:pPr>
      <w:jc w:val="center"/>
    </w:pPr>
    <w:r w:rsidRPr="00ED0D64">
      <w:rPr>
        <w:sz w:val="18"/>
        <w:szCs w:val="18"/>
      </w:rPr>
      <w:fldChar w:fldCharType="begin"/>
    </w:r>
    <w:r w:rsidR="006C0C04" w:rsidRPr="00ED0D64">
      <w:rPr>
        <w:sz w:val="18"/>
        <w:szCs w:val="18"/>
      </w:rPr>
      <w:instrText xml:space="preserve"> PAGE   \* MERGEFORMAT </w:instrText>
    </w:r>
    <w:r w:rsidRPr="00ED0D64">
      <w:rPr>
        <w:sz w:val="18"/>
        <w:szCs w:val="18"/>
      </w:rPr>
      <w:fldChar w:fldCharType="separate"/>
    </w:r>
    <w:r w:rsidR="00834258">
      <w:rPr>
        <w:noProof/>
        <w:sz w:val="18"/>
        <w:szCs w:val="18"/>
      </w:rPr>
      <w:t>3</w:t>
    </w:r>
    <w:r w:rsidRPr="00ED0D64">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80AD" w14:textId="77777777" w:rsidR="003516D4" w:rsidRPr="00091A50" w:rsidRDefault="003516D4" w:rsidP="003516D4">
    <w:pPr>
      <w:tabs>
        <w:tab w:val="left" w:pos="4320"/>
        <w:tab w:val="center" w:pos="5046"/>
        <w:tab w:val="left" w:pos="5760"/>
        <w:tab w:val="left" w:pos="7200"/>
        <w:tab w:val="left" w:pos="7920"/>
        <w:tab w:val="left" w:pos="8156"/>
        <w:tab w:val="left" w:pos="8640"/>
        <w:tab w:val="left" w:pos="9360"/>
      </w:tabs>
      <w:rPr>
        <w:rFonts w:ascii="Times New Roman" w:hAnsi="Times New Roman" w:cs="Times New Roman" w:eastAsia="Times New Roman"/>
        <w:i/>
        <w:sz w:val="16"/>
        <w:szCs w:val="16"/>
      </w:rPr>
    </w:pPr>
    <w:r w:rsidRPr="00DC238C">
      <w:rPr>
        <w:sz w:val="16"/>
        <w:szCs w:val="16"/>
      </w:rPr>
      <w:tab/>
    </w:r>
    <w:r>
      <w:rPr>
        <w:sz w:val="16"/>
        <w:szCs w:val="16"/>
      </w:rPr>
      <w:tab/>
    </w:r>
    <w:r w:rsidR="007A4F9A" w:rsidRPr="00DC238C">
      <w:rPr>
        <w:sz w:val="16"/>
        <w:szCs w:val="16"/>
      </w:rPr>
      <w:fldChar w:fldCharType="begin"/>
    </w:r>
    <w:r w:rsidRPr="00DC238C">
      <w:rPr>
        <w:sz w:val="16"/>
        <w:szCs w:val="16"/>
      </w:rPr>
      <w:instrText xml:space="preserve"> PAGE   \* MERGEFORMAT </w:instrText>
    </w:r>
    <w:r w:rsidR="007A4F9A" w:rsidRPr="00DC238C">
      <w:rPr>
        <w:sz w:val="16"/>
        <w:szCs w:val="16"/>
      </w:rPr>
      <w:fldChar w:fldCharType="separate"/>
    </w:r>
    <w:r w:rsidR="00834258">
      <w:rPr>
        <w:noProof/>
        <w:sz w:val="16"/>
        <w:szCs w:val="16"/>
      </w:rPr>
      <w:t>1</w:t>
    </w:r>
    <w:r w:rsidR="007A4F9A" w:rsidRPr="00DC238C">
      <w:rPr>
        <w:sz w:val="16"/>
        <w:szCs w:val="16"/>
      </w:rPr>
      <w:fldChar w:fldCharType="end"/>
    </w:r>
    <w:r w:rsidRPr="00DC238C">
      <w:rPr>
        <w:sz w:val="16"/>
        <w:szCs w:val="16"/>
      </w:rPr>
      <w:tab/>
    </w:r>
    <w:r w:rsidRPr="00DC238C">
      <w:rPr>
        <w:sz w:val="16"/>
        <w:szCs w:val="16"/>
      </w:rPr>
      <w:tab/>
    </w:r>
    <w:r w:rsidRPr="00DC238C">
      <w:rPr>
        <w:sz w:val="16"/>
        <w:szCs w:val="16"/>
      </w:rPr>
      <w:tab/>
    </w:r>
    <w:r w:rsidRPr="00DC238C">
      <w:rPr>
        <w:sz w:val="16"/>
        <w:szCs w:val="16"/>
      </w:rPr>
      <w:tab/>
    </w:r>
    <w:r w:rsidRPr="00DC238C">
      <w:rPr>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2D6" w14:textId="77777777" w:rsidR="003516D4" w:rsidRPr="00091A50" w:rsidRDefault="002B1E9B" w:rsidP="003516D4">
    <w:pPr>
      <w:tabs>
        <w:tab w:val="left" w:pos="4320"/>
        <w:tab w:val="center" w:pos="5046"/>
        <w:tab w:val="left" w:pos="5760"/>
        <w:tab w:val="left" w:pos="7200"/>
        <w:tab w:val="left" w:pos="7920"/>
        <w:tab w:val="left" w:pos="8156"/>
        <w:tab w:val="left" w:pos="8640"/>
        <w:tab w:val="left" w:pos="9360"/>
      </w:tabs>
      <w:rPr>
        <w:rFonts w:ascii="Times New Roman" w:hAnsi="Times New Roman" w:cs="Times New Roman" w:eastAsia="Times New Roman"/>
        <w:i/>
        <w:sz w:val="16"/>
        <w:szCs w:val="16"/>
      </w:rPr>
    </w:pPr>
    <w:r>
      <w:rPr>
        <w:noProof/>
      </w:rPr>
      <mc:AlternateContent>
        <mc:Choice Requires="wps">
          <w:drawing>
            <wp:anchor distT="0" distB="0" distL="114300" distR="114300" simplePos="0" relativeHeight="251660800" behindDoc="1" locked="0" layoutInCell="1" allowOverlap="0" wp14:anchorId="54A61BCD" wp14:editId="28980C8B">
              <wp:simplePos x="0" y="0"/>
              <wp:positionH relativeFrom="margin">
                <wp:posOffset>3796030</wp:posOffset>
              </wp:positionH>
              <wp:positionV relativeFrom="paragraph">
                <wp:posOffset>-140335</wp:posOffset>
              </wp:positionV>
              <wp:extent cx="2611755" cy="525780"/>
              <wp:effectExtent l="0" t="0" r="0" b="0"/>
              <wp:wrapTight wrapText="bothSides">
                <wp:wrapPolygon edited="0">
                  <wp:start x="0" y="0"/>
                  <wp:lineTo x="0" y="21130"/>
                  <wp:lineTo x="21427" y="21130"/>
                  <wp:lineTo x="21427" y="0"/>
                  <wp:lineTo x="0" y="0"/>
                </wp:wrapPolygon>
              </wp:wrapTigh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75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8763C" w14:textId="77777777" w:rsidR="003516D4" w:rsidRPr="00C16E8A"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EAI Endorsed</w:t>
                          </w:r>
                          <w:r w:rsidRPr="00C16E8A">
                            <w:rPr>
                              <w:rFonts w:ascii="Times New Roman" w:hAnsi="Times New Roman" w:cs="Times New Roman" w:eastAsia="Times New Roman"/>
                              <w:sz w:val="18"/>
                              <w:szCs w:val="18"/>
                            </w:rPr>
                            <w:t xml:space="preserve"> Transactions on </w:t>
                          </w:r>
                          <w:r>
                            <w:rPr>
                              <w:rFonts w:ascii="Times New Roman" w:hAnsi="Times New Roman" w:cs="Times New Roman" w:eastAsia="Times New Roman"/>
                              <w:sz w:val="18"/>
                              <w:szCs w:val="18"/>
                            </w:rPr>
                            <w:t>......................................</w:t>
                          </w:r>
                        </w:p>
                        <w:p w14:paraId="344CAB99" w14:textId="77777777" w:rsidR="003516D4" w:rsidRPr="00637E87"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 2013</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Volume ....</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Issue ....</w:t>
                          </w:r>
                          <w:r w:rsidRPr="00637E87">
                            <w:rPr>
                              <w:rFonts w:ascii="Times New Roman" w:hAnsi="Times New Roman" w:cs="Times New Roman" w:eastAsia="Times New Roman"/>
                              <w:sz w:val="18"/>
                              <w:szCs w:val="18"/>
                            </w:rPr>
                            <w:t>-</w:t>
                          </w:r>
                          <w:r>
                            <w:rPr>
                              <w:rFonts w:ascii="Times New Roman" w:hAnsi="Times New Roman" w:cs="Times New Roman" w:eastAsia="Times New Roman"/>
                              <w:sz w:val="18"/>
                              <w:szCs w:val="18"/>
                            </w:rPr>
                            <w:t>....</w:t>
                          </w:r>
                          <w:r w:rsidRPr="00637E87">
                            <w:rPr>
                              <w:rFonts w:ascii="Times New Roman" w:hAnsi="Times New Roman" w:cs="Times New Roman" w:eastAsia="Times New Roman"/>
                              <w:sz w:val="18"/>
                              <w:szCs w:val="18"/>
                            </w:rPr>
                            <w:t xml:space="preserve"> | e</w:t>
                          </w:r>
                          <w:r>
                            <w:rPr>
                              <w:rFonts w:ascii="Times New Roman" w:hAnsi="Times New Roman" w:cs="Times New Roman" w:eastAsia="Times New Roman"/>
                              <w:sz w:val="18"/>
                              <w:szCs w:val="18"/>
                            </w:rPr>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4A61BCD" id="_x0000_t202" coordsize="21600,21600" o:spt="202" path="m,l,21600r21600,l21600,xe">
              <v:stroke joinstyle="miter"/>
              <v:path gradientshapeok="t" o:connecttype="rect"/>
            </v:shapetype>
            <v:shape id="Text Box 1" o:spid="_x0000_s1026" type="#_x0000_t202" style="position:absolute;margin-left:298.9pt;margin-top:-11.05pt;width:205.65pt;height:41.4pt;z-index:-251655680;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" o:allowoverlap="f" stroked="f">
              <v:textbox style="mso-fit-shape-to-text:t" inset="0,0,0,0">
                <w:txbxContent>
                  <w:p w14:paraId="55D5FDC2" w14:textId="77777777" w:rsidR="003516D4" w:rsidRPr="00C16E8A"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EAI Endorsed</w:t>
                    </w:r>
                    <w:r w:rsidRPr="00C16E8A">
                      <w:rPr>
                        <w:rFonts w:ascii="Times New Roman" w:hAnsi="Times New Roman" w:cs="Times New Roman" w:eastAsia="Times New Roman"/>
                        <w:sz w:val="18"/>
                        <w:szCs w:val="18"/>
                      </w:rPr>
                      <w:t xml:space="preserve"> Transactions on </w:t>
                    </w:r>
                    <w:r>
                      <w:rPr>
                        <w:rFonts w:ascii="Times New Roman" w:hAnsi="Times New Roman" w:cs="Times New Roman" w:eastAsia="Times New Roman"/>
                        <w:sz w:val="18"/>
                        <w:szCs w:val="18"/>
                      </w:rPr>
                      <w:t>......................................</w:t>
                    </w:r>
                  </w:p>
                  <w:p w14:paraId="0D74D159" w14:textId="77777777" w:rsidR="003516D4" w:rsidRPr="00637E87"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 2013</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Volume ....</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Issue ....</w:t>
                    </w:r>
                    <w:r w:rsidRPr="00637E87">
                      <w:rPr>
                        <w:rFonts w:ascii="Times New Roman" w:hAnsi="Times New Roman" w:cs="Times New Roman" w:eastAsia="Times New Roman"/>
                        <w:sz w:val="18"/>
                        <w:szCs w:val="18"/>
                      </w:rPr>
                      <w:t>-</w:t>
                    </w:r>
                    <w:r>
                      <w:rPr>
                        <w:rFonts w:ascii="Times New Roman" w:hAnsi="Times New Roman" w:cs="Times New Roman" w:eastAsia="Times New Roman"/>
                        <w:sz w:val="18"/>
                        <w:szCs w:val="18"/>
                      </w:rPr>
                      <w:t>....</w:t>
                    </w:r>
                    <w:r w:rsidRPr="00637E87">
                      <w:rPr>
                        <w:rFonts w:ascii="Times New Roman" w:hAnsi="Times New Roman" w:cs="Times New Roman" w:eastAsia="Times New Roman"/>
                        <w:sz w:val="18"/>
                        <w:szCs w:val="18"/>
                      </w:rPr>
                      <w:t xml:space="preserve"> | e</w:t>
                    </w:r>
                    <w:r>
                      <w:rPr>
                        <w:rFonts w:ascii="Times New Roman" w:hAnsi="Times New Roman" w:cs="Times New Roman" w:eastAsia="Times New Roman"/>
                        <w:sz w:val="18"/>
                        <w:szCs w:val="18"/>
                      </w:rPr>
                      <w:t>...</w:t>
                    </w:r>
                  </w:p>
                </w:txbxContent>
              </v:textbox>
              <w10:wrap type="tight" anchorx="margin"/>
            </v:shape>
          </w:pict>
        </mc:Fallback>
      </mc:AlternateContent>
    </w:r>
    <w:r>
      <w:rPr>
        <w:noProof/>
      </w:rPr>
      <w:drawing>
        <wp:anchor distT="0" distB="0" distL="114300" distR="114300" simplePos="0" relativeHeight="251661824" behindDoc="1" locked="0" layoutInCell="1" allowOverlap="1" wp14:anchorId="0385716D" wp14:editId="4F465E98">
          <wp:simplePos x="0" y="0"/>
          <wp:positionH relativeFrom="column">
            <wp:posOffset>-635</wp:posOffset>
          </wp:positionH>
          <wp:positionV relativeFrom="paragraph">
            <wp:posOffset>-226695</wp:posOffset>
          </wp:positionV>
          <wp:extent cx="1192530" cy="436245"/>
          <wp:effectExtent l="0" t="0" r="0" b="0"/>
          <wp:wrapTight wrapText="bothSides">
            <wp:wrapPolygon edited="0">
              <wp:start x="6556" y="3773"/>
              <wp:lineTo x="0" y="5659"/>
              <wp:lineTo x="0" y="17921"/>
              <wp:lineTo x="6556" y="20751"/>
              <wp:lineTo x="7936" y="20751"/>
              <wp:lineTo x="21393" y="17921"/>
              <wp:lineTo x="21393" y="5659"/>
              <wp:lineTo x="7936" y="3773"/>
              <wp:lineTo x="6556" y="3773"/>
            </wp:wrapPolygon>
          </wp:wrapTight>
          <wp:docPr id="205525423" name="Picture 3" descr="EAI-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I-logo.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436245"/>
                  </a:xfrm>
                  <a:prstGeom prst="rect">
                    <a:avLst/>
                  </a:prstGeom>
                  <a:noFill/>
                </pic:spPr>
              </pic:pic>
            </a:graphicData>
          </a:graphic>
          <wp14:sizeRelH relativeFrom="page">
            <wp14:pctWidth>0</wp14:pctWidth>
          </wp14:sizeRelH>
          <wp14:sizeRelV relativeFrom="page">
            <wp14:pctHeight>0</wp14:pctHeight>
          </wp14:sizeRelV>
        </wp:anchor>
      </w:drawing>
    </w:r>
    <w:r w:rsidR="003516D4" w:rsidRPr="00DC238C">
      <w:rPr>
        <w:sz w:val="16"/>
        <w:szCs w:val="16"/>
      </w:rPr>
      <w:tab/>
    </w:r>
    <w:r w:rsidR="003516D4">
      <w:rPr>
        <w:sz w:val="16"/>
        <w:szCs w:val="16"/>
      </w:rPr>
      <w:tab/>
    </w:r>
    <w:r w:rsidR="007A4F9A" w:rsidRPr="00DC238C">
      <w:rPr>
        <w:sz w:val="16"/>
        <w:szCs w:val="16"/>
      </w:rPr>
      <w:fldChar w:fldCharType="begin"/>
    </w:r>
    <w:r w:rsidR="003516D4" w:rsidRPr="00DC238C">
      <w:rPr>
        <w:sz w:val="16"/>
        <w:szCs w:val="16"/>
      </w:rPr>
      <w:instrText xml:space="preserve"> PAGE   \* MERGEFORMAT </w:instrText>
    </w:r>
    <w:r w:rsidR="007A4F9A" w:rsidRPr="00DC238C">
      <w:rPr>
        <w:sz w:val="16"/>
        <w:szCs w:val="16"/>
      </w:rPr>
      <w:fldChar w:fldCharType="separate"/>
    </w:r>
    <w:r w:rsidR="003516D4">
      <w:rPr>
        <w:noProof/>
        <w:sz w:val="16"/>
        <w:szCs w:val="16"/>
      </w:rPr>
      <w:t>3</w:t>
    </w:r>
    <w:r w:rsidR="007A4F9A" w:rsidRPr="00DC238C">
      <w:rPr>
        <w:sz w:val="16"/>
        <w:szCs w:val="16"/>
      </w:rPr>
      <w:fldChar w:fldCharType="end"/>
    </w:r>
    <w:r w:rsidR="003516D4" w:rsidRPr="00DC238C">
      <w:rPr>
        <w:sz w:val="16"/>
        <w:szCs w:val="16"/>
      </w:rPr>
      <w:tab/>
    </w:r>
    <w:r w:rsidR="003516D4" w:rsidRPr="00DC238C">
      <w:rPr>
        <w:sz w:val="16"/>
        <w:szCs w:val="16"/>
      </w:rPr>
      <w:tab/>
    </w:r>
    <w:r w:rsidR="003516D4" w:rsidRPr="00DC238C">
      <w:rPr>
        <w:sz w:val="16"/>
        <w:szCs w:val="16"/>
      </w:rPr>
      <w:tab/>
    </w:r>
    <w:r w:rsidR="003516D4" w:rsidRPr="00DC238C">
      <w:rPr>
        <w:sz w:val="16"/>
        <w:szCs w:val="16"/>
      </w:rPr>
      <w:tab/>
    </w:r>
    <w:r w:rsidR="003516D4" w:rsidRPr="00DC238C">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B814" w14:textId="77777777" w:rsidR="0001134E" w:rsidRPr="002A67D0" w:rsidRDefault="0001134E" w:rsidP="002A67D0">
      <w:pPr>
        <w:pStyle w:val="Footer"/>
      </w:pPr>
      <w:r>
        <w:separator/>
      </w:r>
    </w:p>
  </w:footnote>
  <w:footnote w:type="continuationSeparator" w:id="0">
    <w:p w14:paraId="6D061F2A" w14:textId="77777777" w:rsidR="0001134E" w:rsidRDefault="0001134E">
      <w:r>
        <w:continuationSeparator/>
      </w:r>
    </w:p>
  </w:footnote>
  <w:footnote w:type="continuationNotice" w:id="1">
    <w:p w14:paraId="0A454109" w14:textId="77777777" w:rsidR="0001134E" w:rsidRDefault="0001134E"/>
  </w:footnote>
  <w:footnote w:id="2">
    <w:p w14:paraId="3B78BF61" w14:textId="77777777" w:rsidR="00850717" w:rsidRDefault="00850717">
      <w:pPr>
        <w:pStyle w:val="FootnoteText"/>
        <w:rPr>
          <w:szCs w:val="16"/>
        </w:rPr>
      </w:pPr>
      <w:r w:rsidRPr="00850717">
        <w:rPr>
          <w:rStyle w:val="FootnoteReference"/>
          <w:szCs w:val="16"/>
        </w:rPr>
        <w:footnoteRef/>
      </w:r>
      <w:r w:rsidRPr="00850717">
        <w:rPr>
          <w:szCs w:val="16"/>
        </w:rPr>
        <w:t>Corresponding author. Email:</w:t>
      </w:r>
      <w:r w:rsidR="00B1699F">
        <w:rPr>
          <w:szCs w:val="16"/>
        </w:rPr>
        <w:t xml:space="preserve"> </w:t>
      </w:r>
      <w:hyperlink r:id="rId1" w:history="1">
        <w:r w:rsidR="00B26CDD" w:rsidRPr="00947CAC">
          <w:rPr>
            <w:rStyle w:val="Hyperlink"/>
            <w:szCs w:val="16"/>
          </w:rPr>
          <w:t>achmad.solaeman@ugm.ac.id</w:t>
        </w:r>
      </w:hyperlink>
    </w:p>
    <w:p w14:paraId="2252BED0" w14:textId="77777777" w:rsidR="00B26CDD" w:rsidRDefault="00B26CDD">
      <w:pPr>
        <w:pStyle w:val="FootnoteText"/>
        <w:rPr>
          <w:szCs w:val="16"/>
        </w:rPr>
      </w:pPr>
    </w:p>
    <w:p w14:paraId="5B6EEB7B" w14:textId="77777777" w:rsidR="00B26CDD" w:rsidRPr="00850717" w:rsidRDefault="00B26CDD">
      <w:pPr>
        <w:pStyle w:val="FootnoteText"/>
        <w:rPr>
          <w:szCs w:val="16"/>
          <w:lang w:val="sk-SK"/>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9D85" w14:textId="77777777" w:rsidR="0038032C" w:rsidRDefault="0038032C" w:rsidP="00C55CAC">
    <w:pPr>
      <w:pStyle w:val="Header"/>
      <w:rPr>
        <w:rFonts w:ascii="Times New Roman" w:hAnsi="Times New Roman" w:cs="Times New Roman" w:eastAsia="Times New Roman"/>
        <w:sz w:val="18"/>
        <w:szCs w:val="18"/>
      </w:rPr>
    </w:pPr>
  </w:p>
  <w:p w14:paraId="1B54AA0C" w14:textId="77777777" w:rsidR="00C55CAC" w:rsidRPr="00C55CAC" w:rsidRDefault="002B1E9B" w:rsidP="00C55CAC">
    <w:pPr>
      <w:pStyle w:val="Header"/>
      <w:rPr>
        <w:rFonts w:ascii="Times New Roman" w:hAnsi="Times New Roman" w:cs="Times New Roman" w:eastAsia="Times New Roman"/>
        <w:sz w:val="18"/>
        <w:szCs w:val="18"/>
      </w:rPr>
    </w:pPr>
    <w:r>
      <w:rPr>
        <w:noProof/>
      </w:rPr>
      <mc:AlternateContent>
        <mc:Choice Requires="wps">
          <w:drawing>
            <wp:anchor distT="4294967295" distB="4294967295" distL="114300" distR="114300" simplePos="0" relativeHeight="251653632" behindDoc="0" locked="0" layoutInCell="1" allowOverlap="1" wp14:anchorId="110952B8" wp14:editId="7B5F2BD9">
              <wp:simplePos x="0" y="0"/>
              <wp:positionH relativeFrom="column">
                <wp:posOffset>0</wp:posOffset>
              </wp:positionH>
              <wp:positionV relativeFrom="page">
                <wp:posOffset>701039</wp:posOffset>
              </wp:positionV>
              <wp:extent cx="6407785" cy="0"/>
              <wp:effectExtent l="0" t="0" r="0" b="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0316FE" id="_x0000_t32" coordsize="21600,21600" o:spt="32" o:oned="t" path="m,l21600,21600e" filled="f">
              <v:path arrowok="t" fillok="f" o:connecttype="none"/>
              <o:lock v:ext="edit" shapetype="t"/>
            </v:shapetype>
            <v:shape id="AutoShape 5" o:spid="_x0000_s1026" type="#_x0000_t32" style="position:absolute;margin-left:0;margin-top:55.2pt;width:504.5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C55CAC" w:rsidRPr="00C55CAC">
      <w:rPr>
        <w:rFonts w:ascii="Times New Roman" w:hAnsi="Times New Roman" w:cs="Times New Roman" w:eastAsia="Times New Roman"/>
        <w:sz w:val="18"/>
        <w:szCs w:val="18"/>
      </w:rPr>
      <w:t xml:space="preserve">A. Solaeman et al.</w:t>
    </w:r>
    <w:r w:rsidR="00C55CAC" w:rsidRPr="00E541E1">
      <w:rPr>
        <w:rStyle w:val="ICST-OddheaderChar"/>
      </w:rPr>
      <w:t/>
    </w:r>
    <w:r w:rsidR="00C55CAC" w:rsidRPr="00C55CAC">
      <w:rPr>
        <w:rFonts w:ascii="Times New Roman" w:hAnsi="Times New Roman" w:cs="Times New Roman" w:eastAsia="Times New Roman"/>
        <w:sz w:val="18"/>
        <w:szCs w:val="18"/>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625A" w14:textId="77777777" w:rsidR="0099690F" w:rsidRPr="0099690F" w:rsidRDefault="002B1E9B" w:rsidP="0099690F">
    <w:pPr>
      <w:pStyle w:val="Header"/>
      <w:tabs>
        <w:tab w:val="clear" w:pos="4513"/>
        <w:tab w:val="clear" w:pos="9026"/>
        <w:tab w:val="left" w:pos="9300"/>
      </w:tabs>
      <w:jc w:val="right"/>
    </w:pPr>
    <w:r>
      <w:rPr>
        <w:noProof/>
      </w:rPr>
      <mc:AlternateContent>
        <mc:Choice Requires="wps">
          <w:drawing>
            <wp:anchor distT="4294967295" distB="4294967295" distL="114300" distR="114300" simplePos="0" relativeHeight="251659776" behindDoc="0" locked="0" layoutInCell="1" allowOverlap="1" wp14:anchorId="2CFA6614" wp14:editId="5F04A26B">
              <wp:simplePos x="0" y="0"/>
              <wp:positionH relativeFrom="column">
                <wp:posOffset>0</wp:posOffset>
              </wp:positionH>
              <wp:positionV relativeFrom="page">
                <wp:posOffset>701039</wp:posOffset>
              </wp:positionV>
              <wp:extent cx="6407785" cy="0"/>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7CD928" id="_x0000_t32" coordsize="21600,21600" o:spt="32" o:oned="t" path="m,l21600,21600e" filled="f">
              <v:path arrowok="t" fillok="f" o:connecttype="none"/>
              <o:lock v:ext="edit" shapetype="t"/>
            </v:shapetype>
            <v:shape id="AutoShape 5" o:spid="_x0000_s1026" type="#_x0000_t32" style="position:absolute;margin-left:0;margin-top:55.2pt;width:504.5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99690F" w:rsidRPr="0099690F">
      <w:t>GAMA-RCA: Token-Efficient, Auditable Root Cause Analysis</w:t>
    </w:r>
  </w:p>
  <w:p w14:paraId="2C99078A" w14:textId="77777777" w:rsidR="006C0C04" w:rsidRDefault="006C0C04" w:rsidP="0099690F">
    <w:pPr>
      <w:jc w:val="right"/>
    </w:pPr>
  </w:p>
  <w:p w14:paraId="05C301BE" w14:textId="77777777" w:rsidR="0099690F" w:rsidRDefault="0099690F" w:rsidP="0099690F">
    <w:pPr>
      <w:jc w:val="right"/>
    </w:pPr>
  </w:p>
  <w:p w14:paraId="252689E0" w14:textId="77777777" w:rsidR="0099690F" w:rsidRPr="00EA3722" w:rsidRDefault="0099690F" w:rsidP="0099690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3684" w14:textId="77777777" w:rsidR="003516D4" w:rsidRPr="005F4307" w:rsidRDefault="003516D4" w:rsidP="003516D4">
    <w:pPr>
      <w:pStyle w:val="Header"/>
      <w:tabs>
        <w:tab w:val="clear" w:pos="4513"/>
        <w:tab w:val="clear" w:pos="9026"/>
        <w:tab w:val="left" w:pos="5625"/>
      </w:tabs>
      <w:rPr>
        <w:rFonts w:ascii="Times New Roman" w:hAnsi="Times New Roman" w:cs="Times New Roman" w:eastAsia="Times New Roman"/>
        <w:b/>
        <w:sz w:val="44"/>
        <w:szCs w:val="44"/>
      </w:rPr>
    </w:pPr>
    <w:r>
      <w:rPr>
        <w:rFonts w:ascii="Times New Roman" w:hAnsi="Times New Roman" w:cs="Times New Roman" w:eastAsia="Times New Roman"/>
        <w:b/>
        <w:sz w:val="44"/>
        <w:szCs w:val="44"/>
      </w:rPr>
      <w:t>EAI Endorsed</w:t>
    </w:r>
    <w:r w:rsidRPr="005F4307">
      <w:rPr>
        <w:rFonts w:ascii="Times New Roman" w:hAnsi="Times New Roman" w:cs="Times New Roman" w:eastAsia="Times New Roman"/>
        <w:b/>
        <w:sz w:val="44"/>
        <w:szCs w:val="44"/>
      </w:rPr>
      <w:t xml:space="preserve"> </w:t>
    </w:r>
    <w:r w:rsidRPr="00FE1265">
      <w:rPr>
        <w:rFonts w:ascii="Times New Roman" w:hAnsi="Times New Roman" w:cs="Times New Roman" w:eastAsia="Times New Roman"/>
        <w:b/>
        <w:sz w:val="44"/>
        <w:szCs w:val="44"/>
      </w:rPr>
      <w:t>Transactions</w:t>
    </w:r>
    <w:r>
      <w:rPr>
        <w:rFonts w:ascii="Times New Roman" w:hAnsi="Times New Roman" w:cs="Times New Roman" w:eastAsia="Times New Roman"/>
        <w:b/>
        <w:sz w:val="44"/>
        <w:szCs w:val="44"/>
      </w:rPr>
      <w:tab/>
    </w:r>
  </w:p>
  <w:p w14:paraId="01D655AD" w14:textId="77777777" w:rsidR="003516D4" w:rsidRPr="00413A00" w:rsidRDefault="002B1E9B" w:rsidP="003516D4">
    <w:pPr>
      <w:pStyle w:val="Header"/>
      <w:tabs>
        <w:tab w:val="clear" w:pos="4513"/>
        <w:tab w:val="clear" w:pos="9026"/>
        <w:tab w:val="left" w:pos="4425"/>
        <w:tab w:val="left" w:pos="7174"/>
      </w:tabs>
      <w:rPr>
        <w:rFonts w:ascii="Times New Roman" w:hAnsi="Times New Roman" w:eastAsia="Times New Roman" w:cs="Times New Roman"/>
        <w:b/>
        <w:sz w:val="28"/>
        <w:szCs w:val="28"/>
        <w:lang w:val="en-US"/>
      </w:rPr>
    </w:pPr>
    <w:r>
      <w:rPr>
        <w:noProof/>
      </w:rPr>
      <w:drawing>
        <wp:anchor distT="0" distB="0" distL="114300" distR="114300" simplePos="0" relativeHeight="251657728" behindDoc="0" locked="0" layoutInCell="1" allowOverlap="1" wp14:anchorId="2DB725E6" wp14:editId="3E4757E6">
          <wp:simplePos x="0" y="0"/>
          <wp:positionH relativeFrom="column">
            <wp:posOffset>5727700</wp:posOffset>
          </wp:positionH>
          <wp:positionV relativeFrom="paragraph">
            <wp:posOffset>18415</wp:posOffset>
          </wp:positionV>
          <wp:extent cx="621030" cy="184150"/>
          <wp:effectExtent l="0" t="0" r="0" b="0"/>
          <wp:wrapNone/>
          <wp:docPr id="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030" cy="1841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294967295" distB="4294967295" distL="114300" distR="114300" simplePos="0" relativeHeight="251655680" behindDoc="0" locked="0" layoutInCell="1" allowOverlap="1" wp14:anchorId="6635C637" wp14:editId="2CA65747">
              <wp:simplePos x="0" y="0"/>
              <wp:positionH relativeFrom="column">
                <wp:posOffset>0</wp:posOffset>
              </wp:positionH>
              <wp:positionV relativeFrom="paragraph">
                <wp:posOffset>269239</wp:posOffset>
              </wp:positionV>
              <wp:extent cx="6407785" cy="0"/>
              <wp:effectExtent l="0" t="0" r="0" b="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88E149" id="_x0000_t32" coordsize="21600,21600" o:spt="32" o:oned="t" path="m,l21600,21600e" filled="f">
              <v:path arrowok="t" fillok="f" o:connecttype="none"/>
              <o:lock v:ext="edit" shapetype="t"/>
            </v:shapetype>
            <v:shape id="AutoShape 4" o:spid="_x0000_s1026" type="#_x0000_t32" style="position:absolute;margin-left:0;margin-top:21.2pt;width:504.5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" strokeweight="1pt"/>
          </w:pict>
        </mc:Fallback>
      </mc:AlternateContent>
    </w:r>
    <w:r w:rsidR="003516D4" w:rsidRPr="005F4307">
      <w:rPr>
        <w:rFonts w:ascii="Times New Roman" w:hAnsi="Times New Roman" w:cs="Times New Roman" w:eastAsia="Times New Roman"/>
        <w:b/>
        <w:sz w:val="28"/>
        <w:szCs w:val="28"/>
      </w:rPr>
      <w:t xml:space="preserve">on </w:t>
    </w:r>
    <w:r w:rsidR="003516D4">
      <w:rPr>
        <w:rFonts w:ascii="Times New Roman" w:hAnsi="Times New Roman" w:cs="Times New Roman" w:eastAsia="Times New Roman"/>
        <w:b/>
        <w:sz w:val="28"/>
        <w:szCs w:val="28"/>
      </w:rPr>
      <w:t>__________________________</w:t>
    </w:r>
    <w:r w:rsidR="003516D4">
      <w:rPr>
        <w:rFonts w:ascii="Times New Roman" w:hAnsi="Times New Roman" w:eastAsia="Times New Roman" w:cs="Times New Roman"/>
        <w:color w:val="262626"/>
        <w:sz w:val="26"/>
        <w:szCs w:val="26"/>
      </w:rPr>
      <w:tab/>
    </w:r>
    <w:r w:rsidR="0019785C">
      <w:rPr>
        <w:color w:val="7F7F7F"/>
        <w:sz w:val="26"/>
        <w:szCs w:val="26"/>
      </w:rPr>
      <w:t>Research Article</w:t>
    </w:r>
  </w:p>
  <w:p w14:paraId="16A17ABC" w14:textId="77777777" w:rsidR="003516D4" w:rsidRPr="00413A00" w:rsidRDefault="003516D4" w:rsidP="003516D4">
    <w:pPr>
      <w:pStyle w:val="Header"/>
    </w:pPr>
  </w:p>
  <w:p w14:paraId="4BEE2A35" w14:textId="77777777" w:rsidR="003516D4" w:rsidRPr="00440E0B" w:rsidRDefault="003516D4" w:rsidP="003516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D153" w14:textId="77777777" w:rsidR="0038032C" w:rsidRDefault="0038032C" w:rsidP="0038032C">
    <w:pPr>
      <w:jc w:val="right"/>
      <w:rPr>
        <w:i/>
      </w:rPr>
    </w:pPr>
  </w:p>
  <w:p w14:paraId="128B520B" w14:textId="77777777" w:rsidR="0038032C" w:rsidRPr="00B22118" w:rsidRDefault="002B1E9B" w:rsidP="00E541E1">
    <w:pPr>
      <w:pStyle w:val="ICST-EvenHeader"/>
    </w:pPr>
    <w:r>
      <w:rPr>
        <w:noProof/>
      </w:rPr>
      <mc:AlternateContent>
        <mc:Choice Requires="wps">
          <w:drawing>
            <wp:anchor distT="4294967295" distB="4294967295" distL="114300" distR="114300" simplePos="0" relativeHeight="251654656" behindDoc="0" locked="0" layoutInCell="1" allowOverlap="1" wp14:anchorId="29E86CE3" wp14:editId="758E640A">
              <wp:simplePos x="0" y="0"/>
              <wp:positionH relativeFrom="column">
                <wp:posOffset>0</wp:posOffset>
              </wp:positionH>
              <wp:positionV relativeFrom="page">
                <wp:posOffset>701039</wp:posOffset>
              </wp:positionV>
              <wp:extent cx="6407785"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FD8CE5" id="_x0000_t32" coordsize="21600,21600" o:spt="32" o:oned="t" path="m,l21600,21600e" filled="f">
              <v:path arrowok="t" fillok="f" o:connecttype="none"/>
              <o:lock v:ext="edit" shapetype="t"/>
            </v:shapetype>
            <v:shape id="AutoShape 6" o:spid="_x0000_s1026" type="#_x0000_t32" style="position:absolute;margin-left:0;margin-top:55.2pt;width:504.5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38032C">
      <w:t>This is the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89"/>
    <w:multiLevelType w:val="hybridMultilevel"/>
    <w:tmpl w:val="6A3AB0DA"/>
    <w:lvl w:ilvl="0" w:tplc="1FD6AE70">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 w15:restartNumberingAfterBreak="0">
    <w:nsid w:val="0F266323"/>
    <w:multiLevelType w:val="hybridMultilevel"/>
    <w:tmpl w:val="F67C9C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926756"/>
    <w:multiLevelType w:val="hybridMultilevel"/>
    <w:tmpl w:val="995CD57C"/>
    <w:lvl w:ilvl="0" w:tplc="27FEC2BE">
      <w:start w:val="1"/>
      <w:numFmt w:val="lowerRoman"/>
      <w:lvlText w:val="(%1)"/>
      <w:lvlJc w:val="left"/>
      <w:pPr>
        <w:ind w:left="947" w:hanging="72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179A3566"/>
    <w:multiLevelType w:val="hybridMultilevel"/>
    <w:tmpl w:val="9800D9F4"/>
    <w:lvl w:ilvl="0" w:tplc="DD3CF1D2">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4" w15:restartNumberingAfterBreak="0">
    <w:nsid w:val="17A72772"/>
    <w:multiLevelType w:val="hybridMultilevel"/>
    <w:tmpl w:val="CF5A6296"/>
    <w:lvl w:ilvl="0" w:tplc="CD7CB2BA">
      <w:start w:val="1"/>
      <w:numFmt w:val="lowerLetter"/>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5" w15:restartNumberingAfterBreak="0">
    <w:nsid w:val="206C12C5"/>
    <w:multiLevelType w:val="hybridMultilevel"/>
    <w:tmpl w:val="784A0A1A"/>
    <w:lvl w:ilvl="0" w:tplc="B2E2061C">
      <w:start w:val="1"/>
      <w:numFmt w:val="lowerRoman"/>
      <w:lvlText w:val="(%1)"/>
      <w:lvlJc w:val="right"/>
      <w:pPr>
        <w:tabs>
          <w:tab w:val="num" w:pos="947"/>
        </w:tabs>
        <w:ind w:left="947" w:hanging="360"/>
      </w:pPr>
      <w:rPr>
        <w:rFonts w:hint="default"/>
      </w:rPr>
    </w:lvl>
    <w:lvl w:ilvl="1" w:tplc="F8069B5A">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6" w15:restartNumberingAfterBreak="0">
    <w:nsid w:val="20AA61AF"/>
    <w:multiLevelType w:val="hybridMultilevel"/>
    <w:tmpl w:val="728E4ED6"/>
    <w:lvl w:ilvl="0" w:tplc="651C52CE">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7" w15:restartNumberingAfterBreak="0">
    <w:nsid w:val="23344381"/>
    <w:multiLevelType w:val="multilevel"/>
    <w:tmpl w:val="04C0835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23E95F93"/>
    <w:multiLevelType w:val="multilevel"/>
    <w:tmpl w:val="905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B807E2"/>
    <w:multiLevelType w:val="hybridMultilevel"/>
    <w:tmpl w:val="FC26C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B7C25"/>
    <w:multiLevelType w:val="hybridMultilevel"/>
    <w:tmpl w:val="C3A87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F6F06"/>
    <w:multiLevelType w:val="hybridMultilevel"/>
    <w:tmpl w:val="7556CE10"/>
    <w:lvl w:ilvl="0" w:tplc="B2E2061C">
      <w:start w:val="1"/>
      <w:numFmt w:val="lowerRoman"/>
      <w:lvlText w:val="(%1)"/>
      <w:lvlJc w:val="righ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2" w15:restartNumberingAfterBreak="0">
    <w:nsid w:val="47E5603D"/>
    <w:multiLevelType w:val="hybridMultilevel"/>
    <w:tmpl w:val="55C01434"/>
    <w:lvl w:ilvl="0" w:tplc="4ECA2D38">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3" w15:restartNumberingAfterBreak="0">
    <w:nsid w:val="52E3033A"/>
    <w:multiLevelType w:val="hybridMultilevel"/>
    <w:tmpl w:val="08783638"/>
    <w:lvl w:ilvl="0" w:tplc="0809000F">
      <w:start w:val="1"/>
      <w:numFmt w:val="decimal"/>
      <w:lvlText w:val="%1."/>
      <w:lvlJc w:val="lef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4"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5" w15:restartNumberingAfterBreak="0">
    <w:nsid w:val="5D6E10A7"/>
    <w:multiLevelType w:val="hybridMultilevel"/>
    <w:tmpl w:val="E1C84B7E"/>
    <w:lvl w:ilvl="0" w:tplc="C2E0BC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A5D6A"/>
    <w:multiLevelType w:val="hybridMultilevel"/>
    <w:tmpl w:val="79EA987A"/>
    <w:lvl w:ilvl="0" w:tplc="25FA5A32">
      <w:start w:val="1"/>
      <w:numFmt w:val="lowerRoman"/>
      <w:pStyle w:val="ICST-Listnumbered"/>
      <w:lvlText w:val="(%1)"/>
      <w:lvlJc w:val="righ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7" w15:restartNumberingAfterBreak="0">
    <w:nsid w:val="5FE81D23"/>
    <w:multiLevelType w:val="hybridMultilevel"/>
    <w:tmpl w:val="FDD8E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92BF3"/>
    <w:multiLevelType w:val="hybridMultilevel"/>
    <w:tmpl w:val="482C4920"/>
    <w:lvl w:ilvl="0" w:tplc="BE7E6AE8">
      <w:start w:val="1"/>
      <w:numFmt w:val="decimal"/>
      <w:pStyle w:val="ICST-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89658D"/>
    <w:multiLevelType w:val="hybridMultilevel"/>
    <w:tmpl w:val="4E4E71A4"/>
    <w:lvl w:ilvl="0" w:tplc="948E8344">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A84BA0"/>
    <w:multiLevelType w:val="hybridMultilevel"/>
    <w:tmpl w:val="8586EF4C"/>
    <w:lvl w:ilvl="0" w:tplc="E164648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74C32663"/>
    <w:multiLevelType w:val="hybridMultilevel"/>
    <w:tmpl w:val="E8AA6A8A"/>
    <w:lvl w:ilvl="0" w:tplc="0809000F">
      <w:start w:val="1"/>
      <w:numFmt w:val="decimal"/>
      <w:lvlText w:val="%1."/>
      <w:lvlJc w:val="left"/>
      <w:pPr>
        <w:tabs>
          <w:tab w:val="num" w:pos="947"/>
        </w:tabs>
        <w:ind w:left="947" w:hanging="360"/>
      </w:pPr>
      <w:rPr>
        <w:rFonts w:hint="default"/>
      </w:rPr>
    </w:lvl>
    <w:lvl w:ilvl="1" w:tplc="8BEEC638">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22"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1A1C6F"/>
    <w:multiLevelType w:val="multilevel"/>
    <w:tmpl w:val="9800D9F4"/>
    <w:lvl w:ilvl="0">
      <w:start w:val="1"/>
      <w:numFmt w:val="bullet"/>
      <w:lvlText w:val=""/>
      <w:lvlJc w:val="left"/>
      <w:pPr>
        <w:tabs>
          <w:tab w:val="num" w:pos="947"/>
        </w:tabs>
        <w:ind w:left="947" w:hanging="360"/>
      </w:pPr>
      <w:rPr>
        <w:rFonts w:ascii="Symbol" w:hAnsi="Symbol" w:hint="default"/>
      </w:rPr>
    </w:lvl>
    <w:lvl w:ilvl="1">
      <w:start w:val="1"/>
      <w:numFmt w:val="bullet"/>
      <w:lvlText w:val="o"/>
      <w:lvlJc w:val="left"/>
      <w:pPr>
        <w:tabs>
          <w:tab w:val="num" w:pos="1667"/>
        </w:tabs>
        <w:ind w:left="1667" w:hanging="360"/>
      </w:pPr>
      <w:rPr>
        <w:rFonts w:ascii="Courier New" w:hAnsi="Courier New" w:cs="Courier New" w:hint="default"/>
      </w:rPr>
    </w:lvl>
    <w:lvl w:ilvl="2">
      <w:start w:val="1"/>
      <w:numFmt w:val="bullet"/>
      <w:lvlText w:val=""/>
      <w:lvlJc w:val="left"/>
      <w:pPr>
        <w:tabs>
          <w:tab w:val="num" w:pos="2387"/>
        </w:tabs>
        <w:ind w:left="2387" w:hanging="360"/>
      </w:pPr>
      <w:rPr>
        <w:rFonts w:ascii="Wingdings" w:hAnsi="Wingdings" w:hint="default"/>
      </w:rPr>
    </w:lvl>
    <w:lvl w:ilvl="3">
      <w:start w:val="1"/>
      <w:numFmt w:val="bullet"/>
      <w:lvlText w:val=""/>
      <w:lvlJc w:val="left"/>
      <w:pPr>
        <w:tabs>
          <w:tab w:val="num" w:pos="3107"/>
        </w:tabs>
        <w:ind w:left="3107" w:hanging="360"/>
      </w:pPr>
      <w:rPr>
        <w:rFonts w:ascii="Symbol" w:hAnsi="Symbol" w:hint="default"/>
      </w:rPr>
    </w:lvl>
    <w:lvl w:ilvl="4">
      <w:start w:val="1"/>
      <w:numFmt w:val="bullet"/>
      <w:lvlText w:val="o"/>
      <w:lvlJc w:val="left"/>
      <w:pPr>
        <w:tabs>
          <w:tab w:val="num" w:pos="3827"/>
        </w:tabs>
        <w:ind w:left="3827" w:hanging="360"/>
      </w:pPr>
      <w:rPr>
        <w:rFonts w:ascii="Courier New" w:hAnsi="Courier New" w:cs="Courier New" w:hint="default"/>
      </w:rPr>
    </w:lvl>
    <w:lvl w:ilvl="5">
      <w:start w:val="1"/>
      <w:numFmt w:val="bullet"/>
      <w:lvlText w:val=""/>
      <w:lvlJc w:val="left"/>
      <w:pPr>
        <w:tabs>
          <w:tab w:val="num" w:pos="4547"/>
        </w:tabs>
        <w:ind w:left="4547" w:hanging="360"/>
      </w:pPr>
      <w:rPr>
        <w:rFonts w:ascii="Wingdings" w:hAnsi="Wingdings" w:hint="default"/>
      </w:rPr>
    </w:lvl>
    <w:lvl w:ilvl="6">
      <w:start w:val="1"/>
      <w:numFmt w:val="bullet"/>
      <w:lvlText w:val=""/>
      <w:lvlJc w:val="left"/>
      <w:pPr>
        <w:tabs>
          <w:tab w:val="num" w:pos="5267"/>
        </w:tabs>
        <w:ind w:left="5267" w:hanging="360"/>
      </w:pPr>
      <w:rPr>
        <w:rFonts w:ascii="Symbol" w:hAnsi="Symbol" w:hint="default"/>
      </w:rPr>
    </w:lvl>
    <w:lvl w:ilvl="7">
      <w:start w:val="1"/>
      <w:numFmt w:val="bullet"/>
      <w:lvlText w:val="o"/>
      <w:lvlJc w:val="left"/>
      <w:pPr>
        <w:tabs>
          <w:tab w:val="num" w:pos="5987"/>
        </w:tabs>
        <w:ind w:left="5987" w:hanging="360"/>
      </w:pPr>
      <w:rPr>
        <w:rFonts w:ascii="Courier New" w:hAnsi="Courier New" w:cs="Courier New" w:hint="default"/>
      </w:rPr>
    </w:lvl>
    <w:lvl w:ilvl="8">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7D9467AD"/>
    <w:multiLevelType w:val="multilevel"/>
    <w:tmpl w:val="8EF037A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946307172">
    <w:abstractNumId w:val="22"/>
  </w:num>
  <w:num w:numId="2" w16cid:durableId="1889218055">
    <w:abstractNumId w:val="22"/>
  </w:num>
  <w:num w:numId="3" w16cid:durableId="160778899">
    <w:abstractNumId w:val="20"/>
  </w:num>
  <w:num w:numId="4" w16cid:durableId="259219158">
    <w:abstractNumId w:val="3"/>
  </w:num>
  <w:num w:numId="5" w16cid:durableId="2017884272">
    <w:abstractNumId w:val="23"/>
  </w:num>
  <w:num w:numId="6" w16cid:durableId="1469782432">
    <w:abstractNumId w:val="12"/>
  </w:num>
  <w:num w:numId="7" w16cid:durableId="1500777554">
    <w:abstractNumId w:val="0"/>
  </w:num>
  <w:num w:numId="8" w16cid:durableId="696810954">
    <w:abstractNumId w:val="8"/>
  </w:num>
  <w:num w:numId="9" w16cid:durableId="1260720965">
    <w:abstractNumId w:val="13"/>
  </w:num>
  <w:num w:numId="10" w16cid:durableId="418255116">
    <w:abstractNumId w:val="21"/>
  </w:num>
  <w:num w:numId="11" w16cid:durableId="449012524">
    <w:abstractNumId w:val="11"/>
  </w:num>
  <w:num w:numId="12" w16cid:durableId="1170028054">
    <w:abstractNumId w:val="5"/>
  </w:num>
  <w:num w:numId="13" w16cid:durableId="257834558">
    <w:abstractNumId w:val="6"/>
  </w:num>
  <w:num w:numId="14" w16cid:durableId="147479120">
    <w:abstractNumId w:val="16"/>
  </w:num>
  <w:num w:numId="15" w16cid:durableId="1710254698">
    <w:abstractNumId w:val="4"/>
  </w:num>
  <w:num w:numId="16" w16cid:durableId="1251741161">
    <w:abstractNumId w:val="18"/>
  </w:num>
  <w:num w:numId="17" w16cid:durableId="1705016090">
    <w:abstractNumId w:val="14"/>
  </w:num>
  <w:num w:numId="18" w16cid:durableId="1785153023">
    <w:abstractNumId w:val="9"/>
  </w:num>
  <w:num w:numId="19" w16cid:durableId="657149325">
    <w:abstractNumId w:val="7"/>
  </w:num>
  <w:num w:numId="20" w16cid:durableId="1466964622">
    <w:abstractNumId w:val="15"/>
  </w:num>
  <w:num w:numId="21" w16cid:durableId="1057362084">
    <w:abstractNumId w:val="2"/>
  </w:num>
  <w:num w:numId="22" w16cid:durableId="74597199">
    <w:abstractNumId w:val="1"/>
  </w:num>
  <w:num w:numId="23" w16cid:durableId="947271781">
    <w:abstractNumId w:val="10"/>
  </w:num>
  <w:num w:numId="24" w16cid:durableId="278028617">
    <w:abstractNumId w:val="24"/>
  </w:num>
  <w:num w:numId="25" w16cid:durableId="1825200996">
    <w:abstractNumId w:val="17"/>
  </w:num>
  <w:num w:numId="26" w16cid:durableId="7730150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72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pos w:val="beneathText"/>
    <w:numFmt w:val="chicago"/>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zMTIxMDY1NTU0MzVV0lEKTi0uzszPAykwqgUAAjVONCwAAAA="/>
  </w:docVars>
  <w:rsids>
    <w:rsidRoot w:val="0019785C"/>
    <w:rsid w:val="00000EFF"/>
    <w:rsid w:val="00002599"/>
    <w:rsid w:val="0001134E"/>
    <w:rsid w:val="00021CB2"/>
    <w:rsid w:val="00034F96"/>
    <w:rsid w:val="0003789F"/>
    <w:rsid w:val="00062258"/>
    <w:rsid w:val="00083018"/>
    <w:rsid w:val="000910EF"/>
    <w:rsid w:val="000A6086"/>
    <w:rsid w:val="000B2108"/>
    <w:rsid w:val="000C745B"/>
    <w:rsid w:val="000D14AE"/>
    <w:rsid w:val="000E26B2"/>
    <w:rsid w:val="000E4761"/>
    <w:rsid w:val="000E7320"/>
    <w:rsid w:val="000F211F"/>
    <w:rsid w:val="00107CF4"/>
    <w:rsid w:val="001121ED"/>
    <w:rsid w:val="00113CC0"/>
    <w:rsid w:val="00143032"/>
    <w:rsid w:val="00156524"/>
    <w:rsid w:val="001958B1"/>
    <w:rsid w:val="0019785C"/>
    <w:rsid w:val="001C59B9"/>
    <w:rsid w:val="001C736E"/>
    <w:rsid w:val="001D58E9"/>
    <w:rsid w:val="001E2781"/>
    <w:rsid w:val="001F0D0D"/>
    <w:rsid w:val="00202D2B"/>
    <w:rsid w:val="00211888"/>
    <w:rsid w:val="00212372"/>
    <w:rsid w:val="002252C6"/>
    <w:rsid w:val="00231F96"/>
    <w:rsid w:val="0023793D"/>
    <w:rsid w:val="002402EB"/>
    <w:rsid w:val="002425C0"/>
    <w:rsid w:val="00251F41"/>
    <w:rsid w:val="00284ADD"/>
    <w:rsid w:val="00287AE0"/>
    <w:rsid w:val="00292481"/>
    <w:rsid w:val="002936E7"/>
    <w:rsid w:val="002A67D0"/>
    <w:rsid w:val="002B1E9B"/>
    <w:rsid w:val="002C05FA"/>
    <w:rsid w:val="002D4643"/>
    <w:rsid w:val="002E7277"/>
    <w:rsid w:val="002F285A"/>
    <w:rsid w:val="002F5CE7"/>
    <w:rsid w:val="003112B8"/>
    <w:rsid w:val="0031213F"/>
    <w:rsid w:val="00321123"/>
    <w:rsid w:val="00335BD9"/>
    <w:rsid w:val="0034262B"/>
    <w:rsid w:val="003516D4"/>
    <w:rsid w:val="00367545"/>
    <w:rsid w:val="0038032C"/>
    <w:rsid w:val="003A2A40"/>
    <w:rsid w:val="003C0485"/>
    <w:rsid w:val="003C1102"/>
    <w:rsid w:val="003C4E0C"/>
    <w:rsid w:val="003D10E5"/>
    <w:rsid w:val="003D1561"/>
    <w:rsid w:val="003D4C44"/>
    <w:rsid w:val="00417071"/>
    <w:rsid w:val="00430E20"/>
    <w:rsid w:val="00434B70"/>
    <w:rsid w:val="00440313"/>
    <w:rsid w:val="004662BC"/>
    <w:rsid w:val="00470369"/>
    <w:rsid w:val="00471D92"/>
    <w:rsid w:val="00484D2A"/>
    <w:rsid w:val="00487FBA"/>
    <w:rsid w:val="0049356C"/>
    <w:rsid w:val="004A19D2"/>
    <w:rsid w:val="004B1C71"/>
    <w:rsid w:val="004F1D55"/>
    <w:rsid w:val="004F726E"/>
    <w:rsid w:val="0051273F"/>
    <w:rsid w:val="0052137D"/>
    <w:rsid w:val="0052197F"/>
    <w:rsid w:val="00523AB3"/>
    <w:rsid w:val="00527CE9"/>
    <w:rsid w:val="00534971"/>
    <w:rsid w:val="00534D9C"/>
    <w:rsid w:val="00535AB3"/>
    <w:rsid w:val="005378CA"/>
    <w:rsid w:val="0054216F"/>
    <w:rsid w:val="005425A8"/>
    <w:rsid w:val="005766C7"/>
    <w:rsid w:val="0058257A"/>
    <w:rsid w:val="0059229B"/>
    <w:rsid w:val="00594747"/>
    <w:rsid w:val="005A667A"/>
    <w:rsid w:val="005B2854"/>
    <w:rsid w:val="005B2B58"/>
    <w:rsid w:val="005B3721"/>
    <w:rsid w:val="005B7FCC"/>
    <w:rsid w:val="005D56F9"/>
    <w:rsid w:val="005F0300"/>
    <w:rsid w:val="00601EAA"/>
    <w:rsid w:val="00613D25"/>
    <w:rsid w:val="006145BB"/>
    <w:rsid w:val="0061491B"/>
    <w:rsid w:val="0065142B"/>
    <w:rsid w:val="006716FA"/>
    <w:rsid w:val="00681911"/>
    <w:rsid w:val="006C0C04"/>
    <w:rsid w:val="006C5198"/>
    <w:rsid w:val="006D3597"/>
    <w:rsid w:val="006D5FC8"/>
    <w:rsid w:val="006F2FF6"/>
    <w:rsid w:val="00725EE0"/>
    <w:rsid w:val="00727574"/>
    <w:rsid w:val="00734A67"/>
    <w:rsid w:val="0073562A"/>
    <w:rsid w:val="00775A8E"/>
    <w:rsid w:val="007A4F9A"/>
    <w:rsid w:val="007A7FF9"/>
    <w:rsid w:val="007B341D"/>
    <w:rsid w:val="007C7093"/>
    <w:rsid w:val="007D3DDE"/>
    <w:rsid w:val="007D5A12"/>
    <w:rsid w:val="007E739D"/>
    <w:rsid w:val="007F0367"/>
    <w:rsid w:val="007F11CB"/>
    <w:rsid w:val="00815FAA"/>
    <w:rsid w:val="00824738"/>
    <w:rsid w:val="00825EDE"/>
    <w:rsid w:val="00834258"/>
    <w:rsid w:val="00850717"/>
    <w:rsid w:val="00855EF1"/>
    <w:rsid w:val="00862E00"/>
    <w:rsid w:val="00866181"/>
    <w:rsid w:val="0088588E"/>
    <w:rsid w:val="0089062A"/>
    <w:rsid w:val="008C20B3"/>
    <w:rsid w:val="008C3874"/>
    <w:rsid w:val="008E30D7"/>
    <w:rsid w:val="008F0AC1"/>
    <w:rsid w:val="00900C60"/>
    <w:rsid w:val="00911E9B"/>
    <w:rsid w:val="0092068F"/>
    <w:rsid w:val="009261FB"/>
    <w:rsid w:val="00935BEB"/>
    <w:rsid w:val="0095398B"/>
    <w:rsid w:val="0097687A"/>
    <w:rsid w:val="00985634"/>
    <w:rsid w:val="00996752"/>
    <w:rsid w:val="0099690F"/>
    <w:rsid w:val="009A5F27"/>
    <w:rsid w:val="009B215C"/>
    <w:rsid w:val="009B697B"/>
    <w:rsid w:val="009C69CC"/>
    <w:rsid w:val="009F2E62"/>
    <w:rsid w:val="00A00E1F"/>
    <w:rsid w:val="00A2389D"/>
    <w:rsid w:val="00A26B36"/>
    <w:rsid w:val="00A32815"/>
    <w:rsid w:val="00A3712C"/>
    <w:rsid w:val="00A5302F"/>
    <w:rsid w:val="00A77830"/>
    <w:rsid w:val="00A87177"/>
    <w:rsid w:val="00A95931"/>
    <w:rsid w:val="00AA2013"/>
    <w:rsid w:val="00AB03AF"/>
    <w:rsid w:val="00AB31F2"/>
    <w:rsid w:val="00AB3E47"/>
    <w:rsid w:val="00AB65F6"/>
    <w:rsid w:val="00AC74DA"/>
    <w:rsid w:val="00AD1725"/>
    <w:rsid w:val="00AD6296"/>
    <w:rsid w:val="00AE6014"/>
    <w:rsid w:val="00B00701"/>
    <w:rsid w:val="00B1699F"/>
    <w:rsid w:val="00B22118"/>
    <w:rsid w:val="00B26CDD"/>
    <w:rsid w:val="00B300D6"/>
    <w:rsid w:val="00B33814"/>
    <w:rsid w:val="00B576FA"/>
    <w:rsid w:val="00B755E9"/>
    <w:rsid w:val="00B901BD"/>
    <w:rsid w:val="00BB1042"/>
    <w:rsid w:val="00BC700F"/>
    <w:rsid w:val="00BE6C9E"/>
    <w:rsid w:val="00C01933"/>
    <w:rsid w:val="00C31866"/>
    <w:rsid w:val="00C357AD"/>
    <w:rsid w:val="00C55CAC"/>
    <w:rsid w:val="00C64CD2"/>
    <w:rsid w:val="00C7269B"/>
    <w:rsid w:val="00C80C6B"/>
    <w:rsid w:val="00C85A73"/>
    <w:rsid w:val="00C97EBD"/>
    <w:rsid w:val="00CB13DB"/>
    <w:rsid w:val="00CB28BC"/>
    <w:rsid w:val="00CB4FE0"/>
    <w:rsid w:val="00CB6E07"/>
    <w:rsid w:val="00CC3F30"/>
    <w:rsid w:val="00CC62C3"/>
    <w:rsid w:val="00CC6D72"/>
    <w:rsid w:val="00CE121F"/>
    <w:rsid w:val="00CF5AFB"/>
    <w:rsid w:val="00CF63F1"/>
    <w:rsid w:val="00D00E36"/>
    <w:rsid w:val="00D03C10"/>
    <w:rsid w:val="00D05721"/>
    <w:rsid w:val="00D13814"/>
    <w:rsid w:val="00D26348"/>
    <w:rsid w:val="00D404F6"/>
    <w:rsid w:val="00D538C9"/>
    <w:rsid w:val="00D63196"/>
    <w:rsid w:val="00D66A94"/>
    <w:rsid w:val="00D70A25"/>
    <w:rsid w:val="00D76C07"/>
    <w:rsid w:val="00D953CE"/>
    <w:rsid w:val="00DA07DF"/>
    <w:rsid w:val="00DD09C9"/>
    <w:rsid w:val="00DF41D8"/>
    <w:rsid w:val="00E03D03"/>
    <w:rsid w:val="00E07599"/>
    <w:rsid w:val="00E1083A"/>
    <w:rsid w:val="00E20A44"/>
    <w:rsid w:val="00E33E44"/>
    <w:rsid w:val="00E37695"/>
    <w:rsid w:val="00E541E1"/>
    <w:rsid w:val="00E61AAF"/>
    <w:rsid w:val="00E63920"/>
    <w:rsid w:val="00E700F2"/>
    <w:rsid w:val="00E96322"/>
    <w:rsid w:val="00E96955"/>
    <w:rsid w:val="00EA3722"/>
    <w:rsid w:val="00EB55F0"/>
    <w:rsid w:val="00ED0D64"/>
    <w:rsid w:val="00ED60A7"/>
    <w:rsid w:val="00EF74D5"/>
    <w:rsid w:val="00F246E9"/>
    <w:rsid w:val="00F254AE"/>
    <w:rsid w:val="00F30E2F"/>
    <w:rsid w:val="00F32339"/>
    <w:rsid w:val="00F66852"/>
    <w:rsid w:val="00F67213"/>
    <w:rsid w:val="00F83731"/>
    <w:rsid w:val="00FA111D"/>
    <w:rsid w:val="00FB1EA8"/>
    <w:rsid w:val="00FC0FD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B5234"/>
  <w15:docId w15:val="{7E496E58-B066-421E-B1EB-E83EF7ED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sk-SK" w:eastAsia="sk-SK"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lang w:val="en-GB" w:eastAsia="en-GB"/>
    </w:rPr>
  </w:style>
  <w:style w:type="paragraph" w:styleId="Heading3">
    <w:name w:val="heading 3"/>
    <w:basedOn w:val="Normal"/>
    <w:next w:val="Normal"/>
    <w:link w:val="Heading3Char"/>
    <w:semiHidden/>
    <w:unhideWhenUsed/>
    <w:qFormat/>
    <w:rsid w:val="00996752"/>
    <w:pPr>
      <w:keepNext/>
      <w:keepLines/>
      <w:spacing w:before="200"/>
      <w:outlineLvl w:val="2"/>
    </w:pPr>
    <w:rPr>
      <w:rFonts w:ascii="Times New Roman" w:hAnsi="Times New Roman" w:eastAsia="Times New Roman"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FA111D"/>
    <w:pPr>
      <w:framePr w:w="7920" w:h="1980" w:hRule="exact" w:hSpace="180" w:wrap="auto" w:hAnchor="page" w:xAlign="center" w:yAlign="bottom"/>
      <w:ind w:left="2880"/>
    </w:pPr>
    <w:rPr>
      <w:rFonts w:ascii="Times New Roman" w:hAnsi="Times New Roman" w:eastAsia="Times New Roman" w:cs="Times New Roman"/>
      <w:sz w:val="24"/>
    </w:rPr>
  </w:style>
  <w:style w:type="paragraph" w:customStyle="1" w:styleId="Style1">
    <w:name w:val="Style1"/>
    <w:basedOn w:val="Normal"/>
    <w:semiHidden/>
    <w:rsid w:val="007D3DDE"/>
    <w:rPr>
      <w:rFonts w:ascii="Times New Roman" w:hAnsi="Times New Roman" w:cs="Times New Roman" w:eastAsia="Times New Roman"/>
    </w:rPr>
  </w:style>
  <w:style w:type="paragraph" w:customStyle="1" w:styleId="Style2">
    <w:name w:val="Style2"/>
    <w:basedOn w:val="Normal"/>
    <w:autoRedefine/>
    <w:semiHidden/>
    <w:rsid w:val="007D3DDE"/>
    <w:pPr>
      <w:numPr>
        <w:numId w:val="2"/>
      </w:numPr>
    </w:pPr>
    <w:rPr>
      <w:rFonts w:ascii="Times New Roman" w:hAnsi="Times New Roman" w:cs="Times New Roman" w:eastAsia="Times New Roman"/>
    </w:rPr>
  </w:style>
  <w:style w:type="paragraph" w:customStyle="1" w:styleId="ICST-Title">
    <w:name w:val="ICST-Title"/>
    <w:link w:val="ICST-TitleChar"/>
    <w:qFormat/>
    <w:rsid w:val="0073562A"/>
    <w:pPr>
      <w:spacing w:after="340"/>
    </w:pPr>
    <w:rPr>
      <w:rFonts w:ascii="Times New Roman" w:hAnsi="Times New Roman"/>
      <w:b/>
      <w:color w:val="1777A5"/>
      <w:sz w:val="41"/>
      <w:szCs w:val="41"/>
      <w:lang w:val="en-GB" w:eastAsia="en-GB"/>
    </w:rPr>
  </w:style>
  <w:style w:type="character" w:customStyle="1" w:styleId="ICST-TitleChar">
    <w:name w:val="ICST-Title Char"/>
    <w:link w:val="ICST-Title"/>
    <w:rsid w:val="0073562A"/>
    <w:rPr>
      <w:b/>
      <w:color w:val="1777A5"/>
      <w:sz w:val="41"/>
      <w:szCs w:val="41"/>
      <w:lang w:val="en-GB" w:eastAsia="en-GB" w:bidi="ar-SA"/>
    </w:rPr>
  </w:style>
  <w:style w:type="paragraph" w:customStyle="1" w:styleId="ICST-Authorname">
    <w:name w:val="ICST-Author name"/>
    <w:qFormat/>
    <w:rsid w:val="00775A8E"/>
    <w:pPr>
      <w:spacing w:after="340"/>
    </w:pPr>
    <w:rPr>
      <w:rFonts w:ascii="Times New Roman" w:hAnsi="Times New Roman"/>
      <w:sz w:val="24"/>
      <w:szCs w:val="24"/>
      <w:lang w:val="en-GB" w:eastAsia="en-GB"/>
    </w:rPr>
  </w:style>
  <w:style w:type="paragraph" w:customStyle="1" w:styleId="ICST-Address">
    <w:name w:val="ICST-Address"/>
    <w:basedOn w:val="ICST-Title"/>
    <w:qFormat/>
    <w:rsid w:val="00775A8E"/>
    <w:pPr>
      <w:spacing w:after="0"/>
    </w:pPr>
    <w:rPr>
      <w:rFonts w:ascii="Times New Roman" w:hAnsi="Times New Roman"/>
      <w:b w:val="0"/>
      <w:color w:val="auto"/>
      <w:sz w:val="20"/>
      <w:szCs w:val="20"/>
    </w:rPr>
  </w:style>
  <w:style w:type="paragraph" w:customStyle="1" w:styleId="ICST-Oddheader">
    <w:name w:val="ICST-Odd header"/>
    <w:basedOn w:val="Header"/>
    <w:link w:val="ICST-OddheaderChar"/>
    <w:qFormat/>
    <w:rsid w:val="00E541E1"/>
    <w:rPr>
      <w:rFonts w:ascii="Times New Roman" w:hAnsi="Times New Roman" w:cs="Times New Roman" w:eastAsia="Times New Roman"/>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Times New Roman" w:hAnsi="Times New Roman" w:eastAsia="Times New Roman" w:cs="Times New Roman"/>
      <w:b/>
      <w:color w:val="1777A5"/>
      <w:sz w:val="24"/>
      <w:szCs w:val="24"/>
      <w:lang w:val="en-GB" w:eastAsia="en-GB"/>
    </w:rPr>
  </w:style>
  <w:style w:type="paragraph" w:customStyle="1" w:styleId="ICST-EvenHeader">
    <w:name w:val="ICST-Even Header"/>
    <w:basedOn w:val="Normal"/>
    <w:link w:val="ICST-EvenHeaderChar"/>
    <w:qFormat/>
    <w:rsid w:val="003A2A40"/>
    <w:pPr>
      <w:jc w:val="right"/>
    </w:pPr>
    <w:rPr>
      <w:rFonts w:ascii="Times New Roman" w:hAnsi="Times New Roman" w:cs="Times New Roman" w:eastAsia="Times New Roman"/>
      <w:sz w:val="18"/>
      <w:szCs w:val="18"/>
    </w:rPr>
  </w:style>
  <w:style w:type="paragraph" w:customStyle="1" w:styleId="ICST-Heading1">
    <w:name w:val="ICST-Heading 1"/>
    <w:qFormat/>
    <w:rsid w:val="0073562A"/>
    <w:pPr>
      <w:spacing w:before="400" w:after="200"/>
      <w:contextualSpacing/>
    </w:pPr>
    <w:rPr>
      <w:rFonts w:ascii="Times New Roman" w:hAnsi="Times New Roman" w:cs="Times New Roman" w:eastAsia="Times New Roman"/>
      <w:b/>
      <w:bCs/>
      <w:color w:val="1777A5"/>
      <w:sz w:val="24"/>
      <w:szCs w:val="24"/>
      <w:lang w:val="en-GB" w:eastAsia="en-GB"/>
    </w:rPr>
  </w:style>
  <w:style w:type="paragraph" w:customStyle="1" w:styleId="ICST-Bodytextnoindent">
    <w:name w:val="ICST-Body text no indent"/>
    <w:link w:val="ICST-BodytextnoindentChar"/>
    <w:qFormat/>
    <w:rsid w:val="006C0C04"/>
    <w:pPr>
      <w:contextualSpacing/>
      <w:jc w:val="both"/>
    </w:pPr>
    <w:rPr>
      <w:rFonts w:ascii="Times New Roman" w:hAnsi="Times New Roman"/>
      <w:bCs/>
      <w:lang w:val="en-GB" w:eastAsia="en-GB"/>
    </w:rPr>
  </w:style>
  <w:style w:type="character" w:customStyle="1" w:styleId="ICST-BodytextnoindentChar">
    <w:name w:val="ICST-Body text no indent Char"/>
    <w:link w:val="ICST-Bodytextnoindent"/>
    <w:rsid w:val="006C0C04"/>
    <w:rPr>
      <w:bCs/>
      <w:lang w:val="en-GB" w:eastAsia="en-GB" w:bidi="ar-SA"/>
    </w:rPr>
  </w:style>
  <w:style w:type="paragraph" w:customStyle="1" w:styleId="ICST-Heading2">
    <w:name w:val="ICST-Heading 2"/>
    <w:qFormat/>
    <w:rsid w:val="0073562A"/>
    <w:pPr>
      <w:spacing w:before="340" w:after="227"/>
      <w:contextualSpacing/>
    </w:pPr>
    <w:rPr>
      <w:rFonts w:ascii="Times New Roman" w:hAnsi="Times New Roman" w:eastAsia="Times New Roman" w:cs="Times New Roman"/>
      <w:color w:val="1777A5"/>
      <w:sz w:val="24"/>
      <w:szCs w:val="24"/>
      <w:lang w:val="en-GB" w:eastAsia="en-GB"/>
    </w:rPr>
  </w:style>
  <w:style w:type="character" w:customStyle="1" w:styleId="ICST-OddheaderChar">
    <w:name w:val="ICST-Odd header Char"/>
    <w:link w:val="ICST-Oddheader"/>
    <w:rsid w:val="00E541E1"/>
    <w:rPr>
      <w:rFonts w:ascii="Times New Roman" w:hAnsi="Times New Roman" w:cs="Times New Roman" w:eastAsia="Times New Roman"/>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Times New Roman" w:hAnsi="Times New Roman" w:cs="Times New Roman" w:eastAsia="Times New Roman"/>
    </w:rPr>
  </w:style>
  <w:style w:type="character" w:customStyle="1" w:styleId="ICST-CaptionsChar">
    <w:name w:val="ICST-Captions Char"/>
    <w:link w:val="ICST-Captions"/>
    <w:rsid w:val="00C31866"/>
    <w:rPr>
      <w:rFonts w:ascii="Times New Roman" w:hAnsi="Times New Roman" w:cs="Times New Roman" w:eastAsia="Times New Roman"/>
      <w:bCs/>
      <w:lang w:val="en-GB" w:eastAsia="en-GB" w:bidi="ar-SA"/>
    </w:rPr>
  </w:style>
  <w:style w:type="paragraph" w:customStyle="1" w:styleId="ICST-Equations">
    <w:name w:val="ICST-Equations"/>
    <w:basedOn w:val="ICST-Bodytextnoindent"/>
    <w:rsid w:val="003A2A40"/>
    <w:pPr>
      <w:jc w:val="right"/>
    </w:pPr>
    <w:rPr>
      <w:rFonts w:ascii="Times New Roman" w:hAnsi="Times New Roman"/>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link w:val="ICST-EvenHeader"/>
    <w:rsid w:val="003A2A40"/>
    <w:rPr>
      <w:rFonts w:ascii="Times New Roman" w:hAnsi="Times New Roman" w:cs="Times New Roman" w:eastAsia="Times New Roman"/>
      <w:i/>
      <w:sz w:val="18"/>
      <w:szCs w:val="18"/>
      <w:lang w:eastAsia="en-GB"/>
    </w:rPr>
  </w:style>
  <w:style w:type="paragraph" w:customStyle="1" w:styleId="ICST-References">
    <w:name w:val="ICST-References"/>
    <w:qFormat/>
    <w:rsid w:val="004F1D55"/>
    <w:pPr>
      <w:numPr>
        <w:numId w:val="16"/>
      </w:numPr>
      <w:ind w:left="400" w:hanging="400"/>
      <w:jc w:val="both"/>
    </w:pPr>
    <w:rPr>
      <w:rFonts w:ascii="Times New Roman" w:hAnsi="Times New Roman"/>
      <w:bCs/>
      <w:sz w:val="18"/>
      <w:szCs w:val="18"/>
      <w:lang w:val="en-GB" w:eastAsia="en-GB"/>
    </w:rPr>
  </w:style>
  <w:style w:type="paragraph" w:styleId="BalloonText">
    <w:name w:val="Balloon Text"/>
    <w:basedOn w:val="Normal"/>
    <w:link w:val="BalloonTextChar"/>
    <w:rsid w:val="00DF41D8"/>
    <w:rPr>
      <w:rFonts w:ascii="Times New Roman" w:hAnsi="Times New Roman" w:cs="Times New Roman" w:eastAsia="Times New Roman"/>
      <w:sz w:val="16"/>
      <w:szCs w:val="16"/>
    </w:rPr>
  </w:style>
  <w:style w:type="character" w:customStyle="1" w:styleId="BalloonTextChar">
    <w:name w:val="Balloon Text Char"/>
    <w:link w:val="BalloonText"/>
    <w:rsid w:val="00DF41D8"/>
    <w:rPr>
      <w:rFonts w:ascii="Times New Roman" w:hAnsi="Times New Roman" w:cs="Times New Roman" w:eastAsia="Times New Roman"/>
      <w:sz w:val="16"/>
      <w:szCs w:val="16"/>
      <w:lang w:eastAsia="en-GB"/>
    </w:rPr>
  </w:style>
  <w:style w:type="table" w:styleId="TableGrid">
    <w:name w:val="Table Grid"/>
    <w:basedOn w:val="TableNormal"/>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rPr>
      <w:rFonts w:ascii="Times New Roman" w:hAnsi="Times New Roman"/>
    </w:rPr>
  </w:style>
  <w:style w:type="paragraph" w:customStyle="1" w:styleId="ICST-Tabletext">
    <w:name w:val="ICST-Table text"/>
    <w:basedOn w:val="Normal"/>
    <w:qFormat/>
    <w:rsid w:val="003A2A40"/>
    <w:rPr>
      <w:rFonts w:ascii="Times New Roman" w:hAnsi="Times New Roman" w:cs="Times New Roman" w:eastAsia="Times New Roman"/>
      <w:bCs/>
      <w:sz w:val="18"/>
      <w:szCs w:val="18"/>
    </w:rPr>
  </w:style>
  <w:style w:type="paragraph" w:customStyle="1" w:styleId="ICST-Listnumbered">
    <w:name w:val="ICST-List (numbered)"/>
    <w:basedOn w:val="Normal"/>
    <w:link w:val="ICST-ListnumberedChar"/>
    <w:qFormat/>
    <w:rsid w:val="004F1D55"/>
    <w:pPr>
      <w:numPr>
        <w:numId w:val="14"/>
      </w:numPr>
      <w:spacing w:before="200" w:after="200"/>
      <w:ind w:left="397" w:hanging="170"/>
      <w:contextualSpacing/>
      <w:jc w:val="both"/>
    </w:pPr>
    <w:rPr>
      <w:rFonts w:ascii="Times New Roman" w:hAnsi="Times New Roman"/>
      <w:bCs/>
      <w:szCs w:val="25"/>
    </w:rPr>
  </w:style>
  <w:style w:type="character" w:customStyle="1" w:styleId="ICST-ListnumberedChar">
    <w:name w:val="ICST-List (numbered) Char"/>
    <w:link w:val="ICST-Listnumbered"/>
    <w:rsid w:val="004F1D55"/>
    <w:rPr>
      <w:rFonts w:ascii="Times New Roman" w:hAnsi="Times New Roman" w:cs="Times New Roman" w:eastAsia="Times New Roman"/>
      <w:bCs/>
      <w:szCs w:val="25"/>
      <w:lang w:eastAsia="en-GB"/>
    </w:rPr>
  </w:style>
  <w:style w:type="character" w:customStyle="1" w:styleId="ewic-ListnumberedChar">
    <w:name w:val="ewic-List (numbered) Char"/>
    <w:rsid w:val="004F1D55"/>
    <w:rPr>
      <w:rFonts w:ascii="Times New Roman" w:hAnsi="Times New Roman" w:cs="Times New Roman" w:eastAsia="Times New Roman"/>
      <w:bCs/>
      <w:szCs w:val="25"/>
      <w:lang w:eastAsia="en-GB"/>
    </w:rPr>
  </w:style>
  <w:style w:type="paragraph" w:styleId="Header">
    <w:name w:val="header"/>
    <w:basedOn w:val="Normal"/>
    <w:link w:val="HeaderChar"/>
    <w:rsid w:val="00523AB3"/>
    <w:pPr>
      <w:tabs>
        <w:tab w:val="center" w:pos="4513"/>
        <w:tab w:val="right" w:pos="9026"/>
      </w:tabs>
    </w:pPr>
  </w:style>
  <w:style w:type="character" w:customStyle="1" w:styleId="HeaderChar">
    <w:name w:val="Header Char"/>
    <w:link w:val="Header"/>
    <w:rsid w:val="00523AB3"/>
    <w:rPr>
      <w:lang w:eastAsia="en-GB"/>
    </w:rPr>
  </w:style>
  <w:style w:type="paragraph" w:styleId="FootnoteText">
    <w:name w:val="footnote text"/>
    <w:basedOn w:val="Normal"/>
    <w:link w:val="FootnoteTextChar"/>
    <w:rsid w:val="005B2854"/>
    <w:rPr>
      <w:sz w:val="16"/>
    </w:rPr>
  </w:style>
  <w:style w:type="character" w:customStyle="1" w:styleId="FootnoteTextChar">
    <w:name w:val="Footnote Text Char"/>
    <w:link w:val="FootnoteText"/>
    <w:rsid w:val="005B2854"/>
    <w:rPr>
      <w:sz w:val="16"/>
      <w:lang w:val="en-GB" w:eastAsia="en-GB"/>
    </w:rPr>
  </w:style>
  <w:style w:type="character" w:styleId="FootnoteReference">
    <w:name w:val="footnote reference"/>
    <w:rsid w:val="00B901BD"/>
    <w:rPr>
      <w:vertAlign w:val="superscript"/>
    </w:rPr>
  </w:style>
  <w:style w:type="paragraph" w:styleId="Footer">
    <w:name w:val="footer"/>
    <w:basedOn w:val="Normal"/>
    <w:link w:val="FooterChar"/>
    <w:uiPriority w:val="99"/>
    <w:rsid w:val="00E63920"/>
    <w:pPr>
      <w:tabs>
        <w:tab w:val="center" w:pos="4680"/>
        <w:tab w:val="right" w:pos="9360"/>
      </w:tabs>
    </w:pPr>
  </w:style>
  <w:style w:type="character" w:customStyle="1" w:styleId="FooterChar">
    <w:name w:val="Footer Char"/>
    <w:link w:val="Footer"/>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rPr>
      <w:rFonts w:ascii="Times New Roman" w:hAnsi="Times New Roman"/>
    </w:rPr>
  </w:style>
  <w:style w:type="paragraph" w:customStyle="1" w:styleId="ICST-Acknowlegementtext">
    <w:name w:val="ICST-Acknowlegement text"/>
    <w:basedOn w:val="ICST-Bodytextnoindent"/>
    <w:link w:val="ICST-AcknowlegementtextChar"/>
    <w:qFormat/>
    <w:rsid w:val="006C0C04"/>
    <w:rPr>
      <w:rFonts w:ascii="Times New Roman" w:hAnsi="Times New Roman"/>
      <w:sz w:val="18"/>
      <w:szCs w:val="18"/>
    </w:rPr>
  </w:style>
  <w:style w:type="character" w:customStyle="1" w:styleId="ICST-BodytextwithindentChar">
    <w:name w:val="ICST-Body text with indent Char"/>
    <w:link w:val="ICST-Bodytextwithindent"/>
    <w:rsid w:val="00F254AE"/>
    <w:rPr>
      <w:bCs/>
      <w:lang w:val="en-GB" w:eastAsia="en-GB" w:bidi="ar-SA"/>
    </w:rPr>
  </w:style>
  <w:style w:type="paragraph" w:customStyle="1" w:styleId="ICST-Acknowledgementheading">
    <w:name w:val="ICST-Acknowledgement heading"/>
    <w:basedOn w:val="ICST-Acknowlegementtext"/>
    <w:link w:val="ICST-AcknowledgementheadingChar"/>
    <w:qFormat/>
    <w:rsid w:val="0073562A"/>
    <w:pPr>
      <w:spacing w:before="340"/>
    </w:pPr>
    <w:rPr>
      <w:rFonts w:ascii="Times New Roman" w:hAnsi="Times New Roman" w:cs="Times New Roman" w:eastAsia="Times New Roman"/>
      <w:b/>
      <w:color w:val="1777A5"/>
      <w:sz w:val="20"/>
    </w:rPr>
  </w:style>
  <w:style w:type="character" w:customStyle="1" w:styleId="ICST-AcknowlegementtextChar">
    <w:name w:val="ICST-Acknowlegement text Char"/>
    <w:link w:val="ICST-Acknowlegementtext"/>
    <w:rsid w:val="006C0C04"/>
    <w:rPr>
      <w:bCs/>
      <w:sz w:val="18"/>
      <w:szCs w:val="18"/>
      <w:lang w:val="en-GB" w:eastAsia="en-GB" w:bidi="ar-SA"/>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eastAsia="Times New Roman" w:cs="Times New Roman"/>
      <w:b w:val="0"/>
      <w:color w:val="FFFFFF"/>
      <w:sz w:val="20"/>
      <w:szCs w:val="20"/>
    </w:rPr>
  </w:style>
  <w:style w:type="character" w:customStyle="1" w:styleId="ICST-AcknowledgementheadingChar">
    <w:name w:val="ICST-Acknowledgement heading Char"/>
    <w:link w:val="ICST-Acknowledgementheading"/>
    <w:rsid w:val="0073562A"/>
    <w:rPr>
      <w:rFonts w:ascii="Times New Roman" w:hAnsi="Times New Roman" w:cs="Times New Roman" w:eastAsia="Times New Roman"/>
      <w:b/>
      <w:bCs w:val="0"/>
      <w:color w:val="1777A5"/>
      <w:sz w:val="18"/>
      <w:szCs w:val="18"/>
      <w:lang w:val="en-GB" w:eastAsia="en-GB" w:bidi="ar-SA"/>
    </w:rPr>
  </w:style>
  <w:style w:type="paragraph" w:customStyle="1" w:styleId="ICST-Heading3">
    <w:name w:val="ICST-Heading 3"/>
    <w:basedOn w:val="ICST-Acknowledgementheading"/>
    <w:next w:val="Heading3"/>
    <w:link w:val="ICST-Heading3Char"/>
    <w:qFormat/>
    <w:rsid w:val="0073562A"/>
    <w:pPr>
      <w:spacing w:before="227"/>
    </w:pPr>
    <w:rPr>
      <w:rFonts w:ascii="Times New Roman" w:hAnsi="Times New Roman"/>
      <w:szCs w:val="20"/>
    </w:rPr>
  </w:style>
  <w:style w:type="character" w:customStyle="1" w:styleId="ICST-AbstractheadingChar">
    <w:name w:val="ICST-Abstract heading Char"/>
    <w:link w:val="ICST-Abstractheading"/>
    <w:rsid w:val="0073562A"/>
    <w:rPr>
      <w:rFonts w:ascii="Times New Roman" w:hAnsi="Times New Roman" w:eastAsia="Times New Roman" w:cs="Times New Roman"/>
      <w:b/>
      <w:color w:val="1777A5"/>
      <w:sz w:val="24"/>
      <w:szCs w:val="24"/>
      <w:lang w:val="en-GB" w:eastAsia="en-GB" w:bidi="ar-SA"/>
    </w:rPr>
  </w:style>
  <w:style w:type="character" w:customStyle="1" w:styleId="ICST-abstracttextChar">
    <w:name w:val="ICST-abstract text Char"/>
    <w:link w:val="ICST-abstracttext"/>
    <w:rsid w:val="0073562A"/>
    <w:rPr>
      <w:rFonts w:ascii="Times New Roman" w:hAnsi="Times New Roman" w:eastAsia="Times New Roman" w:cs="Times New Roman"/>
      <w:b/>
      <w:color w:val="FFFFFF"/>
      <w:sz w:val="24"/>
      <w:szCs w:val="24"/>
      <w:shd w:val="clear" w:color="auto" w:fill="1777A5"/>
      <w:lang w:val="en-GB" w:eastAsia="en-GB" w:bidi="ar-SA"/>
    </w:rPr>
  </w:style>
  <w:style w:type="paragraph" w:customStyle="1" w:styleId="ICST-Bulletedlist">
    <w:name w:val="ICST-Bulleted list"/>
    <w:basedOn w:val="ICST-Listnumbered"/>
    <w:link w:val="ICST-BulletedlistChar"/>
    <w:qFormat/>
    <w:rsid w:val="009B697B"/>
    <w:pPr>
      <w:numPr>
        <w:numId w:val="17"/>
      </w:numPr>
      <w:ind w:left="397" w:hanging="170"/>
    </w:pPr>
    <w:rPr>
      <w:rFonts w:ascii="Times New Roman" w:hAnsi="Times New Roman"/>
    </w:rPr>
  </w:style>
  <w:style w:type="character" w:customStyle="1" w:styleId="ICST-Heading3Char">
    <w:name w:val="ICST-Heading 3 Char"/>
    <w:link w:val="ICST-Heading3"/>
    <w:rsid w:val="0073562A"/>
    <w:rPr>
      <w:rFonts w:ascii="Times New Roman" w:hAnsi="Times New Roman" w:cs="Times New Roman" w:eastAsia="Times New Roman"/>
      <w:b/>
      <w:bCs w:val="0"/>
      <w:color w:val="1777A5"/>
      <w:sz w:val="18"/>
      <w:szCs w:val="18"/>
      <w:lang w:val="en-GB" w:eastAsia="en-GB" w:bidi="ar-SA"/>
    </w:rPr>
  </w:style>
  <w:style w:type="paragraph" w:customStyle="1" w:styleId="ICST-Keywords">
    <w:name w:val="ICST-Keywords"/>
    <w:basedOn w:val="Normal"/>
    <w:link w:val="ICST-KeywordsChar"/>
    <w:uiPriority w:val="99"/>
    <w:qFormat/>
    <w:rsid w:val="004F1D55"/>
    <w:pPr>
      <w:spacing w:before="227" w:after="190"/>
      <w:ind w:left="227"/>
      <w:jc w:val="both"/>
    </w:pPr>
    <w:rPr>
      <w:rFonts w:ascii="Times New Roman" w:hAnsi="Times New Roman"/>
      <w:sz w:val="18"/>
      <w:szCs w:val="48"/>
    </w:rPr>
  </w:style>
  <w:style w:type="character" w:customStyle="1" w:styleId="ICST-BulletedlistChar">
    <w:name w:val="ICST-Bulleted list Char"/>
    <w:link w:val="ICST-Bulletedlist"/>
    <w:rsid w:val="009B697B"/>
    <w:rPr>
      <w:rFonts w:ascii="Times New Roman" w:hAnsi="Times New Roman" w:cs="Times New Roman" w:eastAsia="Times New Roman"/>
      <w:bCs/>
      <w:szCs w:val="25"/>
      <w:lang w:eastAsia="en-GB"/>
    </w:rPr>
  </w:style>
  <w:style w:type="paragraph" w:customStyle="1" w:styleId="ICST-Footnotetext">
    <w:name w:val="ICST-Footnote text"/>
    <w:basedOn w:val="FootnoteText"/>
    <w:link w:val="ICST-FootnotetextChar"/>
    <w:rsid w:val="009B697B"/>
    <w:rPr>
      <w:rFonts w:ascii="Times New Roman" w:hAnsi="Times New Roman"/>
      <w:szCs w:val="16"/>
    </w:rPr>
  </w:style>
  <w:style w:type="character" w:customStyle="1" w:styleId="ICST-FootnotetextChar">
    <w:name w:val="ICST-Footnote text Char"/>
    <w:link w:val="ICST-Footnotetext"/>
    <w:rsid w:val="009B697B"/>
    <w:rPr>
      <w:sz w:val="16"/>
      <w:szCs w:val="16"/>
      <w:lang w:eastAsia="en-GB"/>
    </w:rPr>
  </w:style>
  <w:style w:type="character" w:customStyle="1" w:styleId="ICST-KeywordsChar">
    <w:name w:val="ICST-Keywords Char"/>
    <w:link w:val="ICST-Keywords"/>
    <w:uiPriority w:val="99"/>
    <w:rsid w:val="004F1D55"/>
    <w:rPr>
      <w:rFonts w:ascii="Times New Roman" w:hAnsi="Times New Roman" w:eastAsia="Times New Roman" w:cs="Times New Roman"/>
      <w:i/>
      <w:sz w:val="18"/>
      <w:szCs w:val="48"/>
      <w:lang w:eastAsia="en-GB"/>
    </w:rPr>
  </w:style>
  <w:style w:type="character" w:customStyle="1" w:styleId="Heading3Char">
    <w:name w:val="Heading 3 Char"/>
    <w:link w:val="Heading3"/>
    <w:semiHidden/>
    <w:rsid w:val="00996752"/>
    <w:rPr>
      <w:rFonts w:ascii="Times New Roman" w:eastAsia="Times New Roman" w:hAnsi="Times New Roman" w:cs="Times New Roman"/>
      <w:b/>
      <w:bCs/>
      <w:color w:val="4F81BD"/>
      <w:lang w:eastAsia="en-GB"/>
    </w:rPr>
  </w:style>
  <w:style w:type="character" w:styleId="Hyperlink">
    <w:name w:val="Hyperlink"/>
    <w:unhideWhenUsed/>
    <w:rsid w:val="006D5FC8"/>
    <w:rPr>
      <w:color w:val="0563C1"/>
      <w:u w:val="single"/>
    </w:rPr>
  </w:style>
  <w:style w:type="character" w:styleId="UnresolvedMention">
    <w:name w:val="Unresolved Mention"/>
    <w:uiPriority w:val="99"/>
    <w:semiHidden/>
    <w:unhideWhenUsed/>
    <w:rsid w:val="006D5FC8"/>
    <w:rPr>
      <w:color w:val="605E5C"/>
      <w:shd w:val="clear" w:color="auto" w:fill="E1DFDD"/>
    </w:rPr>
  </w:style>
  <w:style w:type="character" w:styleId="CommentReference">
    <w:name w:val="annotation reference"/>
    <w:semiHidden/>
    <w:unhideWhenUsed/>
    <w:rsid w:val="00850717"/>
    <w:rPr>
      <w:sz w:val="16"/>
      <w:szCs w:val="16"/>
    </w:rPr>
  </w:style>
  <w:style w:type="paragraph" w:styleId="CommentText">
    <w:name w:val="annotation text"/>
    <w:basedOn w:val="Normal"/>
    <w:link w:val="CommentTextChar"/>
    <w:semiHidden/>
    <w:unhideWhenUsed/>
    <w:rsid w:val="00850717"/>
  </w:style>
  <w:style w:type="character" w:customStyle="1" w:styleId="CommentTextChar">
    <w:name w:val="Comment Text Char"/>
    <w:link w:val="CommentText"/>
    <w:semiHidden/>
    <w:rsid w:val="00850717"/>
    <w:rPr>
      <w:lang w:val="en-GB" w:eastAsia="en-GB"/>
    </w:rPr>
  </w:style>
  <w:style w:type="paragraph" w:styleId="CommentSubject">
    <w:name w:val="annotation subject"/>
    <w:basedOn w:val="CommentText"/>
    <w:next w:val="CommentText"/>
    <w:link w:val="CommentSubjectChar"/>
    <w:semiHidden/>
    <w:unhideWhenUsed/>
    <w:rsid w:val="00850717"/>
    <w:rPr>
      <w:b/>
      <w:bCs/>
    </w:rPr>
  </w:style>
  <w:style w:type="character" w:customStyle="1" w:styleId="CommentSubjectChar">
    <w:name w:val="Comment Subject Char"/>
    <w:link w:val="CommentSubject"/>
    <w:semiHidden/>
    <w:rsid w:val="00850717"/>
    <w:rPr>
      <w:b/>
      <w:bCs/>
      <w:lang w:val="en-GB" w:eastAsia="en-GB"/>
    </w:rPr>
  </w:style>
  <w:style w:type="character" w:styleId="PlaceholderText">
    <w:name w:val="Placeholder Text"/>
    <w:basedOn w:val="DefaultParagraphFont"/>
    <w:uiPriority w:val="99"/>
    <w:semiHidden/>
    <w:rsid w:val="00594747"/>
    <w:rPr>
      <w:color w:val="666666"/>
    </w:rPr>
  </w:style>
  <w:style w:type="character" w:styleId="Strong">
    <w:name w:val="Strong"/>
    <w:basedOn w:val="DefaultParagraphFont"/>
    <w:uiPriority w:val="22"/>
    <w:qFormat/>
    <w:rsid w:val="00BE6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295">
      <w:marLeft w:val="640"/>
      <w:marRight w:val="0"/>
      <w:marTop w:val="0"/>
      <w:marBottom w:val="0"/>
      <w:divBdr>
        <w:top w:val="none" w:sz="0" w:space="0" w:color="auto"/>
        <w:left w:val="none" w:sz="0" w:space="0" w:color="auto"/>
        <w:bottom w:val="none" w:sz="0" w:space="0" w:color="auto"/>
        <w:right w:val="none" w:sz="0" w:space="0" w:color="auto"/>
      </w:divBdr>
    </w:div>
    <w:div w:id="158693010">
      <w:marLeft w:val="640"/>
      <w:marRight w:val="0"/>
      <w:marTop w:val="0"/>
      <w:marBottom w:val="0"/>
      <w:divBdr>
        <w:top w:val="none" w:sz="0" w:space="0" w:color="auto"/>
        <w:left w:val="none" w:sz="0" w:space="0" w:color="auto"/>
        <w:bottom w:val="none" w:sz="0" w:space="0" w:color="auto"/>
        <w:right w:val="none" w:sz="0" w:space="0" w:color="auto"/>
      </w:divBdr>
    </w:div>
    <w:div w:id="220750766">
      <w:marLeft w:val="640"/>
      <w:marRight w:val="0"/>
      <w:marTop w:val="0"/>
      <w:marBottom w:val="0"/>
      <w:divBdr>
        <w:top w:val="none" w:sz="0" w:space="0" w:color="auto"/>
        <w:left w:val="none" w:sz="0" w:space="0" w:color="auto"/>
        <w:bottom w:val="none" w:sz="0" w:space="0" w:color="auto"/>
        <w:right w:val="none" w:sz="0" w:space="0" w:color="auto"/>
      </w:divBdr>
    </w:div>
    <w:div w:id="287057293">
      <w:marLeft w:val="640"/>
      <w:marRight w:val="0"/>
      <w:marTop w:val="0"/>
      <w:marBottom w:val="0"/>
      <w:divBdr>
        <w:top w:val="none" w:sz="0" w:space="0" w:color="auto"/>
        <w:left w:val="none" w:sz="0" w:space="0" w:color="auto"/>
        <w:bottom w:val="none" w:sz="0" w:space="0" w:color="auto"/>
        <w:right w:val="none" w:sz="0" w:space="0" w:color="auto"/>
      </w:divBdr>
    </w:div>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44185">
      <w:marLeft w:val="640"/>
      <w:marRight w:val="0"/>
      <w:marTop w:val="0"/>
      <w:marBottom w:val="0"/>
      <w:divBdr>
        <w:top w:val="none" w:sz="0" w:space="0" w:color="auto"/>
        <w:left w:val="none" w:sz="0" w:space="0" w:color="auto"/>
        <w:bottom w:val="none" w:sz="0" w:space="0" w:color="auto"/>
        <w:right w:val="none" w:sz="0" w:space="0" w:color="auto"/>
      </w:divBdr>
    </w:div>
    <w:div w:id="478882135">
      <w:marLeft w:val="640"/>
      <w:marRight w:val="0"/>
      <w:marTop w:val="0"/>
      <w:marBottom w:val="0"/>
      <w:divBdr>
        <w:top w:val="none" w:sz="0" w:space="0" w:color="auto"/>
        <w:left w:val="none" w:sz="0" w:space="0" w:color="auto"/>
        <w:bottom w:val="none" w:sz="0" w:space="0" w:color="auto"/>
        <w:right w:val="none" w:sz="0" w:space="0" w:color="auto"/>
      </w:divBdr>
    </w:div>
    <w:div w:id="568687048">
      <w:marLeft w:val="640"/>
      <w:marRight w:val="0"/>
      <w:marTop w:val="0"/>
      <w:marBottom w:val="0"/>
      <w:divBdr>
        <w:top w:val="none" w:sz="0" w:space="0" w:color="auto"/>
        <w:left w:val="none" w:sz="0" w:space="0" w:color="auto"/>
        <w:bottom w:val="none" w:sz="0" w:space="0" w:color="auto"/>
        <w:right w:val="none" w:sz="0" w:space="0" w:color="auto"/>
      </w:divBdr>
    </w:div>
    <w:div w:id="623191365">
      <w:marLeft w:val="640"/>
      <w:marRight w:val="0"/>
      <w:marTop w:val="0"/>
      <w:marBottom w:val="0"/>
      <w:divBdr>
        <w:top w:val="none" w:sz="0" w:space="0" w:color="auto"/>
        <w:left w:val="none" w:sz="0" w:space="0" w:color="auto"/>
        <w:bottom w:val="none" w:sz="0" w:space="0" w:color="auto"/>
        <w:right w:val="none" w:sz="0" w:space="0" w:color="auto"/>
      </w:divBdr>
    </w:div>
    <w:div w:id="734354223">
      <w:marLeft w:val="640"/>
      <w:marRight w:val="0"/>
      <w:marTop w:val="0"/>
      <w:marBottom w:val="0"/>
      <w:divBdr>
        <w:top w:val="none" w:sz="0" w:space="0" w:color="auto"/>
        <w:left w:val="none" w:sz="0" w:space="0" w:color="auto"/>
        <w:bottom w:val="none" w:sz="0" w:space="0" w:color="auto"/>
        <w:right w:val="none" w:sz="0" w:space="0" w:color="auto"/>
      </w:divBdr>
    </w:div>
    <w:div w:id="894270479">
      <w:marLeft w:val="640"/>
      <w:marRight w:val="0"/>
      <w:marTop w:val="0"/>
      <w:marBottom w:val="0"/>
      <w:divBdr>
        <w:top w:val="none" w:sz="0" w:space="0" w:color="auto"/>
        <w:left w:val="none" w:sz="0" w:space="0" w:color="auto"/>
        <w:bottom w:val="none" w:sz="0" w:space="0" w:color="auto"/>
        <w:right w:val="none" w:sz="0" w:space="0" w:color="auto"/>
      </w:divBdr>
    </w:div>
    <w:div w:id="950823897">
      <w:marLeft w:val="640"/>
      <w:marRight w:val="0"/>
      <w:marTop w:val="0"/>
      <w:marBottom w:val="0"/>
      <w:divBdr>
        <w:top w:val="none" w:sz="0" w:space="0" w:color="auto"/>
        <w:left w:val="none" w:sz="0" w:space="0" w:color="auto"/>
        <w:bottom w:val="none" w:sz="0" w:space="0" w:color="auto"/>
        <w:right w:val="none" w:sz="0" w:space="0" w:color="auto"/>
      </w:divBdr>
    </w:div>
    <w:div w:id="1095176083">
      <w:marLeft w:val="640"/>
      <w:marRight w:val="0"/>
      <w:marTop w:val="0"/>
      <w:marBottom w:val="0"/>
      <w:divBdr>
        <w:top w:val="none" w:sz="0" w:space="0" w:color="auto"/>
        <w:left w:val="none" w:sz="0" w:space="0" w:color="auto"/>
        <w:bottom w:val="none" w:sz="0" w:space="0" w:color="auto"/>
        <w:right w:val="none" w:sz="0" w:space="0" w:color="auto"/>
      </w:divBdr>
    </w:div>
    <w:div w:id="1121650857">
      <w:marLeft w:val="640"/>
      <w:marRight w:val="0"/>
      <w:marTop w:val="0"/>
      <w:marBottom w:val="0"/>
      <w:divBdr>
        <w:top w:val="none" w:sz="0" w:space="0" w:color="auto"/>
        <w:left w:val="none" w:sz="0" w:space="0" w:color="auto"/>
        <w:bottom w:val="none" w:sz="0" w:space="0" w:color="auto"/>
        <w:right w:val="none" w:sz="0" w:space="0" w:color="auto"/>
      </w:divBdr>
    </w:div>
    <w:div w:id="1139883972">
      <w:marLeft w:val="640"/>
      <w:marRight w:val="0"/>
      <w:marTop w:val="0"/>
      <w:marBottom w:val="0"/>
      <w:divBdr>
        <w:top w:val="none" w:sz="0" w:space="0" w:color="auto"/>
        <w:left w:val="none" w:sz="0" w:space="0" w:color="auto"/>
        <w:bottom w:val="none" w:sz="0" w:space="0" w:color="auto"/>
        <w:right w:val="none" w:sz="0" w:space="0" w:color="auto"/>
      </w:divBdr>
    </w:div>
    <w:div w:id="1155298488">
      <w:marLeft w:val="640"/>
      <w:marRight w:val="0"/>
      <w:marTop w:val="0"/>
      <w:marBottom w:val="0"/>
      <w:divBdr>
        <w:top w:val="none" w:sz="0" w:space="0" w:color="auto"/>
        <w:left w:val="none" w:sz="0" w:space="0" w:color="auto"/>
        <w:bottom w:val="none" w:sz="0" w:space="0" w:color="auto"/>
        <w:right w:val="none" w:sz="0" w:space="0" w:color="auto"/>
      </w:divBdr>
    </w:div>
    <w:div w:id="1168978539">
      <w:marLeft w:val="640"/>
      <w:marRight w:val="0"/>
      <w:marTop w:val="0"/>
      <w:marBottom w:val="0"/>
      <w:divBdr>
        <w:top w:val="none" w:sz="0" w:space="0" w:color="auto"/>
        <w:left w:val="none" w:sz="0" w:space="0" w:color="auto"/>
        <w:bottom w:val="none" w:sz="0" w:space="0" w:color="auto"/>
        <w:right w:val="none" w:sz="0" w:space="0" w:color="auto"/>
      </w:divBdr>
    </w:div>
    <w:div w:id="1206218560">
      <w:marLeft w:val="640"/>
      <w:marRight w:val="0"/>
      <w:marTop w:val="0"/>
      <w:marBottom w:val="0"/>
      <w:divBdr>
        <w:top w:val="none" w:sz="0" w:space="0" w:color="auto"/>
        <w:left w:val="none" w:sz="0" w:space="0" w:color="auto"/>
        <w:bottom w:val="none" w:sz="0" w:space="0" w:color="auto"/>
        <w:right w:val="none" w:sz="0" w:space="0" w:color="auto"/>
      </w:divBdr>
    </w:div>
    <w:div w:id="1268581655">
      <w:marLeft w:val="640"/>
      <w:marRight w:val="0"/>
      <w:marTop w:val="0"/>
      <w:marBottom w:val="0"/>
      <w:divBdr>
        <w:top w:val="none" w:sz="0" w:space="0" w:color="auto"/>
        <w:left w:val="none" w:sz="0" w:space="0" w:color="auto"/>
        <w:bottom w:val="none" w:sz="0" w:space="0" w:color="auto"/>
        <w:right w:val="none" w:sz="0" w:space="0" w:color="auto"/>
      </w:divBdr>
    </w:div>
    <w:div w:id="1278951272">
      <w:marLeft w:val="640"/>
      <w:marRight w:val="0"/>
      <w:marTop w:val="0"/>
      <w:marBottom w:val="0"/>
      <w:divBdr>
        <w:top w:val="none" w:sz="0" w:space="0" w:color="auto"/>
        <w:left w:val="none" w:sz="0" w:space="0" w:color="auto"/>
        <w:bottom w:val="none" w:sz="0" w:space="0" w:color="auto"/>
        <w:right w:val="none" w:sz="0" w:space="0" w:color="auto"/>
      </w:divBdr>
    </w:div>
    <w:div w:id="1292402212">
      <w:marLeft w:val="640"/>
      <w:marRight w:val="0"/>
      <w:marTop w:val="0"/>
      <w:marBottom w:val="0"/>
      <w:divBdr>
        <w:top w:val="none" w:sz="0" w:space="0" w:color="auto"/>
        <w:left w:val="none" w:sz="0" w:space="0" w:color="auto"/>
        <w:bottom w:val="none" w:sz="0" w:space="0" w:color="auto"/>
        <w:right w:val="none" w:sz="0" w:space="0" w:color="auto"/>
      </w:divBdr>
    </w:div>
    <w:div w:id="1294629053">
      <w:marLeft w:val="640"/>
      <w:marRight w:val="0"/>
      <w:marTop w:val="0"/>
      <w:marBottom w:val="0"/>
      <w:divBdr>
        <w:top w:val="none" w:sz="0" w:space="0" w:color="auto"/>
        <w:left w:val="none" w:sz="0" w:space="0" w:color="auto"/>
        <w:bottom w:val="none" w:sz="0" w:space="0" w:color="auto"/>
        <w:right w:val="none" w:sz="0" w:space="0" w:color="auto"/>
      </w:divBdr>
    </w:div>
    <w:div w:id="1463422250">
      <w:marLeft w:val="640"/>
      <w:marRight w:val="0"/>
      <w:marTop w:val="0"/>
      <w:marBottom w:val="0"/>
      <w:divBdr>
        <w:top w:val="none" w:sz="0" w:space="0" w:color="auto"/>
        <w:left w:val="none" w:sz="0" w:space="0" w:color="auto"/>
        <w:bottom w:val="none" w:sz="0" w:space="0" w:color="auto"/>
        <w:right w:val="none" w:sz="0" w:space="0" w:color="auto"/>
      </w:divBdr>
    </w:div>
    <w:div w:id="1475105364">
      <w:marLeft w:val="640"/>
      <w:marRight w:val="0"/>
      <w:marTop w:val="0"/>
      <w:marBottom w:val="0"/>
      <w:divBdr>
        <w:top w:val="none" w:sz="0" w:space="0" w:color="auto"/>
        <w:left w:val="none" w:sz="0" w:space="0" w:color="auto"/>
        <w:bottom w:val="none" w:sz="0" w:space="0" w:color="auto"/>
        <w:right w:val="none" w:sz="0" w:space="0" w:color="auto"/>
      </w:divBdr>
    </w:div>
    <w:div w:id="1590892492">
      <w:marLeft w:val="640"/>
      <w:marRight w:val="0"/>
      <w:marTop w:val="0"/>
      <w:marBottom w:val="0"/>
      <w:divBdr>
        <w:top w:val="none" w:sz="0" w:space="0" w:color="auto"/>
        <w:left w:val="none" w:sz="0" w:space="0" w:color="auto"/>
        <w:bottom w:val="none" w:sz="0" w:space="0" w:color="auto"/>
        <w:right w:val="none" w:sz="0" w:space="0" w:color="auto"/>
      </w:divBdr>
    </w:div>
    <w:div w:id="1794208409">
      <w:bodyDiv w:val="1"/>
      <w:marLeft w:val="0"/>
      <w:marRight w:val="0"/>
      <w:marTop w:val="0"/>
      <w:marBottom w:val="0"/>
      <w:divBdr>
        <w:top w:val="none" w:sz="0" w:space="0" w:color="auto"/>
        <w:left w:val="none" w:sz="0" w:space="0" w:color="auto"/>
        <w:bottom w:val="none" w:sz="0" w:space="0" w:color="auto"/>
        <w:right w:val="none" w:sz="0" w:space="0" w:color="auto"/>
      </w:divBdr>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7447">
      <w:marLeft w:val="640"/>
      <w:marRight w:val="0"/>
      <w:marTop w:val="0"/>
      <w:marBottom w:val="0"/>
      <w:divBdr>
        <w:top w:val="none" w:sz="0" w:space="0" w:color="auto"/>
        <w:left w:val="none" w:sz="0" w:space="0" w:color="auto"/>
        <w:bottom w:val="none" w:sz="0" w:space="0" w:color="auto"/>
        <w:right w:val="none" w:sz="0" w:space="0" w:color="auto"/>
      </w:divBdr>
    </w:div>
    <w:div w:id="1976136270">
      <w:marLeft w:val="640"/>
      <w:marRight w:val="0"/>
      <w:marTop w:val="0"/>
      <w:marBottom w:val="0"/>
      <w:divBdr>
        <w:top w:val="none" w:sz="0" w:space="0" w:color="auto"/>
        <w:left w:val="none" w:sz="0" w:space="0" w:color="auto"/>
        <w:bottom w:val="none" w:sz="0" w:space="0" w:color="auto"/>
        <w:right w:val="none" w:sz="0" w:space="0" w:color="auto"/>
      </w:divBdr>
    </w:div>
    <w:div w:id="2057007640">
      <w:marLeft w:val="640"/>
      <w:marRight w:val="0"/>
      <w:marTop w:val="0"/>
      <w:marBottom w:val="0"/>
      <w:divBdr>
        <w:top w:val="none" w:sz="0" w:space="0" w:color="auto"/>
        <w:left w:val="none" w:sz="0" w:space="0" w:color="auto"/>
        <w:bottom w:val="none" w:sz="0" w:space="0" w:color="auto"/>
        <w:right w:val="none" w:sz="0" w:space="0" w:color="auto"/>
      </w:divBdr>
    </w:div>
    <w:div w:id="2108378000">
      <w:marLeft w:val="640"/>
      <w:marRight w:val="0"/>
      <w:marTop w:val="0"/>
      <w:marBottom w:val="0"/>
      <w:divBdr>
        <w:top w:val="none" w:sz="0" w:space="0" w:color="auto"/>
        <w:left w:val="none" w:sz="0" w:space="0" w:color="auto"/>
        <w:bottom w:val="none" w:sz="0" w:space="0" w:color="auto"/>
        <w:right w:val="none" w:sz="0" w:space="0" w:color="auto"/>
      </w:divBdr>
    </w:div>
    <w:div w:id="213910162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17" Type="http://schemas.openxmlformats.org/officeDocument/2006/relationships/image" Target="media/image4.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7.wmf"/></Relationships>
</file>

<file path=word/_rels/footnotes.xml.rels><?xml version='1.0' encoding='UTF-8' standalone='yes'?>
<Relationships xmlns="http://schemas.openxmlformats.org/package/2006/relationships"><Relationship Id="rId1" Type="http://schemas.openxmlformats.org/officeDocument/2006/relationships/hyperlink" Target="mailto:achmad.solaeman@ugm.ac.id"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Desktop\ESCRIPTS%20-%20manuals%20and%20templates\EAI%20Endorsed%20Transactions%20Word%202000%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809381-DA9C-3D4A-8526-003E615514B9}"/>
      </w:docPartPr>
      <w:docPartBody>
        <w:p w:rsidR="0085316F" w:rsidRDefault="005B1DFD">
          <w:r w:rsidRPr="00404838">
            <w:rPr>
              <w:rStyle w:val="PlaceholderText"/>
              <w:lang w:val="sk-SK" w:eastAsia="sk-SK"/>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Arial"/>
    <w:charset w:val="00"/>
    <w:family w:val="swiss"/>
    <w:pitch w:val="variable"/>
    <w:sig w:usb0="20000287" w:usb1="00000001" w:usb2="00000000" w:usb3="00000000" w:csb0="0000019F" w:csb1="00000000"/>
  </w:font>
  <w:font w:name="Miriam">
    <w:charset w:val="B1"/>
    <w:family w:val="swiss"/>
    <w:pitch w:val="variable"/>
    <w:sig w:usb0="00000803" w:usb1="00000000" w:usb2="00000000" w:usb3="00000000" w:csb0="00000021" w:csb1="00000000"/>
  </w:font>
  <w:font w:name="Tennessee Roman">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FD"/>
    <w:rsid w:val="000A46FA"/>
    <w:rsid w:val="001C7A07"/>
    <w:rsid w:val="003D10E5"/>
    <w:rsid w:val="004647B1"/>
    <w:rsid w:val="005B1DFD"/>
    <w:rsid w:val="005B3721"/>
    <w:rsid w:val="007F0367"/>
    <w:rsid w:val="0085316F"/>
    <w:rsid w:val="00862E00"/>
    <w:rsid w:val="00BC76AB"/>
    <w:rsid w:val="00D82F99"/>
    <w:rsid w:val="00E20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1D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248D6E-5CD8-0347-9AD6-83E87317F7B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3328293519"/>
    <we:property name="MENDELEY_CITATIONS" value="[{&quot;citationID&quot;:&quot;MENDELEY_CITATION_a41138c9-7042-4bba-a7cf-0983852d7bde&quot;,&quot;properties&quot;:{&quot;noteIndex&quot;:0},&quot;isEdited&quot;:false,&quot;manualOverride&quot;:{&quot;isManuallyOverridden&quot;:false,&quot;citeprocText&quot;:&quot;[1]&quot;,&quot;manualOverrideText&quot;:&quot;&quot;},&quot;citationTag&quot;:&quot;MENDELEY_CITATION_v3_eyJjaXRhdGlvbklEIjoiTUVOREVMRVlfQ0lUQVRJT05fYTQxMTM4YzktNzA0Mi00YmJhLWE3Y2YtMDk4Mzg1MmQ3YmRl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cb5a73cd-446d-4548-aeb9-ff4c1cf52bcc&quot;,&quot;properties&quot;:{&quot;noteIndex&quot;:0},&quot;isEdited&quot;:false,&quot;manualOverride&quot;:{&quot;isManuallyOverridden&quot;:false,&quot;citeprocText&quot;:&quot;[2]&quot;,&quot;manualOverrideText&quot;:&quot;&quot;},&quot;citationTag&quot;:&quot;MENDELEY_CITATION_v3_eyJjaXRhdGlvbklEIjoiTUVOREVMRVlfQ0lUQVRJT05fY2I1YTczY2QtNDQ2ZC00NTQ4LWFlYjktZmY0YzFjZjUyYmNj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050b231d-7123-48bb-a909-f5d939adb862&quot;,&quot;properties&quot;:{&quot;noteIndex&quot;:0},&quot;isEdited&quot;:false,&quot;manualOverride&quot;:{&quot;isManuallyOverridden&quot;:false,&quot;citeprocText&quot;:&quot;[3]&quot;,&quot;manualOverrideText&quot;:&quot;&quot;},&quot;citationTag&quot;:&quot;MENDELEY_CITATION_v3_eyJjaXRhdGlvbklEIjoiTUVOREVMRVlfQ0lUQVRJT05fMDUwYjIzMWQtNzEyMy00OGJiLWE5MDktZjVkOTM5YWRiODYy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quot;citationID&quot;:&quot;MENDELEY_CITATION_089f41a5-5e25-4fee-ba82-f2e94ee6596a&quot;,&quot;properties&quot;:{&quot;noteIndex&quot;:0},&quot;isEdited&quot;:false,&quot;manualOverride&quot;:{&quot;isManuallyOverridden&quot;:false,&quot;citeprocText&quot;:&quot;[4]&quot;,&quot;manualOverrideText&quot;:&quot;&quot;},&quot;citationTag&quot;:&quot;MENDELEY_CITATION_v3_eyJjaXRhdGlvbklEIjoiTUVOREVMRVlfQ0lUQVRJT05fMDg5ZjQxYTUtNWUyNS00ZmVlLWJhODItZjJlOTRlZTY1OTZh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quot;,&quot;citationItems&quot;:[{&quot;id&quot;:&quot;d7f7705d-d10d-3795-a150-ff9f1a8f3f7b&quot;,&quot;itemData&quot;:{&quot;type&quot;:&quot;paper-conference&quot;,&quot;id&quot;:&quot;d7f7705d-d10d-3795-a150-ff9f1a8f3f7b&quot;,&quot;title&quot;:&quot;Flow-of-action: Sop enhanced llm-based multi-agent system for root cause analysis&quot;,&quot;author&quot;:[{&quot;family&quot;:&quot;Pei&quot;,&quot;given&quot;:&quot;Changhua&quot;,&quot;parse-names&quot;:false,&quot;dropping-particle&quot;:&quot;&quot;,&quot;non-dropping-particle&quot;:&quot;&quot;},{&quot;family&quot;:&quot;Wang&quot;,&quot;given&quot;:&quot;Zexin&quot;,&quot;parse-names&quot;:false,&quot;dropping-particle&quot;:&quot;&quot;,&quot;non-dropping-particle&quot;:&quot;&quot;},{&quot;family&quot;:&quot;Liu&quot;,&quot;given&quot;:&quot;Fengrui&quot;,&quot;parse-names&quot;:false,&quot;dropping-particle&quot;:&quot;&quot;,&quot;non-dropping-particle&quot;:&quot;&quot;},{&quot;family&quot;:&quot;Li&quot;,&quot;given&quot;:&quot;Zeyan&quot;,&quot;parse-names&quot;:false,&quot;dropping-particle&quot;:&quot;&quot;,&quot;non-dropping-particle&quot;:&quot;&quot;},{&quot;family&quot;:&quot;Liu&quot;,&quot;given&quot;:&quot;Yang&quot;,&quot;parse-names&quot;:false,&quot;dropping-particle&quot;:&quot;&quot;,&quot;non-dropping-particle&quot;:&quot;&quot;},{&quot;family&quot;:&quot;He&quot;,&quot;given&quot;:&quot;Xiao&quot;,&quot;parse-names&quot;:false,&quot;dropping-particle&quot;:&quot;&quot;,&quot;non-dropping-particle&quot;:&quot;&quot;},{&quot;family&quot;:&quot;Kang&quot;,&quot;given&quot;:&quot;Rong&quot;,&quot;parse-names&quot;:false,&quot;dropping-particle&quot;:&quot;&quot;,&quot;non-dropping-particle&quot;:&quot;&quot;},{&quot;family&quot;:&quot;Zhang&quot;,&quot;given&quot;:&quot;Tieying&quot;,&quot;parse-names&quot;:false,&quot;dropping-particle&quot;:&quot;&quot;,&quot;non-dropping-particle&quot;:&quot;&quot;},{&quot;family&quot;:&quot;Chen&quot;,&quot;given&quot;:&quot;Jianjun&quot;,&quot;parse-names&quot;:false,&quot;dropping-particle&quot;:&quot;&quot;,&quot;non-dropping-particle&quot;:&quot;&quot;},{&quot;family&quot;:&quot;Li&quot;,&quot;given&quot;:&quot;Jianhui&quot;,&quot;parse-names&quot;:false,&quot;dropping-particle&quot;:&quot;&quot;,&quot;non-dropping-particle&quot;:&quot;&quot;}],&quot;container-title&quot;:&quot;Companion Proceedings of the ACM on Web Conference 2025&quot;,&quot;issued&quot;:{&quot;date-parts&quot;:[[2025]]},&quot;page&quot;:&quot;422-431&quot;,&quot;container-title-short&quot;:&quot;&quot;},&quot;isTemporary&quot;:false}]},{&quot;citationID&quot;:&quot;MENDELEY_CITATION_1d0b8844-ce36-4ca2-ad62-1e1c2aaac99c&quot;,&quot;properties&quot;:{&quot;noteIndex&quot;:0},&quot;isEdited&quot;:false,&quot;manualOverride&quot;:{&quot;isManuallyOverridden&quot;:false,&quot;citeprocText&quot;:&quot;[5]&quot;,&quot;manualOverrideText&quot;:&quot;&quot;},&quot;citationTag&quot;:&quot;MENDELEY_CITATION_v3_eyJjaXRhdGlvbklEIjoiTUVOREVMRVlfQ0lUQVRJT05fMWQwYjg4NDQtY2UzNi00Y2EyLWFkNjItMWUxYzJhYWFjOTlj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quot;,&quot;citationItems&quot;:[{&quot;id&quot;:&quot;fbc2c0be-1878-301c-946f-0372d7e7bd0d&quot;,&quot;itemData&quot;:{&quot;type&quot;:&quot;paper-conference&quot;,&quot;id&quot;:&quot;fbc2c0be-1878-301c-946f-0372d7e7bd0d&quot;,&quot;title&quot;:&quot;mABC: multi-Agent Blockchain-Inspired Collaboration for root cause analysis in micro-services architecture&quot;,&quot;author&quot;:[{&quot;family&quot;:&quot;Zhang&quot;,&quot;given&quot;:&quot;Wei&quot;,&quot;parse-names&quot;:false,&quot;dropping-particle&quot;:&quot;&quot;,&quot;non-dropping-particle&quot;:&quot;&quot;},{&quot;family&quot;:&quot;Guo&quot;,&quot;given&quot;:&quot;Hongcheng&quot;,&quot;parse-names&quot;:false,&quot;dropping-particle&quot;:&quot;&quot;,&quot;non-dropping-particle&quot;:&quot;&quot;},{&quot;family&quot;:&quot;Yang&quot;,&quot;given&quot;:&quot;Jian&quot;,&quot;parse-names&quot;:false,&quot;dropping-particle&quot;:&quot;&quot;,&quot;non-dropping-particle&quot;:&quot;&quot;},{&quot;family&quot;:&quot;Tian&quot;,&quot;given&quot;:&quot;Zhoujin&quot;,&quot;parse-names&quot;:false,&quot;dropping-particle&quot;:&quot;&quot;,&quot;non-dropping-particle&quot;:&quot;&quot;},{&quot;family&quot;:&quot;Zhang&quot;,&quot;given&quot;:&quot;Yi&quot;,&quot;parse-names&quot;:false,&quot;dropping-particle&quot;:&quot;&quot;,&quot;non-dropping-particle&quot;:&quot;&quot;},{&quot;family&quot;:&quot;Chaoran&quot;,&quot;given&quot;:&quot;Yan&quot;,&quot;parse-names&quot;:false,&quot;dropping-particle&quot;:&quot;&quot;,&quot;non-dropping-particle&quot;:&quot;&quot;},{&quot;family&quot;:&quot;Li&quot;,&quot;given&quot;:&quot;Zhoujun&quot;,&quot;parse-names&quot;:false,&quot;dropping-particle&quot;:&quot;&quot;,&quot;non-dropping-particle&quot;:&quot;&quot;},{&quot;family&quot;:&quot;Li&quot;,&quot;given&quot;:&quot;Tongliang&quot;,&quot;parse-names&quot;:false,&quot;dropping-particle&quot;:&quot;&quot;,&quot;non-dropping-particle&quot;:&quot;&quot;},{&quot;family&quot;:&quot;Shi&quot;,&quot;given&quot;:&quot;Xu&quot;,&quot;parse-names&quot;:false,&quot;dropping-particle&quot;:&quot;&quot;,&quot;non-dropping-particle&quot;:&quot;&quot;},{&quot;family&quot;:&quot;Zheng&quot;,&quot;given&quot;:&quot;Liangfan&quot;,&quot;parse-names&quot;:false,&quot;dropping-particle&quot;:&quot;&quot;,&quot;non-dropping-particle&quot;:&quot;&quot;}],&quot;container-title&quot;:&quot;Findings of the Association for Computational Linguistics: EMNLP 2024&quot;,&quot;issued&quot;:{&quot;date-parts&quot;:[[2024]]},&quot;page&quot;:&quot;4017-4033&quot;,&quot;container-title-short&quot;:&quot;&quot;},&quot;isTemporary&quot;:false}]},{&quot;citationID&quot;:&quot;MENDELEY_CITATION_165512ed-919c-4e45-b2cd-aa4105647137&quot;,&quot;properties&quot;:{&quot;noteIndex&quot;:0},&quot;isEdited&quot;:false,&quot;manualOverride&quot;:{&quot;isManuallyOverridden&quot;:false,&quot;citeprocText&quot;:&quot;[1]&quot;,&quot;manualOverrideText&quot;:&quot;&quot;},&quot;citationTag&quot;:&quot;MENDELEY_CITATION_v3_eyJjaXRhdGlvbklEIjoiTUVOREVMRVlfQ0lUQVRJT05fMTY1NTEyZWQtOTE5Yy00ZTQ1LWIyY2QtYWE0MTA1NjQ3MTM3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56364b6d-4636-47e7-bc4a-864bc4e401cc&quot;,&quot;properties&quot;:{&quot;noteIndex&quot;:0},&quot;isEdited&quot;:false,&quot;manualOverride&quot;:{&quot;isManuallyOverridden&quot;:false,&quot;citeprocText&quot;:&quot;[6]&quot;,&quot;manualOverrideText&quot;:&quot;&quot;},&quot;citationTag&quot;:&quot;MENDELEY_CITATION_v3_eyJjaXRhdGlvbklEIjoiTUVOREVMRVlfQ0lUQVRJT05fNTYzNjRiNmQtNDYzNi00N2U3LWJjNGEtODY0YmM0ZTQwMWNj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quot;,&quot;citationItems&quot;:[{&quot;id&quot;:&quot;1758d8db-b512-3faf-bb99-d0d4d9ee6317&quot;,&quot;itemData&quot;:{&quot;type&quot;:&quot;article-journal&quot;,&quot;id&quot;:&quot;1758d8db-b512-3faf-bb99-d0d4d9ee6317&quot;,&quot;title&quot;:&quot;A Multi-Dataset Benchmark for Evaluating LLM Agents in Microservice Failure Diagnosis&quot;,&quot;author&quot;:[{&quot;family&quot;:&quot;Cai&quot;,&quot;given&quot;:&quot;Yuanhong&quot;,&quot;parse-names&quot;:false,&quot;dropping-particle&quot;:&quot;&quot;,&quot;non-dropping-particle&quot;:&quot;&quot;},{&quot;family&quot;:&quot;Nie&quot;,&quot;given&quot;:&quot;Xiaohui&quot;,&quot;parse-names&quot;:false,&quot;dropping-particle&quot;:&quot;&quot;,&quot;non-dropping-particle&quot;:&quot;&quot;},{&quot;family&quot;:&quot;Yin&quot;,&quot;given&quot;:&quot;Kanglin&quot;,&quot;parse-names&quot;:false,&quot;dropping-particle&quot;:&quot;&quot;,&quot;non-dropping-particle&quot;:&quot;&quot;},{&quot;family&quot;:&quot;Pei&quot;,&quot;given&quot;:&quot;Changhua&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Liu&quot;,&quot;given&quot;:&quot;Haibin&quot;,&quot;parse-names&quot;:false,&quot;dropping-particle&quot;:&quot;&quot;,&quot;non-dropping-particle&quot;:&quot;&quot;},{&quot;family&quot;:&quot;Liu&quot;,&quot;given&quot;:&quot;Guiyang&quot;,&quot;parse-names&quot;:false,&quot;dropping-particle&quot;:&quot;&quot;,&quot;non-dropping-particle&quot;:&quot;&quot;},{&quot;family&quot;:&quot;Wen&quot;,&quot;given&quot;:&quot;Xidao&quot;,&quot;parse-names&quot;:false,&quot;dropping-particle&quot;:&quot;&quot;,&quot;non-dropping-particle&quot;:&quot;&quot;},{&quot;family&quot;:&quot;Situ&quot;,&quot;given&quot;:&quot;Fang&quot;,&quot;parse-names&quot;:false,&quot;dropping-particle&quot;:&quot;&quot;,&quot;non-dropping-particle&quot;:&quot;&quot;}],&quot;container-title&quot;:&quot;arXiv preprint arXiv:2606.29193&quot;,&quot;issued&quot;:{&quot;date-parts&quot;:[[2026]]},&quot;container-title-short&quot;:&quot;&quot;},&quot;isTemporary&quot;:false}]},{&quot;citationID&quot;:&quot;MENDELEY_CITATION_8ed15de8-0c84-406e-bdf4-d78b737b984d&quot;,&quot;properties&quot;:{&quot;noteIndex&quot;:0},&quot;isEdited&quot;:false,&quot;manualOverride&quot;:{&quot;isManuallyOverridden&quot;:false,&quot;citeprocText&quot;:&quot;[7], [8]&quot;,&quot;manualOverrideText&quot;:&quot;&quot;},&quot;citationTag&quot;:&quot;MENDELEY_CITATION_v3_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&quot;,&quot;citationItems&quot;:[{&quot;id&quot;:&quot;fb026d58-7416-324a-816b-82815506309d&quot;,&quot;itemData&quot;:{&quot;type&quot;:&quot;paper-conference&quot;,&quot;id&quot;:&quot;fb026d58-7416-324a-816b-82815506309d&quot;,&quot;title&quot;:&quot;Microrca: Root cause localization of performance issues in microservices&quot;,&quot;author&quot;:[{&quot;family&quot;:&quot;Wu&quot;,&quot;given&quot;:&quot;Li&quot;,&quot;parse-names&quot;:false,&quot;dropping-particle&quot;:&quot;&quot;,&quot;non-dropping-particle&quot;:&quot;&quot;},{&quot;family&quot;:&quot;Tordsson&quot;,&quot;given&quot;:&quot;Johan&quot;,&quot;parse-names&quot;:false,&quot;dropping-particle&quot;:&quot;&quot;,&quot;non-dropping-particle&quot;:&quot;&quot;},{&quot;family&quot;:&quot;Elmroth&quot;,&quot;given&quot;:&quot;Erik&quot;,&quot;parse-names&quot;:false,&quot;dropping-particle&quot;:&quot;&quot;,&quot;non-dropping-particle&quot;:&quot;&quot;},{&quot;family&quot;:&quot;Kao&quot;,&quot;given&quot;:&quot;Odej&quot;,&quot;parse-names&quot;:false,&quot;dropping-particle&quot;:&quot;&quot;,&quot;non-dropping-particle&quot;:&quot;&quot;}],&quot;container-title&quot;:&quot;IEEE/IFIP Network Operations and Management Symposium (NOMS)&quot;,&quot;issued&quot;:{&quot;date-parts&quot;:[[2020]]},&quot;container-title-short&quot;:&quot;&quot;},&quot;isTemporary&quot;:false},{&quot;id&quot;:&quot;85583ea5-0e9d-3d7c-b581-7a298a4d7707&quot;,&quot;itemData&quot;:{&quot;type&quot;:&quot;paper-conference&quot;,&quot;id&quot;:&quot;85583ea5-0e9d-3d7c-b581-7a298a4d7707&quot;,&quot;title&quot;:&quot;Microscope: Pinpoint performance issues with causal graphs in micro-service environments&quot;,&quot;author&quot;:[{&quot;family&quot;:&quot;Lin&quot;,&quot;given&quot;:&quot;JinJin&quot;,&quot;parse-names&quot;:false,&quot;dropping-particle&quot;:&quot;&quot;,&quot;non-dropping-particle&quot;:&quot;&quot;},{&quot;family&quot;:&quot;Chen&quot;,&quot;given&quot;:&quot;Pengfei&quot;,&quot;parse-names&quot;:false,&quot;dropping-particle&quot;:&quot;&quot;,&quot;non-dropping-particle&quot;:&quot;&quot;},{&quot;family&quot;:&quot;Zheng&quot;,&quot;given&quot;:&quot;Zibin&quot;,&quot;parse-names&quot;:false,&quot;dropping-particle&quot;:&quot;&quot;,&quot;non-dropping-particle&quot;:&quot;&quot;}],&quot;container-title&quot;:&quot;International Conference on Service-Oriented Computing&quot;,&quot;issued&quot;:{&quot;date-parts&quot;:[[2018]]},&quot;page&quot;:&quot;3-20&quot;,&quot;publisher&quot;:&quot;Springer&quot;,&quot;container-title-short&quot;:&quot;&quot;},&quot;isTemporary&quot;:false}]},{&quot;citationID&quot;:&quot;MENDELEY_CITATION_065abdf4-55c8-426d-8c64-ad8d42d76925&quot;,&quot;properties&quot;:{&quot;noteIndex&quot;:0},&quot;isEdited&quot;:false,&quot;manualOverride&quot;:{&quot;isManuallyOverridden&quot;:false,&quot;citeprocText&quot;:&quot;[9], [10], [11]&quot;,&quot;manualOverrideText&quot;:&quot;&quot;},&quot;citationTag&quot;:&quot;MENDELEY_CITATION_v3_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AyOHRoIEFDTSBTSUdLREQgY29uZmVyZW5jZSBvbiBrbm93bGVkZ2UgZGlzY292ZXJ5IGFuZCBkYXRhIG1pbmluZyIsImlzc3VlZCI6eyJkYXRlLXBhcnRzIjpbWzIwMjJdXX0sInBhZ2UiOiIzMjMwLTMyNDAiLCJjb250YWluZXItdGl0bGUtc2hvcnQiOiIifSwiaXNUZW1wb3JhcnkiOmZhbHNlfV19&quot;,&quot;citationItems&quot;:[{&quot;id&quot;:&quot;b9a3ab94-3346-3009-895d-0756d7e051bd&quot;,&quot;itemData&quot;:{&quot;type&quot;:&quot;article-journal&quot;,&quot;id&quot;:&quot;b9a3ab94-3346-3009-895d-0756d7e051bd&quot;,&quot;title&quot;:&quot;Root cause analysis of failures in microservices through causal discovery&quot;,&quot;author&quot;:[{&quot;family&quot;:&quot;Ikram&quot;,&quot;given&quot;:&quot;Azam&quot;,&quot;parse-names&quot;:false,&quot;dropping-particle&quot;:&quot;&quot;,&quot;non-dropping-particle&quot;:&quot;&quot;},{&quot;family&quot;:&quot;Chakraborty&quot;,&quot;given&quot;:&quot;Sarthak&quot;,&quot;parse-names&quot;:false,&quot;dropping-particle&quot;:&quot;&quot;,&quot;non-dropping-particle&quot;:&quot;&quot;},{&quot;family&quot;:&quot;Mitra&quot;,&quot;given&quot;:&quot;Subrata&quot;,&quot;parse-names&quot;:false,&quot;dropping-particle&quot;:&quot;&quot;,&quot;non-dropping-particle&quot;:&quot;&quot;},{&quot;family&quot;:&quot;Saini&quot;,&quot;given&quot;:&quot;Shiv&quot;,&quot;parse-names&quot;:false,&quot;dropping-particle&quot;:&quot;&quot;,&quot;non-dropping-particle&quot;:&quot;&quot;},{&quot;family&quot;:&quot;Bagchi&quot;,&quot;given&quot;:&quot;Saurabh&quot;,&quot;parse-names&quot;:false,&quot;dropping-particle&quot;:&quot;&quot;,&quot;non-dropping-particle&quot;:&quot;&quot;},{&quot;family&quot;:&quot;Kocaoglu&quot;,&quot;given&quot;:&quot;Murat&quot;,&quot;parse-names&quot;:false,&quot;dropping-particle&quot;:&quot;&quot;,&quot;non-dropping-particle&quot;:&quot;&quot;}],&quot;container-title&quot;:&quot;Advances in Neural Information Processing Systems&quot;,&quot;container-title-short&quot;:&quot;Adv. Neural Inf. Process. Syst.&quot;,&quot;issued&quot;:{&quot;date-parts&quot;:[[2022]]},&quot;page&quot;:&quot;31158-31170&quot;,&quot;volume&quot;:&quot;35&quot;},&quot;isTemporary&quot;:false},{&quot;id&quot;:&quot;307d0f20-8e7c-322c-bf98-888876daa7a3&quot;,&quot;itemData&quot;:{&quot;type&quot;:&quot;article-journal&quot;,&quot;id&quot;:&quot;307d0f20-8e7c-322c-bf98-888876daa7a3&quot;,&quot;title&quot;:&quot;Causalrca: Causal inference based precise fine-grained root cause localization for microservice applications&quot;,&quot;author&quot;:[{&quot;family&quot;:&quot;Xin&quot;,&quot;given&quot;:&quot;Ruyue&quot;,&quot;parse-names&quot;:false,&quot;dropping-particle&quot;:&quot;&quot;,&quot;non-dropping-particle&quot;:&quot;&quot;},{&quot;family&quot;:&quot;Chen&quot;,&quot;given&quot;:&quot;Peng&quot;,&quot;parse-names&quot;:false,&quot;dropping-particle&quot;:&quot;&quot;,&quot;non-dropping-particle&quot;:&quot;&quot;},{&quot;family&quot;:&quot;Zhao&quot;,&quot;given&quot;:&quot;Zhiming&quot;,&quot;parse-names&quot;:false,&quot;dropping-particle&quot;:&quot;&quot;,&quot;non-dropping-particle&quot;:&quot;&quot;}],&quot;container-title&quot;:&quot;Journal of Systems and Software&quot;,&quot;ISSN&quot;:&quot;0164-1212&quot;,&quot;issued&quot;:{&quot;date-parts&quot;:[[2023]]},&quot;page&quot;:&quot;111724&quot;,&quot;publisher&quot;:&quot;Elsevier&quot;,&quot;volume&quot;:&quot;203&quot;,&quot;container-title-short&quot;:&quot;&quot;},&quot;isTemporary&quot;:false},{&quot;id&quot;:&quot;eacbdef9-d387-3345-924e-e18ebeb53eca&quot;,&quot;itemData&quot;:{&quot;type&quot;:&quot;paper-conference&quot;,&quot;id&quot;:&quot;eacbdef9-d387-3345-924e-e18ebeb53eca&quot;,&quot;title&quot;:&quot;Causal inference-based root cause analysis for online service systems with intervention recognition&quot;,&quot;author&quot;:[{&quot;family&quot;:&quot;Li&quot;,&quot;given&quot;:&quot;Mingjie&quot;,&quot;parse-names&quot;:false,&quot;dropping-particle&quot;:&quot;&quot;,&quot;non-dropping-particle&quot;:&quot;&quot;},{&quot;family&quot;:&quot;Li&quot;,&quot;given&quot;:&quot;Zeyan&quot;,&quot;parse-names&quot;:false,&quot;dropping-particle&quot;:&quot;&quot;,&quot;non-dropping-particle&quot;:&quot;&quot;},{&quot;family&quot;:&quot;Yin&quot;,&quot;given&quot;:&quot;Kanglin&quot;,&quot;parse-names&quot;:false,&quot;dropping-particle&quot;:&quot;&quot;,&quot;non-dropping-particle&quot;:&quot;&quot;},{&quot;family&quot;:&quot;Nie&quot;,&quot;given&quot;:&quot;Xiaohui&quot;,&quot;parse-names&quot;:false,&quot;dropping-particle&quot;:&quot;&quot;,&quot;non-dropping-particle&quot;:&quot;&quot;},{&quot;family&quot;:&quot;Zhang&quot;,&quot;given&quot;:&quot;Wenchi&quot;,&quot;parse-names&quot;:false,&quot;dropping-particle&quot;:&quot;&quot;,&quot;non-dropping-particle&quot;:&quot;&quot;},{&quot;family&quot;:&quot;Sui&quot;,&quot;given&quot;:&quot;Kaixin&quot;,&quot;parse-names&quot;:false,&quot;dropping-particle&quot;:&quot;&quot;,&quot;non-dropping-particle&quot;:&quot;&quot;},{&quot;family&quot;:&quot;Pei&quot;,&quot;given&quot;:&quot;Dan&quot;,&quot;parse-names&quot;:false,&quot;dropping-particle&quot;:&quot;&quot;,&quot;non-dropping-particle&quot;:&quot;&quot;}],&quot;container-title&quot;:&quot;Proceedings of the 28th ACM SIGKDD conference on knowledge discovery and data mining&quot;,&quot;issued&quot;:{&quot;date-parts&quot;:[[2022]]},&quot;page&quot;:&quot;3230-3240&quot;,&quot;container-title-short&quot;:&quot;&quot;},&quot;isTemporary&quot;:false}]},{&quot;citationID&quot;:&quot;MENDELEY_CITATION_acb133e1-90aa-47d0-9255-e180defbb2bf&quot;,&quot;properties&quot;:{&quot;noteIndex&quot;:0},&quot;isEdited&quot;:false,&quot;manualOverride&quot;:{&quot;isManuallyOverridden&quot;:false,&quot;citeprocText&quot;:&quot;[12]&quot;,&quot;manualOverrideText&quot;:&quot;&quot;},&quot;citationTag&quot;:&quot;MENDELEY_CITATION_v3_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&quot;,&quot;citationItems&quot;:[{&quot;id&quot;:&quot;6e61e220-2d7d-30b4-9ad4-cb0bea79a42a&quot;,&quot;itemData&quot;:{&quot;type&quot;:&quot;article-journal&quot;,&quot;id&quot;:&quot;6e61e220-2d7d-30b4-9ad4-cb0bea79a42a&quot;,&quot;title&quot;:&quot;Baro: Robust root cause analysis for microservices via multivariate bayesian online change point detection&quot;,&quot;author&quot;:[{&quot;family&quot;:&quot;Pham&quot;,&quot;given&quot;:&quot;Luan&quot;,&quot;parse-names&quot;:false,&quot;dropping-particle&quot;:&quot;&quot;,&quot;non-dropping-particle&quot;:&quot;&quot;},{&quot;family&quot;:&quot;Ha&quot;,&quot;given&quot;:&quot;Huong&quot;,&quot;parse-names&quot;:false,&quot;dropping-particle&quot;:&quot;&quot;,&quot;non-dropping-particle&quot;:&quot;&quot;},{&quot;family&quot;:&quot;Zhang&quot;,&quot;given&quot;:&quot;Hongyu&quot;,&quot;parse-names&quot;:false,&quot;dropping-particle&quot;:&quot;&quot;,&quot;non-dropping-particle&quot;:&quot;&quot;}],&quot;container-title&quot;:&quot;Proceedings of the ACM on Software Engineering&quot;,&quot;ISSN&quot;:&quot;2994-970X&quot;,&quot;issued&quot;:{&quot;date-parts&quot;:[[2024]]},&quot;page&quot;:&quot;2214-2237&quot;,&quot;publisher&quot;:&quot;ACM New York, NY, USA&quot;,&quot;issue&quot;:&quot;FSE&quot;,&quot;volume&quot;:&quot;1&quot;,&quot;container-title-short&quot;:&quot;&quot;},&quot;isTemporary&quot;:false}]},{&quot;citationID&quot;:&quot;MENDELEY_CITATION_90e5ccdf-f610-428b-a0ea-2c4716176aa9&quot;,&quot;properties&quot;:{&quot;noteIndex&quot;:0},&quot;isEdited&quot;:false,&quot;manualOverride&quot;:{&quot;isManuallyOverridden&quot;:false,&quot;citeprocText&quot;:&quot;[13], [14]&quot;,&quot;manualOverrideText&quot;:&quot;&quot;},&quot;citationTag&quot;:&quot;MENDELEY_CITATION_v3_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&quot;,&quot;citationItems&quot;:[{&quot;id&quot;:&quot;352449fd-99f5-39d6-baf7-784bf1233f9f&quot;,&quot;itemData&quot;:{&quot;type&quot;:&quot;paper-conference&quot;,&quot;id&quot;:&quot;352449fd-99f5-39d6-baf7-784bf1233f9f&quot;,&quot;title&quot;:&quot;Localizing failure root causes in a microservice through causality inference&quot;,&quot;author&quot;:[{&quot;family&quot;:&quot;Meng&quot;,&quot;given&quot;:&quot;Yuan&quot;,&quot;parse-names&quot;:false,&quot;dropping-particle&quot;:&quot;&quot;,&quot;non-dropping-particle&quot;:&quot;&quot;},{&quot;family&quot;:&quot;Zhang&quot;,&quot;given&quot;:&quot;Shenglin&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Ruru&quot;,&quot;parse-names&quot;:false,&quot;dropping-particle&quot;:&quot;&quot;,&quot;non-dropping-particle&quot;:&quot;&quot;},{&quot;family&quot;:&quot;Hu&quot;,&quot;given&quot;:&quot;Zhilong&quot;,&quot;parse-names&quot;:false,&quot;dropping-particle&quot;:&quot;&quot;,&quot;non-dropping-particle&quot;:&quot;&quot;},{&quot;family&quot;:&quot;Zhang&quot;,&quot;given&quot;:&quot;Yiyin&quot;,&quot;parse-names&quot;:false,&quot;dropping-particle&quot;:&quot;&quot;,&quot;non-dropping-particle&quot;:&quot;&quot;},{&quot;family&quot;:&quot;Jia&quot;,&quot;given&quot;:&quot;Chenyang&quot;,&quot;parse-names&quot;:false,&quot;dropping-particle&quot;:&quot;&quot;,&quot;non-dropping-particle&quot;:&quot;&quot;},{&quot;family&quot;:&quot;Wang&quot;,&quot;given&quot;:&quot;Zhaogang&quot;,&quot;parse-names&quot;:false,&quot;dropping-particle&quot;:&quot;&quot;,&quot;non-dropping-particle&quot;:&quot;&quot;},{&quot;family&quot;:&quot;Pei&quot;,&quot;given&quot;:&quot;Dan&quot;,&quot;parse-names&quot;:false,&quot;dropping-particle&quot;:&quot;&quot;,&quot;non-dropping-particle&quot;:&quot;&quot;}],&quot;container-title&quot;:&quot;2020 IEEE/ACM 28th International Symposium on Quality of Service (IWQoS)&quot;,&quot;ISBN&quot;:&quot;1728168872&quot;,&quot;issued&quot;:{&quot;date-parts&quot;:[[2020]]},&quot;page&quot;:&quot;1-10&quot;,&quot;publisher&quot;:&quot;IEEE&quot;,&quot;container-title-short&quot;:&quot;&quot;},&quot;isTemporary&quot;:false},{&quot;id&quot;:&quot;29b1e66f-df81-3d60-a472-abf343b8d2c0&quot;,&quot;itemData&quot;:{&quot;type&quot;:&quot;paper-conference&quot;,&quot;id&quot;:&quot;29b1e66f-df81-3d60-a472-abf343b8d2c0&quot;,&quot;title&quot;:&quot;Practical root cause localization for microservice systems via trace analysis&quot;,&quot;author&quot;:[{&quot;family&quot;:&quot;Li&quot;,&quot;given&quot;:&quot;Zeyan&quot;,&quot;parse-names&quot;:false,&quot;dropping-particle&quot;:&quot;&quot;,&quot;non-dropping-particle&quot;:&quot;&quot;},{&quot;family&quot;:&quot;Chen&quot;,&quot;given&quot;:&quot;Junjie&quot;,&quot;parse-names&quot;:false,&quot;dropping-particle&quot;:&quot;&quot;,&quot;non-dropping-particle&quot;:&quot;&quot;},{&quot;family&quot;:&quot;Jiao&quot;,&quot;given&quot;:&quot;Rui&quot;,&quot;parse-names&quot;:false,&quot;dropping-particle&quot;:&quot;&quot;,&quot;non-dropping-particle&quot;:&quot;&quot;},{&quot;family&quot;:&quot;Zhao&quot;,&quot;given&quot;:&quot;Nengwen&quot;,&quot;parse-names&quot;:false,&quot;dropping-particle&quot;:&quot;&quot;,&quot;non-dropping-particle&quot;:&quot;&quot;},{&quot;family&quot;:&quot;Wang&quot;,&quot;given&quot;:&quot;Zhijun&quot;,&quot;parse-names&quot;:false,&quot;dropping-particle&quot;:&quot;&quot;,&quot;non-dropping-particle&quot;:&quot;&quot;},{&quot;family&quot;:&quot;Zhang&quot;,&quot;given&quot;:&quot;Shuwei&quot;,&quot;parse-names&quot;:false,&quot;dropping-particle&quot;:&quot;&quot;,&quot;non-dropping-particle&quot;:&quot;&quot;},{&quot;family&quot;:&quot;Wu&quot;,&quot;given&quot;:&quot;Yanjun&quot;,&quot;parse-names&quot;:false,&quot;dropping-particle&quot;:&quot;&quot;,&quot;non-dropping-particle&quot;:&quot;&quot;},{&quot;family&quot;:&quot;Jiang&quot;,&quot;given&quot;:&quot;Long&quot;,&quot;parse-names&quot;:false,&quot;dropping-particle&quot;:&quot;&quot;,&quot;non-dropping-particle&quot;:&quot;&quot;},{&quot;family&quot;:&quot;Yan&quot;,&quot;given&quot;:&quot;Leiqin&quot;,&quot;parse-names&quot;:false,&quot;dropping-particle&quot;:&quot;&quot;,&quot;non-dropping-particle&quot;:&quot;&quot;},{&quot;family&quot;:&quot;Wang&quot;,&quot;given&quot;:&quot;Zikai&quot;,&quot;parse-names&quot;:false,&quot;dropping-particle&quot;:&quot;&quot;,&quot;non-dropping-particle&quot;:&quot;&quot;}],&quot;container-title&quot;:&quot;2021 IEEE/ACM 29th International Symposium on Quality of Service (IWQOS)&quot;,&quot;ISBN&quot;:&quot;1665414944&quot;,&quot;issued&quot;:{&quot;date-parts&quot;:[[2021]]},&quot;page&quot;:&quot;1-10&quot;,&quot;publisher&quot;:&quot;IEEE&quot;,&quot;container-title-short&quot;:&quot;&quot;},&quot;isTemporary&quot;:false}]},{&quot;citationID&quot;:&quot;MENDELEY_CITATION_a1c11a19-a634-4fc9-b775-b38c334a1ada&quot;,&quot;properties&quot;:{&quot;noteIndex&quot;:0},&quot;isEdited&quot;:false,&quot;manualOverride&quot;:{&quot;isManuallyOverridden&quot;:false,&quot;citeprocText&quot;:&quot;[15]&quot;,&quot;manualOverrideText&quot;:&quot;&quot;},&quot;citationTag&quot;:&quot;MENDELEY_CITATION_v3_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&quot;,&quot;citationItems&quot;:[{&quot;id&quot;:&quot;4afdcd85-af74-3361-9872-9ae34900ad23&quot;,&quot;itemData&quot;:{&quot;type&quot;:&quot;paper-conference&quot;,&quot;id&quot;:&quot;4afdcd85-af74-3361-9872-9ae34900ad23&quot;,&quot;title&quot;:&quot;Nezha: Interpretable fine-grained root causes analysis for microservices on multi-modal observability data&quot;,&quot;author&quot;:[{&quot;family&quot;:&quot;Yu&quot;,&quot;given&quot;:&quot;Guangba&quot;,&quot;parse-names&quot;:false,&quot;dropping-particle&quot;:&quot;&quot;,&quot;non-dropping-particle&quot;:&quot;&quot;},{&quot;family&quot;:&quot;Chen&quot;,&quot;given&quot;:&quot;Pengfei&quot;,&quot;parse-names&quot;:false,&quot;dropping-particle&quot;:&quot;&quot;,&quot;non-dropping-particle&quot;:&quot;&quot;},{&quot;family&quot;:&quot;Li&quot;,&quot;given&quot;:&quot;Yufeng&quot;,&quot;parse-names&quot;:false,&quot;dropping-particle&quot;:&quot;&quot;,&quot;non-dropping-particle&quot;:&quot;&quot;},{&quot;family&quot;:&quot;Chen&quot;,&quot;given&quot;:&quot;Hongyang&quot;,&quot;parse-names&quot;:false,&quot;dropping-particle&quot;:&quot;&quot;,&quot;non-dropping-particle&quot;:&quot;&quot;},{&quot;family&quot;:&quot;Li&quot;,&quot;given&quot;:&quot;Xiaoyun&quot;,&quot;parse-names&quot;:false,&quot;dropping-particle&quot;:&quot;&quot;,&quot;non-dropping-particle&quot;:&quot;&quot;},{&quot;family&quot;:&quot;Zheng&quot;,&quot;given&quot;:&quot;Zibin&quot;,&quot;parse-names&quot;:false,&quot;dropping-particle&quot;:&quot;&quot;,&quot;non-dropping-particle&quot;:&quot;&quot;}],&quot;container-title&quot;:&quot;Proceedings of the 31st ACM joint European software engineering conference and symposium on the foundations of software engineering&quot;,&quot;issued&quot;:{&quot;date-parts&quot;:[[2023]]},&quot;page&quot;:&quot;553-565&quot;,&quot;container-title-short&quot;:&quot;&quot;},&quot;isTemporary&quot;:false}]},{&quot;citationID&quot;:&quot;MENDELEY_CITATION_7afb034a-da9c-4909-8b44-5c0d8b6ab57b&quot;,&quot;properties&quot;:{&quot;noteIndex&quot;:0},&quot;isEdited&quot;:false,&quot;manualOverride&quot;:{&quot;isManuallyOverridden&quot;:false,&quot;citeprocText&quot;:&quot;[16]&quot;,&quot;manualOverrideText&quot;:&quot;&quot;},&quot;citationTag&quot;:&quot;MENDELEY_CITATION_v3_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&quot;,&quot;citationItems&quot;:[{&quot;id&quot;:&quot;2584fba6-0e31-3c36-80b7-259b9343e4a4&quot;,&quot;itemData&quot;:{&quot;type&quot;:&quot;paper-conference&quot;,&quot;id&quot;:&quot;2584fba6-0e31-3c36-80b7-259b9343e4a4&quot;,&quot;title&quot;:&quot;Mulan: Multi-modal causal structure learning and root cause analysis for microservice systems&quot;,&quot;author&quot;:[{&quot;family&quot;:&quot;Zheng&quot;,&quot;given&quot;:&quot;Lecheng&quot;,&quot;parse-names&quot;:false,&quot;dropping-particle&quot;:&quot;&quot;,&quot;non-dropping-particle&quot;:&quot;&quot;},{&quot;family&quot;:&quot;Chen&quot;,&quot;given&quot;:&quot;Zhengzhang&quot;,&quot;parse-names&quot;:false,&quot;dropping-particle&quot;:&quot;&quot;,&quot;non-dropping-particle&quot;:&quot;&quot;},{&quot;family&quot;:&quot;He&quot;,&quot;given&quot;:&quot;Jingrui&quot;,&quot;parse-names&quot;:false,&quot;dropping-particle&quot;:&quot;&quot;,&quot;non-dropping-particle&quot;:&quot;&quot;},{&quot;family&quot;:&quot;Chen&quot;,&quot;given&quot;:&quot;Haifeng&quot;,&quot;parse-names&quot;:false,&quot;dropping-particle&quot;:&quot;&quot;,&quot;non-dropping-particle&quot;:&quot;&quot;}],&quot;container-title&quot;:&quot;Proceedings of the ACM Web Conference 2024&quot;,&quot;issued&quot;:{&quot;date-parts&quot;:[[2024]]},&quot;page&quot;:&quot;4107-4116&quot;,&quot;container-title-short&quot;:&quot;&quot;},&quot;isTemporary&quot;:false}]},{&quot;citationID&quot;:&quot;MENDELEY_CITATION_8eeaf5ee-b500-4e34-9508-ccc3ac4e1844&quot;,&quot;properties&quot;:{&quot;noteIndex&quot;:0},&quot;isEdited&quot;:false,&quot;manualOverride&quot;:{&quot;isManuallyOverridden&quot;:false,&quot;citeprocText&quot;:&quot;[17]&quot;,&quot;manualOverrideText&quot;:&quot;&quot;},&quot;citationTag&quot;:&quot;MENDELEY_CITATION_v3_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&quot;,&quot;citationItems&quot;:[{&quot;id&quot;:&quot;fd839346-b3a4-3581-bf9a-103033a8b697&quot;,&quot;itemData&quot;:{&quot;type&quot;:&quot;paper-conference&quot;,&quot;id&quot;:&quot;fd839346-b3a4-3581-bf9a-103033a8b697&quot;,&quot;title&quot;:&quot;Automatic root cause analysis via large language models for cloud incidents&quot;,&quot;author&quot;:[{&quot;family&quot;:&quot;Chen&quot;,&quot;given&quot;:&quot;Yinfang&quot;,&quot;parse-names&quot;:false,&quot;dropping-particle&quot;:&quot;&quot;,&quot;non-dropping-particle&quot;:&quot;&quot;},{&quot;family&quot;:&quot;Xie&quot;,&quot;given&quot;:&quot;Huaibing&quot;,&quot;parse-names&quot;:false,&quot;dropping-particle&quot;:&quot;&quot;,&quot;non-dropping-particle&quot;:&quot;&quot;},{&quot;family&quot;:&quot;Ma&quot;,&quot;given&quot;:&quot;Minghua&quot;,&quot;parse-names&quot;:false,&quot;dropping-particle&quot;:&quot;&quot;,&quot;non-dropping-particle&quot;:&quot;&quot;},{&quot;family&quot;:&quot;Kang&quot;,&quot;given&quot;:&quot;Yu&quot;,&quot;parse-names&quot;:false,&quot;dropping-particle&quot;:&quot;&quot;,&quot;non-dropping-particle&quot;:&quot;&quot;},{&quot;family&quot;:&quot;Gao&quot;,&quot;given&quot;:&quot;Xin&quot;,&quot;parse-names&quot;:false,&quot;dropping-particle&quot;:&quot;&quot;,&quot;non-dropping-particle&quot;:&quot;&quot;},{&quot;family&quot;:&quot;Shi&quot;,&quot;given&quot;:&quot;Liu&quot;,&quot;parse-names&quot;:false,&quot;dropping-particle&quot;:&quot;&quot;,&quot;non-dropping-particle&quot;:&quot;&quot;},{&quot;family&quot;:&quot;Cao&quot;,&quot;given&quot;:&quot;Yunjie&quot;,&quot;parse-names&quot;:false,&quot;dropping-particle&quot;:&quot;&quot;,&quot;non-dropping-particle&quot;:&quot;&quot;},{&quot;family&quot;:&quot;Gao&quot;,&quot;given&quot;:&quot;Xuedong&quot;,&quot;parse-names&quot;:false,&quot;dropping-particle&quot;:&quot;&quot;,&quot;non-dropping-particle&quot;:&quot;&quot;},{&quot;family&quot;:&quot;Fan&quot;,&quot;given&quot;:&quot;Hao&quot;,&quot;parse-names&quot;:false,&quot;dropping-particle&quot;:&quot;&quot;,&quot;non-dropping-particle&quot;:&quot;&quot;},{&quot;family&quot;:&quot;Wen&quot;,&quot;given&quot;:&quot;Ming&quot;,&quot;parse-names&quot;:false,&quot;dropping-particle&quot;:&quot;&quot;,&quot;non-dropping-particle&quot;:&quot;&quot;}],&quot;container-title&quot;:&quot;Proceedings of the Nineteenth European Conference on Computer Systems&quot;,&quot;issued&quot;:{&quot;date-parts&quot;:[[2024]]},&quot;page&quot;:&quot;674-688&quot;,&quot;container-title-short&quot;:&quot;&quot;},&quot;isTemporary&quot;:false}]},{&quot;citationID&quot;:&quot;MENDELEY_CITATION_b76bc5be-7479-4562-a7c3-93c08be00adb&quot;,&quot;properties&quot;:{&quot;noteIndex&quot;:0},&quot;isEdited&quot;:false,&quot;manualOverride&quot;:{&quot;isManuallyOverridden&quot;:false,&quot;citeprocText&quot;:&quot;[18]&quot;,&quot;manualOverrideText&quot;:&quot;&quot;},&quot;citationTag&quot;:&quot;MENDELEY_CITATION_v3_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&quot;,&quot;citationItems&quot;:[{&quot;id&quot;:&quot;e8e9333c-47d3-3f97-8399-48a3fe1d4372&quot;,&quot;itemData&quot;:{&quot;type&quot;:&quot;paper-conference&quot;,&quot;id&quot;:&quot;e8e9333c-47d3-3f97-8399-48a3fe1d4372&quot;,&quot;title&quot;:&quot;Openrca: Can large language models locate the root cause of software failures?&quot;,&quot;author&quot;:[{&quot;family&quot;:&quot;Xu&quot;,&quot;given&quot;:&quot;Junjielong&quot;,&quot;parse-names&quot;:false,&quot;dropping-particle&quot;:&quot;&quot;,&quot;non-dropping-particle&quot;:&quot;&quot;},{&quot;family&quot;:&quot;Zhang&quot;,&quot;given&quot;:&quot;Qinan&quot;,&quot;parse-names&quot;:false,&quot;dropping-particle&quot;:&quot;&quot;,&quot;non-dropping-particle&quot;:&quot;&quot;},{&quot;family&quot;:&quot;Zhong&quot;,&quot;given&quot;:&quot;Zhiqing&quot;,&quot;parse-names&quot;:false,&quot;dropping-particle&quot;:&quot;&quot;,&quot;non-dropping-particle&quot;:&quot;&quot;},{&quot;family&quot;:&quot;He&quot;,&quot;given&quot;:&quot;Shilin&quot;,&quot;parse-names&quot;:false,&quot;dropping-particle&quot;:&quot;&quot;,&quot;non-dropping-particle&quot;:&quot;&quot;},{&quot;family&quot;:&quot;Zhang&quot;,&quot;given&quot;:&quot;Chaoyun&quot;,&quot;parse-names&quot;:false,&quot;dropping-particle&quot;:&quot;&quot;,&quot;non-dropping-particle&quot;:&quot;&quot;},{&quot;family&quot;:&quot;Lin&quot;,&quot;given&quot;:&quot;Qingwei&quot;,&quot;parse-names&quot;:false,&quot;dropping-particle&quot;:&quot;&quot;,&quot;non-dropping-particle&quot;:&quot;&quot;},{&quot;family&quot;:&quot;Pei&quot;,&quot;given&quot;:&quot;Dan&quot;,&quot;parse-names&quot;:false,&quot;dropping-particle&quot;:&quot;&quot;,&quot;non-dropping-particle&quot;:&quot;&quot;},{&quot;family&quot;:&quot;He&quot;,&quot;given&quot;:&quot;Pinjia&quot;,&quot;parse-names&quot;:false,&quot;dropping-particle&quot;:&quot;&quot;,&quot;non-dropping-particle&quot;:&quot;&quot;},{&quot;family&quot;:&quot;Zhang&quot;,&quot;given&quot;:&quot;Dongmei&quot;,&quot;parse-names&quot;:false,&quot;dropping-particle&quot;:&quot;&quot;,&quot;non-dropping-particle&quot;:&quot;&quot;},{&quot;family&quot;:&quot;Zhang&quot;,&quot;given&quot;:&quot;Qi&quot;,&quot;parse-names&quot;:false,&quot;dropping-particle&quot;:&quot;&quot;,&quot;non-dropping-particle&quot;:&quot;&quot;}],&quot;container-title&quot;:&quot;The thirteenth international conference on learning representations&quot;,&quot;issued&quot;:{&quot;date-parts&quot;:[[2025]]},&quot;container-title-short&quot;:&quot;&quot;},&quot;isTemporary&quot;:false}]},{&quot;citationID&quot;:&quot;MENDELEY_CITATION_a4051ec3-cdd8-4716-bc45-78b6d5b8eb69&quot;,&quot;properties&quot;:{&quot;noteIndex&quot;:0},&quot;isEdited&quot;:false,&quot;manualOverride&quot;:{&quot;isManuallyOverridden&quot;:false,&quot;citeprocText&quot;:&quot;[19]&quot;,&quot;manualOverrideText&quot;:&quot;&quot;},&quot;citationTag&quot;:&quot;MENDELEY_CITATION_v3_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&quot;,&quot;citationItems&quot;:[{&quot;id&quot;:&quot;a01de885-5f65-3051-a91b-df45836640f1&quot;,&quot;itemData&quot;:{&quot;type&quot;:&quot;paper-conference&quot;,&quot;id&quot;:&quot;a01de885-5f65-3051-a91b-df45836640f1&quot;,&quot;title&quot;:&quot;RCAEval: a benchmark for root cause analysis of microservice systems with telemetry data&quot;,&quot;author&quot;:[{&quot;family&quot;:&quot;Pham&quot;,&quot;given&quot;:&quot;Luan&quot;,&quot;parse-names&quot;:false,&quot;dropping-particle&quot;:&quot;&quot;,&quot;non-dropping-particle&quot;:&quot;&quot;},{&quot;family&quot;:&quot;Zhang&quot;,&quot;given&quot;:&quot;Hongyu&quot;,&quot;parse-names&quot;:false,&quot;dropping-particle&quot;:&quot;&quot;,&quot;non-dropping-particle&quot;:&quot;&quot;},{&quot;family&quot;:&quot;Ha&quot;,&quot;given&quot;:&quot;Huong&quot;,&quot;parse-names&quot;:false,&quot;dropping-particle&quot;:&quot;&quot;,&quot;non-dropping-particle&quot;:&quot;&quot;},{&quot;family&quot;:&quot;Salim&quot;,&quot;given&quot;:&quot;Flora&quot;,&quot;parse-names&quot;:false,&quot;dropping-particle&quot;:&quot;&quot;,&quot;non-dropping-particle&quot;:&quot;&quot;},{&quot;family&quot;:&quot;Zhang&quot;,&quot;given&quot;:&quot;Xiuzhen&quot;,&quot;parse-names&quot;:false,&quot;dropping-particle&quot;:&quot;&quot;,&quot;non-dropping-particle&quot;:&quot;&quot;}],&quot;container-title&quot;:&quot;Companion Proceedings of the ACM on Web Conference 2025&quot;,&quot;issued&quot;:{&quot;date-parts&quot;:[[2025]]},&quot;page&quot;:&quot;777-780&quot;,&quot;container-title-short&quot;:&quot;&quot;},&quot;isTemporary&quot;:false}]},{&quot;citationID&quot;:&quot;MENDELEY_CITATION_a88ccf74-069f-4f8e-98cd-a90f02846241&quot;,&quot;properties&quot;:{&quot;noteIndex&quot;:0},&quot;isEdited&quot;:false,&quot;manualOverride&quot;:{&quot;isManuallyOverridden&quot;:false,&quot;citeprocText&quot;:&quot;[20]&quot;,&quot;manualOverrideText&quot;:&quot;&quot;},&quot;citationTag&quot;:&quot;MENDELEY_CITATION_v3_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mNvbnRhaW5lci10aXRsZSI6IlByb2NlZWRpbmdzIG9mIE1hY2hpbmUgTGVhcm5pbmcgYW5kIFN5c3RlbXMiLCJpc3N1ZWQiOnsiZGF0ZS1wYXJ0cyI6W1syMDI1XV19LCJ2b2x1bWUiOiI3IiwiY29udGFpbmVyLXRpdGxlLXNob3J0IjoiIn0sImlzVGVtcG9yYXJ5IjpmYWxzZX1dfQ==&quot;,&quot;citationItems&quot;:[{&quot;id&quot;:&quot;767315d3-9f26-3518-a224-d91e80d9f5cf&quot;,&quot;itemData&quot;:{&quot;type&quot;:&quot;article-journal&quot;,&quot;id&quot;:&quot;767315d3-9f26-3518-a224-d91e80d9f5cf&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container-title&quot;:&quot;Proceedings of Machine Learning and Systems&quot;,&quot;issued&quot;:{&quot;date-parts&quot;:[[2025]]},&quot;volume&quot;:&quot;7&quot;,&quot;container-title-short&quot;:&quot;&quot;},&quot;isTemporary&quot;:false}]},{&quot;citationID&quot;:&quot;MENDELEY_CITATION_f69bd301-167e-4f11-a6e3-dd0b90a5645e&quot;,&quot;properties&quot;:{&quot;noteIndex&quot;:0},&quot;isEdited&quot;:false,&quot;manualOverride&quot;:{&quot;isManuallyOverridden&quot;:false,&quot;citeprocText&quot;:&quot;[21]&quot;,&quot;manualOverrideText&quot;:&quot;&quot;},&quot;citationTag&quot;:&quot;MENDELEY_CITATION_v3_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&quot;,&quot;citationItems&quot;:[{&quot;id&quot;:&quot;af8708a8-393c-3c6c-aa32-f7c06fa35aff&quot;,&quot;itemData&quot;:{&quot;type&quot;:&quot;article-journal&quot;,&quot;id&quot;:&quot;af8708a8-393c-3c6c-aa32-f7c06fa35aff&quot;,&quot;title&quot;:&quot;Itbench: Evaluating ai agents across diverse real-world it automation tasks&quot;,&quot;author&quot;:[{&quot;family&quot;:&quot;Jha&quot;,&quot;given&quot;:&quot;Saurabh&quot;,&quot;parse-names&quot;:false,&quot;dropping-particle&quot;:&quot;&quot;,&quot;non-dropping-particle&quot;:&quot;&quot;},{&quot;family&quot;:&quot;Arora&quot;,&quot;given&quot;:&quot;Rohan&quot;,&quot;parse-names&quot;:false,&quot;dropping-particle&quot;:&quot;&quot;,&quot;non-dropping-particle&quot;:&quot;&quot;},{&quot;family&quot;:&quot;Watanabe&quot;,&quot;given&quot;:&quot;Yuji&quot;,&quot;parse-names&quot;:false,&quot;dropping-particle&quot;:&quot;&quot;,&quot;non-dropping-particle&quot;:&quot;&quot;},{&quot;family&quot;:&quot;Yanagawa&quot;,&quot;given&quot;:&quot;Takumi&quot;,&quot;parse-names&quot;:false,&quot;dropping-particle&quot;:&quot;&quot;,&quot;non-dropping-particle&quot;:&quot;&quot;},{&quot;family&quot;:&quot;Chen&quot;,&quot;given&quot;:&quot;Yinfang&quot;,&quot;parse-names&quot;:false,&quot;dropping-particle&quot;:&quot;&quot;,&quot;non-dropping-particle&quot;:&quot;&quot;},{&quot;family&quot;:&quot;Clark&quot;,&quot;given&quot;:&quot;Jackson&quot;,&quot;parse-names&quot;:false,&quot;dropping-particle&quot;:&quot;&quot;,&quot;non-dropping-particle&quot;:&quot;&quot;},{&quot;family&quot;:&quot;Bhavya&quot;,&quot;given&quot;:&quot;Bhavya&quot;,&quot;parse-names&quot;:false,&quot;dropping-particle&quot;:&quot;&quot;,&quot;non-dropping-particle&quot;:&quot;&quot;},{&quot;family&quot;:&quot;Verma&quot;,&quot;given&quot;:&quot;Mudit&quot;,&quot;parse-names&quot;:false,&quot;dropping-particle&quot;:&quot;&quot;,&quot;non-dropping-particle&quot;:&quot;&quot;},{&quot;family&quot;:&quot;Kumar&quot;,&quot;given&quot;:&quot;Harshit&quot;,&quot;parse-names&quot;:false,&quot;dropping-particle&quot;:&quot;&quot;,&quot;non-dropping-particle&quot;:&quot;&quot;},{&quot;family&quot;:&quot;Kitahara&quot;,&quot;given&quot;:&quot;Hirokuni&quot;,&quot;parse-names&quot;:false,&quot;dropping-particle&quot;:&quot;&quot;,&quot;non-dropping-particle&quot;:&quot;&quot;}],&quot;container-title&quot;:&quot;arXiv preprint arXiv:2502.05352&quot;,&quot;issued&quot;:{&quot;date-parts&quot;:[[2025]]},&quot;container-title-short&quot;:&quot;&quot;},&quot;isTemporary&quot;:false}]},{&quot;citationID&quot;:&quot;MENDELEY_CITATION_de5235ba-6f03-47c3-9baf-fecf2ff842eb&quot;,&quot;properties&quot;:{&quot;noteIndex&quot;:0},&quot;isEdited&quot;:false,&quot;manualOverride&quot;:{&quot;isManuallyOverridden&quot;:false,&quot;citeprocText&quot;:&quot;[22]&quot;,&quot;manualOverrideText&quot;:&quot;&quot;},&quot;citationTag&quot;:&quot;MENDELEY_CITATION_v3_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&quot;,&quot;citationItems&quot;:[{&quot;id&quot;:&quot;c471fcf6-abc3-377b-b016-d965597b7662&quot;,&quot;itemData&quot;:{&quot;type&quot;:&quot;article-journal&quot;,&quot;id&quot;:&quot;c471fcf6-abc3-377b-b016-d965597b7662&quot;,&quot;title&quot;:&quot;SREGym: A Live Benchmark for AI SRE Agents with High-Fidelity Failure Scenarios&quot;,&quot;author&quot;:[{&quot;family&quot;:&quot;Clark&quot;,&quot;given&quot;:&quot;Jackson&quot;,&quot;parse-names&quot;:false,&quot;dropping-particle&quot;:&quot;&quot;,&quot;non-dropping-particle&quot;:&quot;&quot;},{&quot;family&quot;:&quot;Su&quot;,&quot;given&quot;:&quot;Yiming&quot;,&quot;parse-names&quot;:false,&quot;dropping-particle&quot;:&quot;&quot;,&quot;non-dropping-particle&quot;:&quot;&quot;},{&quot;family&quot;:&quot;Pial&quot;,&quot;given&quot;:&quot;Saad Mohammad Rafid&quot;,&quot;parse-names&quot;:false,&quot;dropping-particle&quot;:&quot;&quot;,&quot;non-dropping-particle&quot;:&quot;&quot;},{&quot;family&quot;:&quot;Tian&quot;,&quot;given&quot;:&quot;Yifang&quot;,&quot;parse-names&quot;:false,&quot;dropping-particle&quot;:&quot;&quot;,&quot;non-dropping-particle&quot;:&quot;&quot;},{&quot;family&quot;:&quot;Gniedziejko&quot;,&quot;given&quot;:&quot;Lily&quot;,&quot;parse-names&quot;:false,&quot;dropping-particle&quot;:&quot;&quot;,&quot;non-dropping-particle&quot;:&quot;&quot;},{&quot;family&quot;:&quot;Jacobsen&quot;,&quot;given&quot;:&quot;Hans-Arno&quot;,&quot;parse-names&quot;:false,&quot;dropping-particle&quot;:&quot;&quot;,&quot;non-dropping-particle&quot;:&quot;&quot;},{&quot;family&quot;:&quot;Chen&quot;,&quot;given&quot;:&quot;Yinfang&quot;,&quot;parse-names&quot;:false,&quot;dropping-particle&quot;:&quot;&quot;,&quot;non-dropping-particle&quot;:&quot;&quot;},{&quot;family&quot;:&quot;Xu&quot;,&quot;given&quot;:&quot;Tianyin&quot;,&quot;parse-names&quot;:false,&quot;dropping-particle&quot;:&quot;&quot;,&quot;non-dropping-particle&quot;:&quot;&quot;}],&quot;container-title&quot;:&quot;arXiv preprint arXiv:2605.07161&quot;,&quot;issued&quot;:{&quot;date-parts&quot;:[[2026]]},&quot;container-title-short&quot;:&quot;&quot;},&quot;isTemporary&quot;:false}]},{&quot;citationID&quot;:&quot;MENDELEY_CITATION_64d52258-9bee-462d-b13f-72670785f6b0&quot;,&quot;properties&quot;:{&quot;noteIndex&quot;:0},&quot;isEdited&quot;:false,&quot;manualOverride&quot;:{&quot;isManuallyOverridden&quot;:false,&quot;citeprocText&quot;:&quot;[4]&quot;,&quot;manualOverrideText&quot;:&quot;&quot;},&quot;citationTag&quot;:&quot;MENDELEY_CITATION_v3_eyJjaXRhdGlvbklEIjoiTUVOREVMRVlfQ0lUQVRJT05fNjRkNTIyNTgtOWJlZS00NjJkLWIxM2YtNzI2NzA3ODVmNmIw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quot;,&quot;citationItems&quot;:[{&quot;id&quot;:&quot;d7f7705d-d10d-3795-a150-ff9f1a8f3f7b&quot;,&quot;itemData&quot;:{&quot;type&quot;:&quot;paper-conference&quot;,&quot;id&quot;:&quot;d7f7705d-d10d-3795-a150-ff9f1a8f3f7b&quot;,&quot;title&quot;:&quot;Flow-of-action: Sop enhanced llm-based multi-agent system for root cause analysis&quot;,&quot;author&quot;:[{&quot;family&quot;:&quot;Pei&quot;,&quot;given&quot;:&quot;Changhua&quot;,&quot;parse-names&quot;:false,&quot;dropping-particle&quot;:&quot;&quot;,&quot;non-dropping-particle&quot;:&quot;&quot;},{&quot;family&quot;:&quot;Wang&quot;,&quot;given&quot;:&quot;Zexin&quot;,&quot;parse-names&quot;:false,&quot;dropping-particle&quot;:&quot;&quot;,&quot;non-dropping-particle&quot;:&quot;&quot;},{&quot;family&quot;:&quot;Liu&quot;,&quot;given&quot;:&quot;Fengrui&quot;,&quot;parse-names&quot;:false,&quot;dropping-particle&quot;:&quot;&quot;,&quot;non-dropping-particle&quot;:&quot;&quot;},{&quot;family&quot;:&quot;Li&quot;,&quot;given&quot;:&quot;Zeyan&quot;,&quot;parse-names&quot;:false,&quot;dropping-particle&quot;:&quot;&quot;,&quot;non-dropping-particle&quot;:&quot;&quot;},{&quot;family&quot;:&quot;Liu&quot;,&quot;given&quot;:&quot;Yang&quot;,&quot;parse-names&quot;:false,&quot;dropping-particle&quot;:&quot;&quot;,&quot;non-dropping-particle&quot;:&quot;&quot;},{&quot;family&quot;:&quot;He&quot;,&quot;given&quot;:&quot;Xiao&quot;,&quot;parse-names&quot;:false,&quot;dropping-particle&quot;:&quot;&quot;,&quot;non-dropping-particle&quot;:&quot;&quot;},{&quot;family&quot;:&quot;Kang&quot;,&quot;given&quot;:&quot;Rong&quot;,&quot;parse-names&quot;:false,&quot;dropping-particle&quot;:&quot;&quot;,&quot;non-dropping-particle&quot;:&quot;&quot;},{&quot;family&quot;:&quot;Zhang&quot;,&quot;given&quot;:&quot;Tieying&quot;,&quot;parse-names&quot;:false,&quot;dropping-particle&quot;:&quot;&quot;,&quot;non-dropping-particle&quot;:&quot;&quot;},{&quot;family&quot;:&quot;Chen&quot;,&quot;given&quot;:&quot;Jianjun&quot;,&quot;parse-names&quot;:false,&quot;dropping-particle&quot;:&quot;&quot;,&quot;non-dropping-particle&quot;:&quot;&quot;},{&quot;family&quot;:&quot;Li&quot;,&quot;given&quot;:&quot;Jianhui&quot;,&quot;parse-names&quot;:false,&quot;dropping-particle&quot;:&quot;&quot;,&quot;non-dropping-particle&quot;:&quot;&quot;}],&quot;container-title&quot;:&quot;Companion Proceedings of the ACM on Web Conference 2025&quot;,&quot;issued&quot;:{&quot;date-parts&quot;:[[2025]]},&quot;page&quot;:&quot;422-431&quot;,&quot;container-title-short&quot;:&quot;&quot;},&quot;isTemporary&quot;:false}]},{&quot;citationID&quot;:&quot;MENDELEY_CITATION_30649d93-7e66-4e40-b44d-f820c8866b0f&quot;,&quot;properties&quot;:{&quot;noteIndex&quot;:0},&quot;isEdited&quot;:false,&quot;manualOverride&quot;:{&quot;isManuallyOverridden&quot;:false,&quot;citeprocText&quot;:&quot;[1]&quot;,&quot;manualOverrideText&quot;:&quot;&quot;},&quot;citationTag&quot;:&quot;MENDELEY_CITATION_v3_eyJjaXRhdGlvbklEIjoiTUVOREVMRVlfQ0lUQVRJT05fMzA2NDlkOTMtN2U2Ni00ZTQwLWI0NGQtZjgyMGM4ODY2YjBm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21b6f6f4-d038-4e8c-9dbe-d6a86d39c7e6&quot;,&quot;properties&quot;:{&quot;noteIndex&quot;:0},&quot;isEdited&quot;:false,&quot;manualOverride&quot;:{&quot;isManuallyOverridden&quot;:false,&quot;citeprocText&quot;:&quot;[5]&quot;,&quot;manualOverrideText&quot;:&quot;&quot;},&quot;citationTag&quot;:&quot;MENDELEY_CITATION_v3_eyJjaXRhdGlvbklEIjoiTUVOREVMRVlfQ0lUQVRJT05fMjFiNmY2ZjQtZDAzOC00ZThjLTlkYmUtZDZhODZkMzljN2U2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quot;,&quot;citationItems&quot;:[{&quot;id&quot;:&quot;fbc2c0be-1878-301c-946f-0372d7e7bd0d&quot;,&quot;itemData&quot;:{&quot;type&quot;:&quot;paper-conference&quot;,&quot;id&quot;:&quot;fbc2c0be-1878-301c-946f-0372d7e7bd0d&quot;,&quot;title&quot;:&quot;mABC: multi-Agent Blockchain-Inspired Collaboration for root cause analysis in micro-services architecture&quot;,&quot;author&quot;:[{&quot;family&quot;:&quot;Zhang&quot;,&quot;given&quot;:&quot;Wei&quot;,&quot;parse-names&quot;:false,&quot;dropping-particle&quot;:&quot;&quot;,&quot;non-dropping-particle&quot;:&quot;&quot;},{&quot;family&quot;:&quot;Guo&quot;,&quot;given&quot;:&quot;Hongcheng&quot;,&quot;parse-names&quot;:false,&quot;dropping-particle&quot;:&quot;&quot;,&quot;non-dropping-particle&quot;:&quot;&quot;},{&quot;family&quot;:&quot;Yang&quot;,&quot;given&quot;:&quot;Jian&quot;,&quot;parse-names&quot;:false,&quot;dropping-particle&quot;:&quot;&quot;,&quot;non-dropping-particle&quot;:&quot;&quot;},{&quot;family&quot;:&quot;Tian&quot;,&quot;given&quot;:&quot;Zhoujin&quot;,&quot;parse-names&quot;:false,&quot;dropping-particle&quot;:&quot;&quot;,&quot;non-dropping-particle&quot;:&quot;&quot;},{&quot;family&quot;:&quot;Zhang&quot;,&quot;given&quot;:&quot;Yi&quot;,&quot;parse-names&quot;:false,&quot;dropping-particle&quot;:&quot;&quot;,&quot;non-dropping-particle&quot;:&quot;&quot;},{&quot;family&quot;:&quot;Chaoran&quot;,&quot;given&quot;:&quot;Yan&quot;,&quot;parse-names&quot;:false,&quot;dropping-particle&quot;:&quot;&quot;,&quot;non-dropping-particle&quot;:&quot;&quot;},{&quot;family&quot;:&quot;Li&quot;,&quot;given&quot;:&quot;Zhoujun&quot;,&quot;parse-names&quot;:false,&quot;dropping-particle&quot;:&quot;&quot;,&quot;non-dropping-particle&quot;:&quot;&quot;},{&quot;family&quot;:&quot;Li&quot;,&quot;given&quot;:&quot;Tongliang&quot;,&quot;parse-names&quot;:false,&quot;dropping-particle&quot;:&quot;&quot;,&quot;non-dropping-particle&quot;:&quot;&quot;},{&quot;family&quot;:&quot;Shi&quot;,&quot;given&quot;:&quot;Xu&quot;,&quot;parse-names&quot;:false,&quot;dropping-particle&quot;:&quot;&quot;,&quot;non-dropping-particle&quot;:&quot;&quot;},{&quot;family&quot;:&quot;Zheng&quot;,&quot;given&quot;:&quot;Liangfan&quot;,&quot;parse-names&quot;:false,&quot;dropping-particle&quot;:&quot;&quot;,&quot;non-dropping-particle&quot;:&quot;&quot;}],&quot;container-title&quot;:&quot;Findings of the Association for Computational Linguistics: EMNLP 2024&quot;,&quot;issued&quot;:{&quot;date-parts&quot;:[[2024]]},&quot;page&quot;:&quot;4017-4033&quot;,&quot;container-title-short&quot;:&quot;&quot;},&quot;isTemporary&quot;:false}]},{&quot;citationID&quot;:&quot;MENDELEY_CITATION_9fb2c9e6-73a6-4e3e-9524-a2cbaa2e6cf8&quot;,&quot;properties&quot;:{&quot;noteIndex&quot;:0},&quot;isEdited&quot;:false,&quot;manualOverride&quot;:{&quot;isManuallyOverridden&quot;:false,&quot;citeprocText&quot;:&quot;[23]&quot;,&quot;manualOverrideText&quot;:&quot;&quot;},&quot;citationTag&quot;:&quot;MENDELEY_CITATION_v3_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&quot;,&quot;citationItems&quot;:[{&quot;id&quot;:&quot;52054774-653b-333a-a9bf-659bfdfa1c18&quot;,&quot;itemData&quot;:{&quot;type&quot;:&quot;article-journal&quot;,&quot;id&quot;:&quot;52054774-653b-333a-a9bf-659bfdfa1c18&quot;,&quot;title&quot;:&quot;GALA: Can Graph-Augmented Large Language Model Agentic Workflows Elevate Root Cause Analysis?&quot;,&quot;author&quot;:[{&quot;family&quot;:&quot;Tian&quot;,&quot;given&quot;:&quot;Yifang&quot;,&quot;parse-names&quot;:false,&quot;dropping-particle&quot;:&quot;&quot;,&quot;non-dropping-particle&quot;:&quot;&quot;},{&quot;family&quot;:&quot;Liu&quot;,&quot;given&quot;:&quot;Yaming&quot;,&quot;parse-names&quot;:false,&quot;dropping-particle&quot;:&quot;&quot;,&quot;non-dropping-particle&quot;:&quot;&quot;},{&quot;family&quot;:&quot;Chong&quot;,&quot;given&quot;:&quot;Zichun&quot;,&quot;parse-names&quot;:false,&quot;dropping-particle&quot;:&quot;&quot;,&quot;non-dropping-particle&quot;:&quot;&quot;},{&quot;family&quot;:&quot;Huang&quot;,&quot;given&quot;:&quot;Zihang&quot;,&quot;parse-names&quot;:false,&quot;dropping-particle&quot;:&quot;&quot;,&quot;non-dropping-particle&quot;:&quot;&quot;},{&quot;family&quot;:&quot;Jacobsen&quot;,&quot;given&quot;:&quot;Hans-Arno&quot;,&quot;parse-names&quot;:false,&quot;dropping-particle&quot;:&quot;&quot;,&quot;non-dropping-particle&quot;:&quot;&quot;}],&quot;container-title&quot;:&quot;arXiv preprint arXiv:2508.12472&quot;,&quot;issued&quot;:{&quot;date-parts&quot;:[[2025]]},&quot;container-title-short&quot;:&quot;&quot;},&quot;isTemporary&quot;:false}]},{&quot;citationID&quot;:&quot;MENDELEY_CITATION_2ebbbaa4-ff01-4315-b2d6-a1f366fa876e&quot;,&quot;properties&quot;:{&quot;noteIndex&quot;:0},&quot;isEdited&quot;:false,&quot;manualOverride&quot;:{&quot;isManuallyOverridden&quot;:false,&quot;citeprocText&quot;:&quot;[6]&quot;,&quot;manualOverrideText&quot;:&quot;&quot;},&quot;citationTag&quot;:&quot;MENDELEY_CITATION_v3_eyJjaXRhdGlvbklEIjoiTUVOREVMRVlfQ0lUQVRJT05fMmViYmJhYTQtZmYwMS00MzE1LWIyZDYtYTFmMzY2ZmE4NzZl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quot;,&quot;citationItems&quot;:[{&quot;id&quot;:&quot;1758d8db-b512-3faf-bb99-d0d4d9ee6317&quot;,&quot;itemData&quot;:{&quot;type&quot;:&quot;article-journal&quot;,&quot;id&quot;:&quot;1758d8db-b512-3faf-bb99-d0d4d9ee6317&quot;,&quot;title&quot;:&quot;A Multi-Dataset Benchmark for Evaluating LLM Agents in Microservice Failure Diagnosis&quot;,&quot;author&quot;:[{&quot;family&quot;:&quot;Cai&quot;,&quot;given&quot;:&quot;Yuanhong&quot;,&quot;parse-names&quot;:false,&quot;dropping-particle&quot;:&quot;&quot;,&quot;non-dropping-particle&quot;:&quot;&quot;},{&quot;family&quot;:&quot;Nie&quot;,&quot;given&quot;:&quot;Xiaohui&quot;,&quot;parse-names&quot;:false,&quot;dropping-particle&quot;:&quot;&quot;,&quot;non-dropping-particle&quot;:&quot;&quot;},{&quot;family&quot;:&quot;Yin&quot;,&quot;given&quot;:&quot;Kanglin&quot;,&quot;parse-names&quot;:false,&quot;dropping-particle&quot;:&quot;&quot;,&quot;non-dropping-particle&quot;:&quot;&quot;},{&quot;family&quot;:&quot;Pei&quot;,&quot;given&quot;:&quot;Changhua&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Liu&quot;,&quot;given&quot;:&quot;Haibin&quot;,&quot;parse-names&quot;:false,&quot;dropping-particle&quot;:&quot;&quot;,&quot;non-dropping-particle&quot;:&quot;&quot;},{&quot;family&quot;:&quot;Liu&quot;,&quot;given&quot;:&quot;Guiyang&quot;,&quot;parse-names&quot;:false,&quot;dropping-particle&quot;:&quot;&quot;,&quot;non-dropping-particle&quot;:&quot;&quot;},{&quot;family&quot;:&quot;Wen&quot;,&quot;given&quot;:&quot;Xidao&quot;,&quot;parse-names&quot;:false,&quot;dropping-particle&quot;:&quot;&quot;,&quot;non-dropping-particle&quot;:&quot;&quot;},{&quot;family&quot;:&quot;Situ&quot;,&quot;given&quot;:&quot;Fang&quot;,&quot;parse-names&quot;:false,&quot;dropping-particle&quot;:&quot;&quot;,&quot;non-dropping-particle&quot;:&quot;&quot;}],&quot;container-title&quot;:&quot;arXiv preprint arXiv:2606.29193&quot;,&quot;issued&quot;:{&quot;date-parts&quot;:[[2026]]},&quot;container-title-short&quot;:&quot;&quot;},&quot;isTemporary&quot;:false}]},{&quot;citationID&quot;:&quot;MENDELEY_CITATION_b18be6c6-0bea-4dd1-b02c-1bf735743371&quot;,&quot;properties&quot;:{&quot;noteIndex&quot;:0},&quot;isEdited&quot;:false,&quot;manualOverride&quot;:{&quot;isManuallyOverridden&quot;:false,&quot;citeprocText&quot;:&quot;[2]&quot;,&quot;manualOverrideText&quot;:&quot;&quot;},&quot;citationTag&quot;:&quot;MENDELEY_CITATION_v3_eyJjaXRhdGlvbklEIjoiTUVOREVMRVlfQ0lUQVRJT05fYjE4YmU2YzYtMGJlYS00ZGQxLWIwMmMtMWJmNzM1NzQzMzcx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be39e195-4f84-47ca-b6f4-0dfea9dc691f&quot;,&quot;properties&quot;:{&quot;noteIndex&quot;:0},&quot;isEdited&quot;:false,&quot;manualOverride&quot;:{&quot;isManuallyOverridden&quot;:false,&quot;citeprocText&quot;:&quot;[3]&quot;,&quot;manualOverrideText&quot;:&quot;&quot;},&quot;citationTag&quot;:&quot;MENDELEY_CITATION_v3_eyJjaXRhdGlvbklEIjoiTUVOREVMRVlfQ0lUQVRJT05fYmUzOWUxOTUtNGY4NC00N2NhLWI2ZjQtMGRmZWE5ZGM2OTFm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quot;citationID&quot;:&quot;MENDELEY_CITATION_7cb1140f-36da-42f1-ad6c-cc04e5b48b88&quot;,&quot;properties&quot;:{&quot;noteIndex&quot;:0},&quot;isEdited&quot;:false,&quot;manualOverride&quot;:{&quot;isManuallyOverridden&quot;:false,&quot;citeprocText&quot;:&quot;[2]&quot;,&quot;manualOverrideText&quot;:&quot;&quot;},&quot;citationTag&quot;:&quot;MENDELEY_CITATION_v3_eyJjaXRhdGlvbklEIjoiTUVOREVMRVlfQ0lUQVRJT05fN2NiMTE0MGYtMzZkYS00MmYxLWFkNmMtY2MwNGU1YjQ4Yjg4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e534662c-585a-4f94-a679-0894d06a16f0&quot;,&quot;properties&quot;:{&quot;noteIndex&quot;:0},&quot;isEdited&quot;:false,&quot;manualOverride&quot;:{&quot;isManuallyOverridden&quot;:false,&quot;citeprocText&quot;:&quot;[3]&quot;,&quot;manualOverrideText&quot;:&quot;&quot;},&quot;citationTag&quot;:&quot;MENDELEY_CITATION_v3_eyJjaXRhdGlvbklEIjoiTUVOREVMRVlfQ0lUQVRJT05fZTUzNDY2MmMtNTg1YS00Zjk0LWE2NzktMDg5NGQwNmExNmYw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6119935-AB83-4AD3-BFBA-C03929DE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EAI Endorsed Transactions Word 2000 Template.dot</Template>
  <TotalTime>1046</TotalTime>
  <Pages>1</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This is a title</vt:lpstr>
    </vt:vector>
  </TitlesOfParts>
  <Company>The British Computer Society</Company>
  <LinksUpToDate>false</LinksUpToDate>
  <CharactersWithSpaces>27257</CharactersWithSpaces>
  <SharedDoc>false</SharedDoc>
  <HLinks>
    <vt:vector size="6" baseType="variant">
      <vt:variant>
        <vt:i4>6553702</vt:i4>
      </vt:variant>
      <vt:variant>
        <vt:i4>0</vt:i4>
      </vt:variant>
      <vt:variant>
        <vt:i4>0</vt:i4>
      </vt:variant>
      <vt:variant>
        <vt:i4>5</vt:i4>
      </vt:variant>
      <vt:variant>
        <vt:lpwstr>http://creativecommons.org/licenses/by/3.0/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title</dc:title>
  <dc:subject/>
  <dc:creator>erika</dc:creator>
  <cp:keywords/>
  <cp:lastModifiedBy>achmad.solaeman</cp:lastModifiedBy>
  <cp:revision>27</cp:revision>
  <cp:lastPrinted>1900-12-31T21:59:00Z</cp:lastPrinted>
  <dcterms:created xsi:type="dcterms:W3CDTF">2022-08-23T08:47:00Z</dcterms:created>
  <dcterms:modified xsi:type="dcterms:W3CDTF">2026-10-14T12:57:00Z</dcterms:modified>
</cp:coreProperties>
</file>