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pacing w:val="40"/>
          <w:sz w:val="20"/>
          <w:szCs w:val="20"/>
        </w:rPr>
        <w:t xml:space="preserve">STRATEGIC SEO REPORT</w:t>
      </w:r>
    </w:p>
    <w:p>
      <w:pPr>
        <w:spacing w:after="80" w:before="0"/>
      </w:pPr>
      <w:r>
        <w:rPr>
          <w:rFonts w:ascii="Arial" w:cs="Arial" w:eastAsia="Arial" w:hAnsi="Arial"/>
          <w:b/>
          <w:bCs/>
          <w:color w:val="0F1B2D"/>
          <w:sz w:val="56"/>
          <w:szCs w:val="56"/>
        </w:rPr>
        <w:t xml:space="preserve">BlackArrow Insurance</w:t>
      </w:r>
    </w:p>
    <w:p>
      <w:pPr>
        <w:spacing w:after="280" w:before="0"/>
      </w:pPr>
      <w:r>
        <w:rPr>
          <w:rFonts w:ascii="Arial" w:cs="Arial" w:eastAsia="Arial" w:hAnsi="Arial"/>
          <w:i/>
          <w:iCs/>
          <w:color w:val="4A4A4A"/>
          <w:sz w:val="32"/>
          <w:szCs w:val="32"/>
        </w:rPr>
        <w:t xml:space="preserve">Driving Organic Growth Across Eastern North Carolina</w:t>
      </w:r>
    </w:p>
    <w:p>
      <w:pPr>
        <w:pBdr>
          <w:bottom w:val="single" w:color="C8CCD2" w:sz="6" w:space="1"/>
        </w:pBdr>
        <w:spacing w:after="200" w:before="60"/>
      </w:pPr>
      <w:r>
        <w:rPr>
          <w:rFonts w:ascii="Arial" w:cs="Arial" w:eastAsia="Arial" w:hAnsi="Arial"/>
        </w:rPr>
        <w:t xml:space="preserve"/>
      </w:r>
    </w:p>
    <w:p>
      <w:pPr>
        <w:spacing w:after="80" w:before="200"/>
      </w:pPr>
      <w:r>
        <w:rPr>
          <w:rFonts w:ascii="Arial" w:cs="Arial" w:eastAsia="Arial" w:hAnsi="Arial"/>
          <w:color w:val="4A4A4A"/>
          <w:spacing w:val="30"/>
          <w:sz w:val="19"/>
          <w:szCs w:val="19"/>
        </w:rPr>
        <w:t xml:space="preserve">Prepared for</w:t>
      </w:r>
    </w:p>
    <w:p>
      <w:r>
        <w:rPr>
          <w:rFonts w:ascii="Arial" w:cs="Arial" w:eastAsia="Arial" w:hAnsi="Arial"/>
          <w:color w:val="1A1A1A"/>
          <w:sz w:val="24"/>
          <w:szCs w:val="24"/>
        </w:rPr>
        <w:t xml:space="preserve">Stone Baldwin, BlackArrow Insurance</w:t>
      </w:r>
    </w:p>
    <w:p>
      <w:pPr>
        <w:spacing w:after="80" w:before="160"/>
      </w:pPr>
      <w:r>
        <w:rPr>
          <w:rFonts w:ascii="Arial" w:cs="Arial" w:eastAsia="Arial" w:hAnsi="Arial"/>
          <w:color w:val="4A4A4A"/>
          <w:spacing w:val="30"/>
          <w:sz w:val="19"/>
          <w:szCs w:val="19"/>
        </w:rPr>
        <w:t xml:space="preserve">Date</w:t>
      </w:r>
    </w:p>
    <w:p>
      <w:r>
        <w:rPr>
          <w:rFonts w:ascii="Arial" w:cs="Arial" w:eastAsia="Arial" w:hAnsi="Arial"/>
          <w:color w:val="1A1A1A"/>
          <w:sz w:val="24"/>
          <w:szCs w:val="24"/>
        </w:rPr>
        <w:t xml:space="preserve">May 11, 2026</w:t>
      </w:r>
    </w:p>
    <w:p>
      <w:pPr>
        <w:spacing w:after="80" w:before="160"/>
      </w:pPr>
      <w:r>
        <w:rPr>
          <w:rFonts w:ascii="Arial" w:cs="Arial" w:eastAsia="Arial" w:hAnsi="Arial"/>
          <w:color w:val="4A4A4A"/>
          <w:spacing w:val="30"/>
          <w:sz w:val="19"/>
          <w:szCs w:val="19"/>
        </w:rPr>
        <w:t xml:space="preserve">Scope</w:t>
      </w:r>
    </w:p>
    <w:p>
      <w:r>
        <w:rPr>
          <w:rFonts w:ascii="Arial" w:cs="Arial" w:eastAsia="Arial" w:hAnsi="Arial"/>
          <w:color w:val="1A1A1A"/>
          <w:sz w:val="24"/>
          <w:szCs w:val="24"/>
        </w:rPr>
        <w:t xml:space="preserve">Comprehensive organic search strategy: keyword opportunities, on-page optimization, local SEO, content roadmap, and impact-scored prioritization</w:t>
      </w:r>
    </w:p>
    <w:p>
      <w:pPr>
        <w:spacing w:after="80" w:before="160"/>
      </w:pPr>
      <w:r>
        <w:rPr>
          <w:rFonts w:ascii="Arial" w:cs="Arial" w:eastAsia="Arial" w:hAnsi="Arial"/>
          <w:color w:val="4A4A4A"/>
          <w:spacing w:val="30"/>
          <w:sz w:val="19"/>
          <w:szCs w:val="19"/>
        </w:rPr>
        <w:t xml:space="preserve">Data sources</w:t>
      </w:r>
    </w:p>
    <w:p>
      <w:r>
        <w:rPr>
          <w:rFonts w:ascii="Arial" w:cs="Arial" w:eastAsia="Arial" w:hAnsi="Arial"/>
          <w:color w:val="1A1A1A"/>
          <w:sz w:val="24"/>
          <w:szCs w:val="24"/>
        </w:rPr>
        <w:t xml:space="preserve">Ahrefs Site Explorer, Keywords Explorer, SERP Overview, Google Search Console (90-day window), and on-site code/content audit of blackarrow.co</w:t>
      </w:r>
    </w:p>
    <w:p>
      <w:r>
        <w:br w:type="page"/>
      </w:r>
    </w:p>
    <w:p>
      <w:pPr>
        <w:pStyle w:val="Heading1"/>
        <w:spacing w:after="200" w:before="240"/>
      </w:pPr>
      <w:r>
        <w:rPr>
          <w:rFonts w:ascii="Arial" w:cs="Arial" w:eastAsia="Arial" w:hAnsi="Arial"/>
        </w:rPr>
        <w:t xml:space="preserve">Executive Summary</w:t>
      </w:r>
    </w:p>
    <w:p>
      <w:pPr>
        <w:spacing w:after="200" w:line="340"/>
        <w:jc w:val="both"/>
      </w:pPr>
      <w:r>
        <w:rPr>
          <w:rFonts w:ascii="Arial" w:cs="Arial" w:eastAsia="Arial" w:hAnsi="Arial"/>
          <w:i/>
          <w:iCs/>
          <w:color w:val="4A4A4A"/>
          <w:sz w:val="24"/>
          <w:szCs w:val="24"/>
        </w:rPr>
        <w:t xml:space="preserve">BlackArrow is sitting on top of an under-monetized SEO asset. The site is technically clean (Ahrefs Health 99), the schema is excellent, and content already exists for the four core cities. The traffic problem isn’t structural — it’s a combination of low domain authority, missed striking-distance rankings, an unoptimized Wilmington market, and zero Google Business Profile signal.</w:t>
      </w:r>
    </w:p>
    <w:p>
      <w:pPr>
        <w:spacing w:after="80" w:before="240"/>
      </w:pPr>
      <w:r>
        <w:rPr>
          <w:rFonts w:ascii="Arial" w:cs="Arial" w:eastAsia="Arial" w:hAnsi="Arial"/>
          <w:b/>
          <w:bCs/>
          <w:color w:val="2E75B6"/>
          <w:spacing w:val="30"/>
          <w:sz w:val="18"/>
          <w:szCs w:val="18"/>
        </w:rPr>
        <w:t xml:space="preserve">THE HEADLINE FINDING</w:t>
      </w:r>
    </w:p>
    <w:p>
      <w:pPr>
        <w:spacing w:after="160" w:line="320"/>
        <w:jc w:val="both"/>
      </w:pPr>
      <w:r>
        <w:rPr>
          <w:rFonts w:ascii="Arial" w:cs="Arial" w:eastAsia="Arial" w:hAnsi="Arial"/>
          <w:color w:val="1A1A1A"/>
          <w:sz w:val="22"/>
          <w:szCs w:val="22"/>
        </w:rPr>
        <w:t xml:space="preserve">Over the trailing 90 days the site earned 70 organic clicks against 3,305 impressions — a 2.1% CTR with an average position of 21. The aggregate ranking universe BlackArrow currently brushes against (Greenville + Whiteville + Wilmington + Raleigh + statewide NC insurance terms) represents roughly 8,000–10,000 commercial-intent monthly searches with very approachable difficulty (KD 0–20 on most local terms). The site’s Domain Rating of 13 is already higher than 6 of the top 10 ranking competitors in Wilmington. The opportunity is real, and it is not gated by content infrastructure — it is gated by execution.</w:t>
      </w:r>
    </w:p>
    <w:p>
      <w:pPr>
        <w:spacing w:after="80" w:before="240"/>
      </w:pPr>
      <w:r>
        <w:rPr>
          <w:rFonts w:ascii="Arial" w:cs="Arial" w:eastAsia="Arial" w:hAnsi="Arial"/>
          <w:b/>
          <w:bCs/>
          <w:color w:val="2E75B6"/>
          <w:spacing w:val="30"/>
          <w:sz w:val="18"/>
          <w:szCs w:val="18"/>
        </w:rPr>
        <w:t xml:space="preserve">WHAT THIS REPORT CONTAINS</w:t>
      </w:r>
    </w:p>
    <w:p>
      <w:pPr>
        <w:pStyle w:val="ListParagraph"/>
        <w:numPr>
          <w:ilvl w:val="0"/>
          <w:numId w:val="2"/>
        </w:numPr>
        <w:spacing w:after="90" w:line="300"/>
      </w:pPr>
      <w:r>
        <w:rPr>
          <w:rFonts w:ascii="Arial" w:cs="Arial" w:eastAsia="Arial" w:hAnsi="Arial"/>
          <w:color w:val="1A1A1A"/>
          <w:sz w:val="22"/>
          <w:szCs w:val="22"/>
        </w:rPr>
        <w:t xml:space="preserve">A scored opportunity matrix ranking 22 specific plays by impact, effort, and projected dollar value.</w:t>
      </w:r>
    </w:p>
    <w:p>
      <w:pPr>
        <w:pStyle w:val="ListParagraph"/>
        <w:numPr>
          <w:ilvl w:val="0"/>
          <w:numId w:val="2"/>
        </w:numPr>
        <w:spacing w:after="90" w:line="300"/>
      </w:pPr>
      <w:r>
        <w:rPr>
          <w:rFonts w:ascii="Arial" w:cs="Arial" w:eastAsia="Arial" w:hAnsi="Arial"/>
          <w:color w:val="1A1A1A"/>
          <w:sz w:val="22"/>
          <w:szCs w:val="22"/>
        </w:rPr>
        <w:t xml:space="preserve">A four-tier prioritization (Critical / High / Medium / Strategic) with the rationale behind each ranking.</w:t>
      </w:r>
    </w:p>
    <w:p>
      <w:pPr>
        <w:pStyle w:val="ListParagraph"/>
        <w:numPr>
          <w:ilvl w:val="0"/>
          <w:numId w:val="2"/>
        </w:numPr>
        <w:spacing w:after="90" w:line="300"/>
      </w:pPr>
      <w:r>
        <w:rPr>
          <w:rFonts w:ascii="Arial" w:cs="Arial" w:eastAsia="Arial" w:hAnsi="Arial"/>
          <w:color w:val="1A1A1A"/>
          <w:sz w:val="22"/>
          <w:szCs w:val="22"/>
        </w:rPr>
        <w:t xml:space="preserve">A 90-day, 6-month, and 12-month implementation roadmap.</w:t>
      </w:r>
    </w:p>
    <w:p>
      <w:pPr>
        <w:pStyle w:val="ListParagraph"/>
        <w:numPr>
          <w:ilvl w:val="0"/>
          <w:numId w:val="2"/>
        </w:numPr>
        <w:spacing w:after="90" w:line="300"/>
      </w:pPr>
      <w:r>
        <w:rPr>
          <w:rFonts w:ascii="Arial" w:cs="Arial" w:eastAsia="Arial" w:hAnsi="Arial"/>
          <w:color w:val="1A1A1A"/>
          <w:sz w:val="22"/>
          <w:szCs w:val="22"/>
        </w:rPr>
        <w:t xml:space="preserve">A projected impact model: traffic, clicks, equivalent paid-search value, and quote-request lift.</w:t>
      </w:r>
    </w:p>
    <w:p>
      <w:pPr>
        <w:spacing w:after="80" w:before="240"/>
      </w:pPr>
      <w:r>
        <w:rPr>
          <w:rFonts w:ascii="Arial" w:cs="Arial" w:eastAsia="Arial" w:hAnsi="Arial"/>
          <w:b/>
          <w:bCs/>
          <w:color w:val="2E75B6"/>
          <w:spacing w:val="30"/>
          <w:sz w:val="18"/>
          <w:szCs w:val="18"/>
        </w:rPr>
        <w:t xml:space="preserve">BOTTOM LINE</w:t>
      </w:r>
    </w:p>
    <w:p>
      <w:pPr>
        <w:spacing w:after="160" w:line="320"/>
        <w:jc w:val="both"/>
      </w:pPr>
      <w:r>
        <w:rPr>
          <w:rFonts w:ascii="Arial" w:cs="Arial" w:eastAsia="Arial" w:hAnsi="Arial"/>
          <w:color w:val="1A1A1A"/>
          <w:sz w:val="22"/>
          <w:szCs w:val="22"/>
        </w:rPr>
        <w:t xml:space="preserve">Executing the Tier-1 plays alone (estimated 90-day effort: 30–40 hours of focused work) should move BlackArrow from ~50 clicks/month to 250–400 clicks/month within 6 months. Layered with the Tier-2 build-out, the trailing 12-month target is 1,500–2,500 organic clicks/month — a 30–50x increase, with a marketing-equivalent value of roughly $30,000–$55,000 per month in displaced paid-search spend at current CPCs.</w:t>
      </w:r>
    </w:p>
    <w:p>
      <w:r>
        <w:br w:type="page"/>
      </w:r>
    </w:p>
    <w:p>
      <w:pPr>
        <w:pStyle w:val="Heading1"/>
        <w:spacing w:after="200" w:before="240"/>
      </w:pPr>
      <w:r>
        <w:rPr>
          <w:rFonts w:ascii="Arial" w:cs="Arial" w:eastAsia="Arial" w:hAnsi="Arial"/>
        </w:rPr>
        <w:t xml:space="preserve">Where The Site Stands Today</w:t>
      </w:r>
    </w:p>
    <w:p>
      <w:pPr>
        <w:pStyle w:val="Heading2"/>
        <w:spacing w:after="120" w:before="240"/>
      </w:pPr>
      <w:r>
        <w:rPr>
          <w:rFonts w:ascii="Arial" w:cs="Arial" w:eastAsia="Arial" w:hAnsi="Arial"/>
        </w:rPr>
        <w:t xml:space="preserve">Authority and link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13</w:t>
            </w:r>
          </w:p>
          <w:p>
            <w:pPr>
              <w:spacing w:after="0"/>
              <w:jc w:val="center"/>
            </w:pPr>
            <w:r>
              <w:rPr>
                <w:rFonts w:ascii="Arial" w:cs="Arial" w:eastAsia="Arial" w:hAnsi="Arial"/>
                <w:color w:val="4A4A4A"/>
                <w:spacing w:val="20"/>
                <w:sz w:val="17"/>
                <w:szCs w:val="17"/>
              </w:rPr>
              <w:t xml:space="preserve">DOMAIN RATING</w:t>
            </w:r>
          </w:p>
        </w:tc>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85</w:t>
            </w:r>
          </w:p>
          <w:p>
            <w:pPr>
              <w:spacing w:after="0"/>
              <w:jc w:val="center"/>
            </w:pPr>
            <w:r>
              <w:rPr>
                <w:rFonts w:ascii="Arial" w:cs="Arial" w:eastAsia="Arial" w:hAnsi="Arial"/>
                <w:color w:val="4A4A4A"/>
                <w:spacing w:val="20"/>
                <w:sz w:val="17"/>
                <w:szCs w:val="17"/>
              </w:rPr>
              <w:t xml:space="preserve">REFERRING DOMAINS</w:t>
            </w:r>
          </w:p>
        </w:tc>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241</w:t>
            </w:r>
          </w:p>
          <w:p>
            <w:pPr>
              <w:spacing w:after="0"/>
              <w:jc w:val="center"/>
            </w:pPr>
            <w:r>
              <w:rPr>
                <w:rFonts w:ascii="Arial" w:cs="Arial" w:eastAsia="Arial" w:hAnsi="Arial"/>
                <w:color w:val="4A4A4A"/>
                <w:spacing w:val="20"/>
                <w:sz w:val="17"/>
                <w:szCs w:val="17"/>
              </w:rPr>
              <w:t xml:space="preserve">LIVE BACKLINKS</w:t>
            </w:r>
          </w:p>
        </w:tc>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99</w:t>
            </w:r>
          </w:p>
          <w:p>
            <w:pPr>
              <w:spacing w:after="0"/>
              <w:jc w:val="center"/>
            </w:pPr>
            <w:r>
              <w:rPr>
                <w:rFonts w:ascii="Arial" w:cs="Arial" w:eastAsia="Arial" w:hAnsi="Arial"/>
                <w:color w:val="4A4A4A"/>
                <w:spacing w:val="20"/>
                <w:sz w:val="17"/>
                <w:szCs w:val="17"/>
              </w:rPr>
              <w:t xml:space="preserve">AHREFS HEALTH SCORE</w:t>
            </w:r>
          </w:p>
        </w:tc>
      </w:tr>
    </w:tbl>
    <w:p>
      <w:pPr>
        <w:spacing w:after="160" w:line="320"/>
        <w:jc w:val="both"/>
      </w:pPr>
      <w:r>
        <w:rPr>
          <w:rFonts w:ascii="Arial" w:cs="Arial" w:eastAsia="Arial" w:hAnsi="Arial"/>
          <w:color w:val="1A1A1A"/>
          <w:sz w:val="22"/>
          <w:szCs w:val="22"/>
        </w:rPr>
        <w:t xml:space="preserve"/>
      </w:r>
    </w:p>
    <w:p>
      <w:pPr>
        <w:spacing w:after="160" w:line="320"/>
        <w:jc w:val="both"/>
      </w:pPr>
      <w:r>
        <w:rPr>
          <w:rFonts w:ascii="Arial" w:cs="Arial" w:eastAsia="Arial" w:hAnsi="Arial"/>
          <w:color w:val="1A1A1A"/>
          <w:sz w:val="22"/>
          <w:szCs w:val="22"/>
        </w:rPr>
        <w:t xml:space="preserve">Domain Rating of 13 on a 100-point scale is modest, but in the BlackArrow service area it is competitive. Of the seven local insurance competitors ranking on page one for "business insurance wilmington nc" and "insurance agency wilmington nc," only Nationwide (DR 84) and the Huneycutt Group (DR 8) plus Yelp (DR 94) outrank BlackArrow on authority. The remaining local agencies (April Jones, Atlantic Coast, Southeastern, Coastal Contractors, Superior, Polly Piland) all sit between DR 0 and DR 4. BlackArrow already has the link-equity advantage in this market and is not capitalizing on it.</w:t>
      </w:r>
    </w:p>
    <w:p>
      <w:pPr>
        <w:spacing w:after="160" w:line="320"/>
        <w:jc w:val="both"/>
      </w:pPr>
      <w:r>
        <w:rPr>
          <w:rFonts w:ascii="Arial" w:cs="Arial" w:eastAsia="Arial" w:hAnsi="Arial"/>
          <w:color w:val="1A1A1A"/>
          <w:sz w:val="22"/>
          <w:szCs w:val="22"/>
        </w:rPr>
        <w:t xml:space="preserve">That said, 85 referring domains is low-end for an established multi-office agency that has been operating since 2002. There is significant headroom — doubling the link profile to 170–200 referring domains is realistic within 12 months through chamber memberships, local press, partner placements, and supplier directories. That alone should pull DR into the 22–28 range and unlock harder commercial keywords.</w:t>
      </w:r>
    </w:p>
    <w:p>
      <w:pPr>
        <w:pStyle w:val="Heading2"/>
        <w:spacing w:after="120" w:before="240"/>
      </w:pPr>
      <w:r>
        <w:rPr>
          <w:rFonts w:ascii="Arial" w:cs="Arial" w:eastAsia="Arial" w:hAnsi="Arial"/>
        </w:rPr>
        <w:t xml:space="preserve">Search visibility (Google Search Console, trailing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70</w:t>
            </w:r>
          </w:p>
          <w:p>
            <w:pPr>
              <w:spacing w:after="0"/>
              <w:jc w:val="center"/>
            </w:pPr>
            <w:r>
              <w:rPr>
                <w:rFonts w:ascii="Arial" w:cs="Arial" w:eastAsia="Arial" w:hAnsi="Arial"/>
                <w:color w:val="4A4A4A"/>
                <w:spacing w:val="20"/>
                <w:sz w:val="17"/>
                <w:szCs w:val="17"/>
              </w:rPr>
              <w:t xml:space="preserve">CLICKS</w:t>
            </w:r>
          </w:p>
        </w:tc>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3,305</w:t>
            </w:r>
          </w:p>
          <w:p>
            <w:pPr>
              <w:spacing w:after="0"/>
              <w:jc w:val="center"/>
            </w:pPr>
            <w:r>
              <w:rPr>
                <w:rFonts w:ascii="Arial" w:cs="Arial" w:eastAsia="Arial" w:hAnsi="Arial"/>
                <w:color w:val="4A4A4A"/>
                <w:spacing w:val="20"/>
                <w:sz w:val="17"/>
                <w:szCs w:val="17"/>
              </w:rPr>
              <w:t xml:space="preserve">IMPRESSIONS</w:t>
            </w:r>
          </w:p>
        </w:tc>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2.1%</w:t>
            </w:r>
          </w:p>
          <w:p>
            <w:pPr>
              <w:spacing w:after="0"/>
              <w:jc w:val="center"/>
            </w:pPr>
            <w:r>
              <w:rPr>
                <w:rFonts w:ascii="Arial" w:cs="Arial" w:eastAsia="Arial" w:hAnsi="Arial"/>
                <w:color w:val="4A4A4A"/>
                <w:spacing w:val="20"/>
                <w:sz w:val="17"/>
                <w:szCs w:val="17"/>
              </w:rPr>
              <w:t xml:space="preserve">AVG. CTR</w:t>
            </w:r>
          </w:p>
        </w:tc>
        <w:tc>
          <w:tcPr>
            <w:tcW w:type="dxa" w:w="2340"/>
            <w:tcBorders>
              <w:top w:val="single" w:color="C8CCD2" w:sz="6"/>
              <w:left w:val="none" w:color="FFFFFF" w:sz="0"/>
              <w:bottom w:val="single" w:color="C8CCD2" w:sz="6"/>
              <w:right w:val="none" w:color="FFFFFF" w:sz="0"/>
            </w:tcBorders>
            <w:tcMar>
              <w:top w:type="dxa" w:w="160"/>
              <w:left w:type="dxa" w:w="80"/>
              <w:bottom w:type="dxa" w:w="160"/>
              <w:right w:type="dxa" w:w="80"/>
            </w:tcMar>
          </w:tcPr>
          <w:p>
            <w:pPr>
              <w:spacing w:after="40"/>
              <w:jc w:val="center"/>
            </w:pPr>
            <w:r>
              <w:rPr>
                <w:rFonts w:ascii="Arial" w:cs="Arial" w:eastAsia="Arial" w:hAnsi="Arial"/>
                <w:b/>
                <w:bCs/>
                <w:color w:val="0F1B2D"/>
                <w:sz w:val="40"/>
                <w:szCs w:val="40"/>
              </w:rPr>
              <w:t xml:space="preserve">20.6</w:t>
            </w:r>
          </w:p>
          <w:p>
            <w:pPr>
              <w:spacing w:after="0"/>
              <w:jc w:val="center"/>
            </w:pPr>
            <w:r>
              <w:rPr>
                <w:rFonts w:ascii="Arial" w:cs="Arial" w:eastAsia="Arial" w:hAnsi="Arial"/>
                <w:color w:val="4A4A4A"/>
                <w:spacing w:val="20"/>
                <w:sz w:val="17"/>
                <w:szCs w:val="17"/>
              </w:rPr>
              <w:t xml:space="preserve">AVG. POSITION</w:t>
            </w:r>
          </w:p>
        </w:tc>
      </w:tr>
    </w:tbl>
    <w:p>
      <w:pPr>
        <w:spacing w:after="160" w:line="320"/>
        <w:jc w:val="both"/>
      </w:pPr>
      <w:r>
        <w:rPr>
          <w:rFonts w:ascii="Arial" w:cs="Arial" w:eastAsia="Arial" w:hAnsi="Arial"/>
          <w:color w:val="1A1A1A"/>
          <w:sz w:val="22"/>
          <w:szCs w:val="22"/>
        </w:rPr>
        <w:t xml:space="preserve"/>
      </w:r>
    </w:p>
    <w:p>
      <w:pPr>
        <w:spacing w:after="160" w:line="320"/>
        <w:jc w:val="both"/>
      </w:pPr>
      <w:r>
        <w:rPr>
          <w:rFonts w:ascii="Arial" w:cs="Arial" w:eastAsia="Arial" w:hAnsi="Arial"/>
          <w:color w:val="1A1A1A"/>
          <w:sz w:val="22"/>
          <w:szCs w:val="22"/>
        </w:rPr>
        <w:t xml:space="preserve">The trajectory is positive. March saw 7 clicks. April saw 54. May (partial month, 11 days in) is on pace for 25–40. The shape suggests that recent content and structural work is starting to surface in Google. The strategy now is to compound that momentum rather than wait for it to plateau.</w:t>
      </w:r>
    </w:p>
    <w:p>
      <w:pPr>
        <w:pStyle w:val="Heading2"/>
        <w:spacing w:after="120" w:before="240"/>
      </w:pPr>
      <w:r>
        <w:rPr>
          <w:rFonts w:ascii="Arial" w:cs="Arial" w:eastAsia="Arial" w:hAnsi="Arial"/>
        </w:rPr>
        <w:t xml:space="preserve">Top performing existing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500"/>
        <w:gridCol w:w="1560"/>
      </w:tblGrid>
      <w:tr>
        <w:trPr>
          <w:tblHeader/>
        </w:trPr>
        <w:tc>
          <w:tcPr>
            <w:tcW w:type="dxa" w:w="48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5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Impressions</w:t>
            </w:r>
          </w:p>
        </w:tc>
        <w:tc>
          <w:tcPr>
            <w:tcW w:type="dxa" w:w="15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Clicks</w:t>
            </w:r>
          </w:p>
        </w:tc>
        <w:tc>
          <w:tcPr>
            <w:tcW w:type="dxa" w:w="156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Avg. Position</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Homepage (www.blackarrow.co)</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132</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10.2</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Homepage (http://, non-www)</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235</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9.0</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/our-story</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140</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3.9</w:t>
            </w:r>
          </w:p>
        </w:tc>
      </w:tr>
      <w:tr>
        <w:tc>
          <w:tcPr>
            <w:tcW w:type="dxa" w:w="4800"/>
            <w:tcBorders>
              <w:top w:val="single" w:color="C8CCD2" w:sz="4"/>
              <w:left w:val="single" w:color="C8CCD2" w:sz="4"/>
              <w:bottom w:val="single" w:color="C8CCD2" w:sz="4"/>
              <w:right w:val="single" w:color="C8CCD2" w:sz="4"/>
            </w:tcBorders>
            <w:shd w:fill="FCE9E9"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/post/how-much-general-liability-insurance-...</w:t>
            </w:r>
          </w:p>
        </w:tc>
        <w:tc>
          <w:tcPr>
            <w:tcW w:type="dxa" w:w="1500"/>
            <w:tcBorders>
              <w:top w:val="single" w:color="C8CCD2" w:sz="4"/>
              <w:left w:val="single" w:color="C8CCD2" w:sz="4"/>
              <w:bottom w:val="single" w:color="C8CCD2" w:sz="4"/>
              <w:right w:val="single" w:color="C8CCD2" w:sz="4"/>
            </w:tcBorders>
            <w:shd w:fill="FCE9E9"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706</w:t>
            </w:r>
          </w:p>
        </w:tc>
        <w:tc>
          <w:tcPr>
            <w:tcW w:type="dxa" w:w="1500"/>
            <w:tcBorders>
              <w:top w:val="single" w:color="C8CCD2" w:sz="4"/>
              <w:left w:val="single" w:color="C8CCD2" w:sz="4"/>
              <w:bottom w:val="single" w:color="C8CCD2" w:sz="4"/>
              <w:right w:val="single" w:color="C8CCD2" w:sz="4"/>
            </w:tcBorders>
            <w:shd w:fill="FCE9E9" w:color="auto" w:val="clear"/>
            <w:tcMar>
              <w:top w:type="dxa" w:w="90"/>
              <w:left w:type="dxa" w:w="120"/>
              <w:bottom w:type="dxa" w:w="90"/>
              <w:right w:type="dxa" w:w="120"/>
            </w:tcMar>
          </w:tcPr>
          <w:p>
            <w:pPr>
              <w:jc w:val="center"/>
            </w:pPr>
            <w:r>
              <w:rPr>
                <w:rFonts w:ascii="Arial" w:cs="Arial" w:eastAsia="Arial" w:hAnsi="Arial"/>
                <w:b/>
                <w:bCs/>
                <w:color w:val="A02B2B"/>
                <w:sz w:val="20"/>
                <w:szCs w:val="20"/>
              </w:rPr>
              <w:t xml:space="preserve">0</w:t>
            </w:r>
          </w:p>
        </w:tc>
        <w:tc>
          <w:tcPr>
            <w:tcW w:type="dxa" w:w="1560"/>
            <w:tcBorders>
              <w:top w:val="single" w:color="C8CCD2" w:sz="4"/>
              <w:left w:val="single" w:color="C8CCD2" w:sz="4"/>
              <w:bottom w:val="single" w:color="C8CCD2" w:sz="4"/>
              <w:right w:val="single" w:color="C8CCD2" w:sz="4"/>
            </w:tcBorders>
            <w:shd w:fill="FCE9E9"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53.0</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/insurance/homeowners</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100</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2.9</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/insurance/rental-dwelling</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73</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0</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16.0</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/insurance/business-owners-package</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42</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0</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3.2</w:t>
            </w:r>
          </w:p>
        </w:tc>
      </w:tr>
      <w:tr>
        <w:tc>
          <w:tcPr>
            <w:tcW w:type="dxa" w:w="4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/insurance/auto-insurance-greenville-nc</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26</w:t>
            </w:r>
          </w:p>
        </w:tc>
        <w:tc>
          <w:tcPr>
            <w:tcW w:type="dxa" w:w="1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0</w:t>
            </w:r>
          </w:p>
        </w:tc>
        <w:tc>
          <w:tcPr>
            <w:tcW w:type="dxa" w:w="15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30.1</w:t>
            </w:r>
          </w:p>
        </w:tc>
      </w:tr>
    </w:tbl>
    <w:p>
      <w:pPr>
        <w:spacing w:after="160" w:line="320"/>
        <w:jc w:val="both"/>
      </w:pPr>
      <w:r>
        <w:rPr>
          <w:rFonts w:ascii="Arial" w:cs="Arial" w:eastAsia="Arial" w:hAnsi="Arial"/>
          <w:color w:val="1A1A1A"/>
          <w:sz w:val="22"/>
          <w:szCs w:val="22"/>
        </w:rPr>
        <w:t xml:space="preserve"/>
      </w:r>
    </w:p>
    <w:p>
      <w:pPr>
        <w:spacing w:after="160" w:line="320"/>
        <w:jc w:val="both"/>
      </w:pPr>
      <w:r>
        <w:rPr>
          <w:rFonts w:ascii="Arial" w:cs="Arial" w:eastAsia="Arial" w:hAnsi="Arial"/>
          <w:color w:val="1A1A1A"/>
          <w:sz w:val="22"/>
          <w:szCs w:val="22"/>
        </w:rPr>
        <w:t xml:space="preserve">The single most important line in this table is the highlighted row. One blog post is generating 706 impressions — 21% of total site impressions — against zero clicks because it sits in position 53. That post is also pulling impressions for 40 distinct commercial-intent keywords (e.g. "how much general liability insurance do i need," "1 million per occurrence 2 million aggregate," "general liability insurance limits"). Promoted to even position 8–10, this single page should produce 40–70 organic clicks per month on its own.</w:t>
      </w:r>
    </w:p>
    <w:p>
      <w:r>
        <w:br w:type="page"/>
      </w:r>
    </w:p>
    <w:p>
      <w:pPr>
        <w:pStyle w:val="Heading1"/>
        <w:spacing w:after="200" w:before="240"/>
      </w:pPr>
      <w:r>
        <w:rPr>
          <w:rFonts w:ascii="Arial" w:cs="Arial" w:eastAsia="Arial" w:hAnsi="Arial"/>
        </w:rPr>
        <w:t xml:space="preserve">Five Critical Findings</w:t>
      </w:r>
    </w:p>
    <w:p>
      <w:pPr>
        <w:spacing w:after="80" w:before="240"/>
      </w:pPr>
      <w:r>
        <w:rPr>
          <w:rFonts w:ascii="Arial" w:cs="Arial" w:eastAsia="Arial" w:hAnsi="Arial"/>
          <w:b/>
          <w:bCs/>
          <w:color w:val="2E75B6"/>
          <w:spacing w:val="30"/>
          <w:sz w:val="18"/>
          <w:szCs w:val="18"/>
        </w:rPr>
        <w:t xml:space="preserve">FINDING 1</w:t>
      </w:r>
    </w:p>
    <w:p>
      <w:pPr>
        <w:pStyle w:val="Heading2"/>
        <w:spacing w:after="120" w:before="240"/>
      </w:pPr>
      <w:r>
        <w:rPr>
          <w:rFonts w:ascii="Arial" w:cs="Arial" w:eastAsia="Arial" w:hAnsi="Arial"/>
        </w:rPr>
        <w:t xml:space="preserve">The Wilmington opportunity dwarfs everything else</w:t>
      </w:r>
    </w:p>
    <w:p>
      <w:pPr>
        <w:spacing w:after="160" w:line="320"/>
        <w:jc w:val="both"/>
      </w:pPr>
      <w:r>
        <w:rPr>
          <w:rFonts w:ascii="Arial" w:cs="Arial" w:eastAsia="Arial" w:hAnsi="Arial"/>
          <w:color w:val="1A1A1A"/>
          <w:sz w:val="22"/>
          <w:szCs w:val="22"/>
        </w:rPr>
        <w:t xml:space="preserve">Across roughly 50 Wilmington-modifier insurance keywords the cumulative monthly search volume is approximately 4,800. The largest single term — "business insurance wilmington nc" — carries 900 monthly searches and a $30 CPC. Critically, the top 10 SERP for that query is dominated by local agencies with DR 0–8. BlackArrow at DR 13 is structurally favored, but the four Wilmington service pages currently get effectively zero visibility in Search Console. This is a build-and-optimize problem, not a content gap problem.</w:t>
      </w:r>
    </w:p>
    <w:p>
      <w:pPr>
        <w:spacing w:after="80" w:before="240"/>
      </w:pPr>
      <w:r>
        <w:rPr>
          <w:rFonts w:ascii="Arial" w:cs="Arial" w:eastAsia="Arial" w:hAnsi="Arial"/>
          <w:b/>
          <w:bCs/>
          <w:color w:val="2E75B6"/>
          <w:spacing w:val="30"/>
          <w:sz w:val="18"/>
          <w:szCs w:val="18"/>
        </w:rPr>
        <w:t xml:space="preserve">FINDING 2</w:t>
      </w:r>
    </w:p>
    <w:p>
      <w:pPr>
        <w:pStyle w:val="Heading2"/>
        <w:spacing w:after="120" w:before="240"/>
      </w:pPr>
      <w:r>
        <w:rPr>
          <w:rFonts w:ascii="Arial" w:cs="Arial" w:eastAsia="Arial" w:hAnsi="Arial"/>
        </w:rPr>
        <w:t xml:space="preserve">The general liability article is a sleeping giant</w:t>
      </w:r>
    </w:p>
    <w:p>
      <w:pPr>
        <w:spacing w:after="160" w:line="320"/>
        <w:jc w:val="both"/>
      </w:pPr>
      <w:r>
        <w:rPr>
          <w:rFonts w:ascii="Arial" w:cs="Arial" w:eastAsia="Arial" w:hAnsi="Arial"/>
          <w:color w:val="1A1A1A"/>
          <w:sz w:val="22"/>
          <w:szCs w:val="22"/>
        </w:rPr>
        <w:t xml:space="preserve">A single blog post (the general liability coverage limits piece) is responsible for 706 impressions in 90 days, ranking for 40 commercial-intent keywords. It sits at position 53. Moving this page into the top 10 — achievable through expansion, internal linking, and on-page optimization — unlocks meaningful traffic without writing a single new word. The keyword "how much general liability insurance do i need" alone has 350 monthly searches and a KD of 2.</w:t>
      </w:r>
    </w:p>
    <w:p>
      <w:pPr>
        <w:spacing w:after="80" w:before="240"/>
      </w:pPr>
      <w:r>
        <w:rPr>
          <w:rFonts w:ascii="Arial" w:cs="Arial" w:eastAsia="Arial" w:hAnsi="Arial"/>
          <w:b/>
          <w:bCs/>
          <w:color w:val="2E75B6"/>
          <w:spacing w:val="30"/>
          <w:sz w:val="18"/>
          <w:szCs w:val="18"/>
        </w:rPr>
        <w:t xml:space="preserve">FINDING 3</w:t>
      </w:r>
    </w:p>
    <w:p>
      <w:pPr>
        <w:pStyle w:val="Heading2"/>
        <w:spacing w:after="120" w:before="240"/>
      </w:pPr>
      <w:r>
        <w:rPr>
          <w:rFonts w:ascii="Arial" w:cs="Arial" w:eastAsia="Arial" w:hAnsi="Arial"/>
        </w:rPr>
        <w:t xml:space="preserve">No Google Business Profile signal is leaving money on the table</w:t>
      </w:r>
    </w:p>
    <w:p>
      <w:pPr>
        <w:spacing w:after="160" w:line="320"/>
        <w:jc w:val="both"/>
      </w:pPr>
      <w:r>
        <w:rPr>
          <w:rFonts w:ascii="Arial" w:cs="Arial" w:eastAsia="Arial" w:hAnsi="Arial"/>
          <w:color w:val="1A1A1A"/>
          <w:sz w:val="22"/>
          <w:szCs w:val="22"/>
        </w:rPr>
        <w:t xml:space="preserve">Multiple "near me" queries are surfacing in Search Console ("workers compensation near me" at position 7 with 96 impressions and zero clicks, "insurance agents near me" at position 1 with one impression, "life insurance companies near me" at position 1). Local pack listings dominate every commercial insurance SERP we tested. BlackArrow’s schema markup correctly identifies the agency as an InsuranceAgency with two locations, but without active, fully-built Google Business Profiles for both offices the site is invisible in map-pack searches. This is the single highest-leverage missing piece.</w:t>
      </w:r>
    </w:p>
    <w:p>
      <w:pPr>
        <w:spacing w:after="80" w:before="240"/>
      </w:pPr>
      <w:r>
        <w:rPr>
          <w:rFonts w:ascii="Arial" w:cs="Arial" w:eastAsia="Arial" w:hAnsi="Arial"/>
          <w:b/>
          <w:bCs/>
          <w:color w:val="2E75B6"/>
          <w:spacing w:val="30"/>
          <w:sz w:val="18"/>
          <w:szCs w:val="18"/>
        </w:rPr>
        <w:t xml:space="preserve">FINDING 4</w:t>
      </w:r>
    </w:p>
    <w:p>
      <w:pPr>
        <w:pStyle w:val="Heading2"/>
        <w:spacing w:after="120" w:before="240"/>
      </w:pPr>
      <w:r>
        <w:rPr>
          <w:rFonts w:ascii="Arial" w:cs="Arial" w:eastAsia="Arial" w:hAnsi="Arial"/>
        </w:rPr>
        <w:t xml:space="preserve">Striking-distance keywords are sitting at positions 5–15 with poor CTR</w:t>
      </w:r>
    </w:p>
    <w:p>
      <w:pPr>
        <w:spacing w:after="160" w:line="320"/>
        <w:jc w:val="both"/>
      </w:pPr>
      <w:r>
        <w:rPr>
          <w:rFonts w:ascii="Arial" w:cs="Arial" w:eastAsia="Arial" w:hAnsi="Arial"/>
          <w:color w:val="1A1A1A"/>
          <w:sz w:val="22"/>
          <w:szCs w:val="22"/>
        </w:rPr>
        <w:t xml:space="preserve">A dozen keywords appear in Search Console ranking between positions 5 and 15 with single-digit click-through rates or zero clicks. These are not ranking problems — they are title-tag and meta-description CTR problems. A targeted rewrite of 10–15 title tags should increase clicks on existing impressions by 30–50% without changing any other variable.</w:t>
      </w:r>
    </w:p>
    <w:p>
      <w:pPr>
        <w:spacing w:after="80" w:before="240"/>
      </w:pPr>
      <w:r>
        <w:rPr>
          <w:rFonts w:ascii="Arial" w:cs="Arial" w:eastAsia="Arial" w:hAnsi="Arial"/>
          <w:b/>
          <w:bCs/>
          <w:color w:val="2E75B6"/>
          <w:spacing w:val="30"/>
          <w:sz w:val="18"/>
          <w:szCs w:val="18"/>
        </w:rPr>
        <w:t xml:space="preserve">FINDING 5</w:t>
      </w:r>
    </w:p>
    <w:p>
      <w:pPr>
        <w:pStyle w:val="Heading2"/>
        <w:spacing w:after="120" w:before="240"/>
      </w:pPr>
      <w:r>
        <w:rPr>
          <w:rFonts w:ascii="Arial" w:cs="Arial" w:eastAsia="Arial" w:hAnsi="Arial"/>
        </w:rPr>
        <w:t xml:space="preserve">The www / non-www split is leaking impressions and clicks</w:t>
      </w:r>
    </w:p>
    <w:p>
      <w:pPr>
        <w:spacing w:after="160" w:line="320"/>
        <w:jc w:val="both"/>
      </w:pPr>
      <w:r>
        <w:rPr>
          <w:rFonts w:ascii="Arial" w:cs="Arial" w:eastAsia="Arial" w:hAnsi="Arial"/>
          <w:color w:val="1A1A1A"/>
          <w:sz w:val="22"/>
          <w:szCs w:val="22"/>
        </w:rPr>
        <w:t xml:space="preserve">Search Console shows two homepage entries: https://www.blackarrow.co/ with 132 impressions and 6 clicks, and http://blackarrow.co/ (non-www, non-secure) with 235 impressions and 5 clicks. Approximately 40% of homepage queries are landing on a URL that should not exist in the index. The canonical chain and redirect rules need a quick audit — likely a missing 301 from http://blackarrow.co/* to https://www.blackarrow.co/*. This is a 30-minute fix that should consolidate ~5–10 missing clicks per month onto the canonical homepage.</w:t>
      </w:r>
    </w:p>
    <w:p>
      <w:r>
        <w:br w:type="page"/>
      </w:r>
    </w:p>
    <w:p>
      <w:pPr>
        <w:pStyle w:val="Heading1"/>
        <w:spacing w:after="200" w:before="240"/>
      </w:pPr>
      <w:r>
        <w:rPr>
          <w:rFonts w:ascii="Arial" w:cs="Arial" w:eastAsia="Arial" w:hAnsi="Arial"/>
        </w:rPr>
        <w:t xml:space="preserve">The Opportunity Matrix</w:t>
      </w:r>
    </w:p>
    <w:p>
      <w:pPr>
        <w:spacing w:after="160" w:line="320"/>
        <w:jc w:val="both"/>
      </w:pPr>
      <w:r>
        <w:rPr>
          <w:rFonts w:ascii="Arial" w:cs="Arial" w:eastAsia="Arial" w:hAnsi="Arial"/>
          <w:color w:val="1A1A1A"/>
          <w:sz w:val="22"/>
          <w:szCs w:val="22"/>
        </w:rPr>
        <w:t xml:space="preserve">Every play in the table below is scored on four dimensions: impact (Critical / High / Medium / Low based on traffic potential plus commercial intent), effort (S/M/L estimated implementation hours), SEO difficulty (Easy / Medium / Hard based on competitor analysis and Ahrefs KD), and projected year-one monthly traffic. The Value column converts that traffic into displaced paid-search spend using a blended CPC of $25–$35 for personal lines and $50–$70 for commercial — the actual revenue figure is higher once quote-to-bind conversion is layered on, but this gives a defensible "what would this cost in Google Ads" floor.</w:t>
      </w:r>
    </w:p>
    <w:p>
      <w:pPr>
        <w:spacing w:after="160" w:line="320"/>
        <w:jc w:val="both"/>
      </w:pPr>
      <w:r>
        <w:rPr>
          <w:rFonts w:ascii="Arial" w:cs="Arial" w:eastAsia="Arial" w:hAnsi="Arial"/>
          <w:color w:val="1A1A1A"/>
          <w:sz w:val="22"/>
          <w:szCs w:val="22"/>
        </w:rPr>
        <w:t xml:space="preserve">Color bands indicate tier: warm beige is Tier 1 (do in the next 90 days), pale blue is Tier 2 (months 4–6), pale lavender is Tier 3 (months 7–12), and grey is Tier 4 (long-term / strategic).</w:t>
      </w:r>
    </w:p>
    <w:p>
      <w:pPr>
        <w:spacing w:after="160" w:line="320"/>
        <w:jc w:val="both"/>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800"/>
        <w:gridCol w:w="900"/>
        <w:gridCol w:w="1380"/>
        <w:gridCol w:w="1680"/>
      </w:tblGrid>
      <w:tr>
        <w:trPr>
          <w:tblHeader/>
        </w:trPr>
        <w:tc>
          <w:tcPr>
            <w:tcW w:type="dxa" w:w="4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Opportunity</w:t>
            </w:r>
          </w:p>
        </w:tc>
        <w:tc>
          <w:tcPr>
            <w:tcW w:type="dxa" w:w="10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8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9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SEO Diff.</w:t>
            </w:r>
          </w:p>
        </w:tc>
        <w:tc>
          <w:tcPr>
            <w:tcW w:type="dxa" w:w="138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Traffic (yr 1)</w:t>
            </w:r>
          </w:p>
        </w:tc>
        <w:tc>
          <w:tcPr>
            <w:tcW w:type="dxa" w:w="168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Value / mo</w:t>
            </w:r>
          </w:p>
        </w:tc>
      </w:tr>
      <w:tr>
        <w:tc>
          <w:tcPr>
            <w:tcW w:type="dxa" w:w="4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w:t>
            </w:r>
          </w:p>
        </w:tc>
        <w:tc>
          <w:tcPr>
            <w:tcW w:type="dxa" w:w="32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Set up + optimize Google Business Profiles for both offices</w:t>
            </w:r>
          </w:p>
        </w:tc>
        <w:tc>
          <w:tcPr>
            <w:tcW w:type="dxa" w:w="10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A02B2B"/>
                <w:sz w:val="20"/>
                <w:szCs w:val="20"/>
              </w:rPr>
              <w:t xml:space="preserve">Critical</w:t>
            </w:r>
          </w:p>
        </w:tc>
        <w:tc>
          <w:tcPr>
            <w:tcW w:type="dxa" w:w="8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S</w:t>
            </w:r>
          </w:p>
        </w:tc>
        <w:tc>
          <w:tcPr>
            <w:tcW w:type="dxa" w:w="9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60–150/mo</w:t>
            </w:r>
          </w:p>
        </w:tc>
        <w:tc>
          <w:tcPr>
            <w:tcW w:type="dxa" w:w="16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$1,800–$4,500/mo</w:t>
            </w:r>
          </w:p>
        </w:tc>
      </w:tr>
      <w:tr>
        <w:tc>
          <w:tcPr>
            <w:tcW w:type="dxa" w:w="4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2</w:t>
            </w:r>
          </w:p>
        </w:tc>
        <w:tc>
          <w:tcPr>
            <w:tcW w:type="dxa" w:w="32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Promote the General Liability blog post (sleeping giant)</w:t>
            </w:r>
          </w:p>
        </w:tc>
        <w:tc>
          <w:tcPr>
            <w:tcW w:type="dxa" w:w="10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A02B2B"/>
                <w:sz w:val="20"/>
                <w:szCs w:val="20"/>
              </w:rPr>
              <w:t xml:space="preserve">Critical</w:t>
            </w:r>
          </w:p>
        </w:tc>
        <w:tc>
          <w:tcPr>
            <w:tcW w:type="dxa" w:w="8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40–70/mo</w:t>
            </w:r>
          </w:p>
        </w:tc>
        <w:tc>
          <w:tcPr>
            <w:tcW w:type="dxa" w:w="16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$1,200–$2,100/mo</w:t>
            </w:r>
          </w:p>
        </w:tc>
      </w:tr>
      <w:tr>
        <w:tc>
          <w:tcPr>
            <w:tcW w:type="dxa" w:w="4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3</w:t>
            </w:r>
          </w:p>
        </w:tc>
        <w:tc>
          <w:tcPr>
            <w:tcW w:type="dxa" w:w="32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Rewrite 12 striking-distance title tags + metas</w:t>
            </w:r>
          </w:p>
        </w:tc>
        <w:tc>
          <w:tcPr>
            <w:tcW w:type="dxa" w:w="10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S</w:t>
            </w:r>
          </w:p>
        </w:tc>
        <w:tc>
          <w:tcPr>
            <w:tcW w:type="dxa" w:w="9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25–60/mo</w:t>
            </w:r>
          </w:p>
        </w:tc>
        <w:tc>
          <w:tcPr>
            <w:tcW w:type="dxa" w:w="16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$750–$1,800/mo</w:t>
            </w:r>
          </w:p>
        </w:tc>
      </w:tr>
      <w:tr>
        <w:tc>
          <w:tcPr>
            <w:tcW w:type="dxa" w:w="4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4</w:t>
            </w:r>
          </w:p>
        </w:tc>
        <w:tc>
          <w:tcPr>
            <w:tcW w:type="dxa" w:w="32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Fix www / non-www indexing split</w:t>
            </w:r>
          </w:p>
        </w:tc>
        <w:tc>
          <w:tcPr>
            <w:tcW w:type="dxa" w:w="10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S</w:t>
            </w:r>
          </w:p>
        </w:tc>
        <w:tc>
          <w:tcPr>
            <w:tcW w:type="dxa" w:w="9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5–10/mo</w:t>
            </w:r>
          </w:p>
        </w:tc>
        <w:tc>
          <w:tcPr>
            <w:tcW w:type="dxa" w:w="16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$150–$300/mo</w:t>
            </w:r>
          </w:p>
        </w:tc>
      </w:tr>
      <w:tr>
        <w:tc>
          <w:tcPr>
            <w:tcW w:type="dxa" w:w="4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5</w:t>
            </w:r>
          </w:p>
        </w:tc>
        <w:tc>
          <w:tcPr>
            <w:tcW w:type="dxa" w:w="32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Internal linking pass: nav + footer + body link audit</w:t>
            </w:r>
          </w:p>
        </w:tc>
        <w:tc>
          <w:tcPr>
            <w:tcW w:type="dxa" w:w="10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S</w:t>
            </w:r>
          </w:p>
        </w:tc>
        <w:tc>
          <w:tcPr>
            <w:tcW w:type="dxa" w:w="90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20–40/mo</w:t>
            </w:r>
          </w:p>
        </w:tc>
        <w:tc>
          <w:tcPr>
            <w:tcW w:type="dxa" w:w="1680"/>
            <w:tcBorders>
              <w:top w:val="single" w:color="C8CCD2" w:sz="4"/>
              <w:left w:val="single" w:color="C8CCD2" w:sz="4"/>
              <w:bottom w:val="single" w:color="C8CCD2" w:sz="4"/>
              <w:right w:val="single" w:color="C8CCD2" w:sz="4"/>
            </w:tcBorders>
            <w:shd w:fill="F4EFE7"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$600–$1,200/mo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6</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/insurance/business-insurance-wilmington-nc</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A02B2B"/>
                <w:sz w:val="20"/>
                <w:szCs w:val="20"/>
              </w:rPr>
              <w:t xml:space="preserve">Critical</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Medium</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60–120/mo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$1,800–$3,600/mo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7</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/insurance/renters-insurance-wilmington-nc</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40–80/mo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$360–$720/mo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8</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/insurance/flood-insurance-{city}-nc pages (4)</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Medium</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50–120/mo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$250–$600/mo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9</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/insurance/workers-comp-{city}-nc pages (3)</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50–100/mo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$500–$1,000/mo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10</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/insurance/short-term-rental-insurance-nc cluster</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40–100/mo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$400–$1,000/mo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11</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Cost-focused blog cluster ("How much does X cost in NC")</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120–250/mo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$1,200–$2,500/mo</w:t>
            </w:r>
          </w:p>
        </w:tc>
      </w:tr>
      <w:tr>
        <w:tc>
          <w:tcPr>
            <w:tcW w:type="dxa" w:w="4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12</w:t>
            </w:r>
          </w:p>
        </w:tc>
        <w:tc>
          <w:tcPr>
            <w:tcW w:type="dxa" w:w="32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Reviews engine: 50+ Google + Facebook reviews in 90 days</w:t>
            </w:r>
          </w:p>
        </w:tc>
        <w:tc>
          <w:tcPr>
            <w:tcW w:type="dxa" w:w="10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40–100/mo</w:t>
            </w:r>
          </w:p>
        </w:tc>
        <w:tc>
          <w:tcPr>
            <w:tcW w:type="dxa" w:w="1680"/>
            <w:tcBorders>
              <w:top w:val="single" w:color="C8CCD2" w:sz="4"/>
              <w:left w:val="single" w:color="C8CCD2" w:sz="4"/>
              <w:bottom w:val="single" w:color="C8CCD2" w:sz="4"/>
              <w:right w:val="single" w:color="C8CCD2" w:sz="4"/>
            </w:tcBorders>
            <w:shd w:fill="F3F7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$1,200–$3,000/mo</w:t>
            </w:r>
          </w:p>
        </w:tc>
      </w:tr>
      <w:tr>
        <w:tc>
          <w:tcPr>
            <w:tcW w:type="dxa" w:w="4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13</w:t>
            </w:r>
          </w:p>
        </w:tc>
        <w:tc>
          <w:tcPr>
            <w:tcW w:type="dxa" w:w="32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Backlink campaign: 30–50 referring domains in 6 months</w:t>
            </w:r>
          </w:p>
        </w:tc>
        <w:tc>
          <w:tcPr>
            <w:tcW w:type="dxa" w:w="10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Hard</w:t>
            </w:r>
          </w:p>
        </w:tc>
        <w:tc>
          <w:tcPr>
            <w:tcW w:type="dxa" w:w="13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Compounds</w:t>
            </w:r>
          </w:p>
        </w:tc>
        <w:tc>
          <w:tcPr>
            <w:tcW w:type="dxa" w:w="16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Unlocks Tier 4</w:t>
            </w:r>
          </w:p>
        </w:tc>
      </w:tr>
      <w:tr>
        <w:tc>
          <w:tcPr>
            <w:tcW w:type="dxa" w:w="4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14</w:t>
            </w:r>
          </w:p>
        </w:tc>
        <w:tc>
          <w:tcPr>
            <w:tcW w:type="dxa" w:w="32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Add Spanish-language landing pages for top city/coverage</w:t>
            </w:r>
          </w:p>
        </w:tc>
        <w:tc>
          <w:tcPr>
            <w:tcW w:type="dxa" w:w="10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30–80/mo</w:t>
            </w:r>
          </w:p>
        </w:tc>
        <w:tc>
          <w:tcPr>
            <w:tcW w:type="dxa" w:w="16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$300–$800/mo</w:t>
            </w:r>
          </w:p>
        </w:tc>
      </w:tr>
      <w:tr>
        <w:tc>
          <w:tcPr>
            <w:tcW w:type="dxa" w:w="4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15</w:t>
            </w:r>
          </w:p>
        </w:tc>
        <w:tc>
          <w:tcPr>
            <w:tcW w:type="dxa" w:w="32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Industry vertical pages (medical, contractor, restaurant)</w:t>
            </w:r>
          </w:p>
        </w:tc>
        <w:tc>
          <w:tcPr>
            <w:tcW w:type="dxa" w:w="10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Medium</w:t>
            </w:r>
          </w:p>
        </w:tc>
        <w:tc>
          <w:tcPr>
            <w:tcW w:type="dxa" w:w="13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80–180/mo</w:t>
            </w:r>
          </w:p>
        </w:tc>
        <w:tc>
          <w:tcPr>
            <w:tcW w:type="dxa" w:w="16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$2,400–$5,400/mo</w:t>
            </w:r>
          </w:p>
        </w:tc>
      </w:tr>
      <w:tr>
        <w:tc>
          <w:tcPr>
            <w:tcW w:type="dxa" w:w="4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16</w:t>
            </w:r>
          </w:p>
        </w:tc>
        <w:tc>
          <w:tcPr>
            <w:tcW w:type="dxa" w:w="32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FAQ schema across all insurance pages</w:t>
            </w:r>
          </w:p>
        </w:tc>
        <w:tc>
          <w:tcPr>
            <w:tcW w:type="dxa" w:w="10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S</w:t>
            </w:r>
          </w:p>
        </w:tc>
        <w:tc>
          <w:tcPr>
            <w:tcW w:type="dxa" w:w="9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20–50/mo</w:t>
            </w:r>
          </w:p>
        </w:tc>
        <w:tc>
          <w:tcPr>
            <w:tcW w:type="dxa" w:w="16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$600–$1,500/mo</w:t>
            </w:r>
          </w:p>
        </w:tc>
      </w:tr>
      <w:tr>
        <w:tc>
          <w:tcPr>
            <w:tcW w:type="dxa" w:w="4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17</w:t>
            </w:r>
          </w:p>
        </w:tc>
        <w:tc>
          <w:tcPr>
            <w:tcW w:type="dxa" w:w="32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Video schema + YouTube for top 5 insurance topics</w:t>
            </w:r>
          </w:p>
        </w:tc>
        <w:tc>
          <w:tcPr>
            <w:tcW w:type="dxa" w:w="10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Medium</w:t>
            </w:r>
          </w:p>
        </w:tc>
        <w:tc>
          <w:tcPr>
            <w:tcW w:type="dxa" w:w="13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30–80/mo</w:t>
            </w:r>
          </w:p>
        </w:tc>
        <w:tc>
          <w:tcPr>
            <w:tcW w:type="dxa" w:w="16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$300–$800/mo</w:t>
            </w:r>
          </w:p>
        </w:tc>
      </w:tr>
      <w:tr>
        <w:tc>
          <w:tcPr>
            <w:tcW w:type="dxa" w:w="4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18</w:t>
            </w:r>
          </w:p>
        </w:tc>
        <w:tc>
          <w:tcPr>
            <w:tcW w:type="dxa" w:w="32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Land in "Eastern NC insurance" niche directories</w:t>
            </w:r>
          </w:p>
        </w:tc>
        <w:tc>
          <w:tcPr>
            <w:tcW w:type="dxa" w:w="10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S</w:t>
            </w:r>
          </w:p>
        </w:tc>
        <w:tc>
          <w:tcPr>
            <w:tcW w:type="dxa" w:w="90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15–40/mo</w:t>
            </w:r>
          </w:p>
        </w:tc>
        <w:tc>
          <w:tcPr>
            <w:tcW w:type="dxa" w:w="1680"/>
            <w:tcBorders>
              <w:top w:val="single" w:color="C8CCD2" w:sz="4"/>
              <w:left w:val="single" w:color="C8CCD2" w:sz="4"/>
              <w:bottom w:val="single" w:color="C8CCD2" w:sz="4"/>
              <w:right w:val="single" w:color="C8CCD2" w:sz="4"/>
            </w:tcBorders>
            <w:shd w:fill="F7F4FA"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$450–$1,200/mo</w:t>
            </w:r>
          </w:p>
        </w:tc>
      </w:tr>
      <w:tr>
        <w:tc>
          <w:tcPr>
            <w:tcW w:type="dxa" w:w="4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19</w:t>
            </w:r>
          </w:p>
        </w:tc>
        <w:tc>
          <w:tcPr>
            <w:tcW w:type="dxa" w:w="32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Programmatic small-town expansion (10–20 new pages)</w:t>
            </w:r>
          </w:p>
        </w:tc>
        <w:tc>
          <w:tcPr>
            <w:tcW w:type="dxa" w:w="10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60–150/mo</w:t>
            </w:r>
          </w:p>
        </w:tc>
        <w:tc>
          <w:tcPr>
            <w:tcW w:type="dxa" w:w="16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$600–$1,500/mo</w:t>
            </w:r>
          </w:p>
        </w:tc>
      </w:tr>
      <w:tr>
        <w:tc>
          <w:tcPr>
            <w:tcW w:type="dxa" w:w="4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20</w:t>
            </w:r>
          </w:p>
        </w:tc>
        <w:tc>
          <w:tcPr>
            <w:tcW w:type="dxa" w:w="32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Pillar page: "The Eastern NC Insurance Guide"</w:t>
            </w:r>
          </w:p>
        </w:tc>
        <w:tc>
          <w:tcPr>
            <w:tcW w:type="dxa" w:w="10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A55C00"/>
                <w:sz w:val="20"/>
                <w:szCs w:val="20"/>
              </w:rPr>
              <w:t xml:space="preserve">Medium</w:t>
            </w:r>
          </w:p>
        </w:tc>
        <w:tc>
          <w:tcPr>
            <w:tcW w:type="dxa" w:w="8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Medium</w:t>
            </w:r>
          </w:p>
        </w:tc>
        <w:tc>
          <w:tcPr>
            <w:tcW w:type="dxa" w:w="13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80–150/mo</w:t>
            </w:r>
          </w:p>
        </w:tc>
        <w:tc>
          <w:tcPr>
            <w:tcW w:type="dxa" w:w="16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$800–$1,500/mo</w:t>
            </w:r>
          </w:p>
        </w:tc>
      </w:tr>
      <w:tr>
        <w:tc>
          <w:tcPr>
            <w:tcW w:type="dxa" w:w="4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21</w:t>
            </w:r>
          </w:p>
        </w:tc>
        <w:tc>
          <w:tcPr>
            <w:tcW w:type="dxa" w:w="32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Customer success stories / case study hub</w:t>
            </w:r>
          </w:p>
        </w:tc>
        <w:tc>
          <w:tcPr>
            <w:tcW w:type="dxa" w:w="10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4A4A4A"/>
                <w:sz w:val="20"/>
                <w:szCs w:val="20"/>
              </w:rPr>
              <w:t xml:space="preserve">Low</w:t>
            </w:r>
          </w:p>
        </w:tc>
        <w:tc>
          <w:tcPr>
            <w:tcW w:type="dxa" w:w="8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w:t>
            </w:r>
          </w:p>
        </w:tc>
        <w:tc>
          <w:tcPr>
            <w:tcW w:type="dxa" w:w="9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Easy</w:t>
            </w:r>
          </w:p>
        </w:tc>
        <w:tc>
          <w:tcPr>
            <w:tcW w:type="dxa" w:w="13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10–30/mo</w:t>
            </w:r>
          </w:p>
        </w:tc>
        <w:tc>
          <w:tcPr>
            <w:tcW w:type="dxa" w:w="16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Trust signal</w:t>
            </w:r>
          </w:p>
        </w:tc>
      </w:tr>
      <w:tr>
        <w:tc>
          <w:tcPr>
            <w:tcW w:type="dxa" w:w="4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22</w:t>
            </w:r>
          </w:p>
        </w:tc>
        <w:tc>
          <w:tcPr>
            <w:tcW w:type="dxa" w:w="32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Annual NC insurance market report (data + PR play)</w:t>
            </w:r>
          </w:p>
        </w:tc>
        <w:tc>
          <w:tcPr>
            <w:tcW w:type="dxa" w:w="10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bCs/>
                <w:color w:val="2E75B6"/>
                <w:sz w:val="20"/>
                <w:szCs w:val="20"/>
              </w:rPr>
              <w:t xml:space="preserve">High</w:t>
            </w:r>
          </w:p>
        </w:tc>
        <w:tc>
          <w:tcPr>
            <w:tcW w:type="dxa" w:w="8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L</w:t>
            </w:r>
          </w:p>
        </w:tc>
        <w:tc>
          <w:tcPr>
            <w:tcW w:type="dxa" w:w="90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Medium</w:t>
            </w:r>
          </w:p>
        </w:tc>
        <w:tc>
          <w:tcPr>
            <w:tcW w:type="dxa" w:w="13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40–100/mo</w:t>
            </w:r>
          </w:p>
        </w:tc>
        <w:tc>
          <w:tcPr>
            <w:tcW w:type="dxa" w:w="1680"/>
            <w:tcBorders>
              <w:top w:val="single" w:color="C8CCD2" w:sz="4"/>
              <w:left w:val="single" w:color="C8CCD2" w:sz="4"/>
              <w:bottom w:val="single" w:color="C8CCD2" w:sz="4"/>
              <w:right w:val="single" w:color="C8CCD2" w:sz="4"/>
            </w:tcBorders>
            <w:shd w:fill="F5F5F5" w:color="auto" w:val="clear"/>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Backlink magnet</w:t>
            </w:r>
          </w:p>
        </w:tc>
      </w:tr>
    </w:tbl>
    <w:p>
      <w:pPr>
        <w:spacing w:after="160" w:line="320"/>
        <w:jc w:val="both"/>
      </w:pPr>
      <w:r>
        <w:rPr>
          <w:rFonts w:ascii="Arial" w:cs="Arial" w:eastAsia="Arial" w:hAnsi="Arial"/>
          <w:color w:val="1A1A1A"/>
          <w:sz w:val="22"/>
          <w:szCs w:val="22"/>
        </w:rPr>
        <w:t xml:space="preserve"/>
      </w:r>
    </w:p>
    <w:p>
      <w:pPr>
        <w:spacing w:after="160" w:line="320"/>
        <w:jc w:val="both"/>
      </w:pPr>
      <w:r>
        <w:rPr>
          <w:rFonts w:ascii="Arial" w:cs="Arial" w:eastAsia="Arial" w:hAnsi="Arial"/>
          <w:color w:val="1A1A1A"/>
          <w:sz w:val="22"/>
          <w:szCs w:val="22"/>
        </w:rPr>
        <w:t xml:space="preserve">Aggregated, the Tier 1 + Tier 2 plays (12 opportunities) realistically combine to deliver 500–1,000 organic clicks per month within 6–9 months of execution — a 10–20x lift from today’s baseline. Tier 3 and Tier 4 are what scale the agency from "growing organic channel" to "organic-led acquisition machine" over 12–18 months.</w:t>
      </w:r>
    </w:p>
    <w:p>
      <w:r>
        <w:br w:type="page"/>
      </w:r>
    </w:p>
    <w:p>
      <w:pPr>
        <w:pStyle w:val="Heading1"/>
        <w:spacing w:after="200" w:before="240"/>
      </w:pPr>
      <w:r>
        <w:rPr>
          <w:rFonts w:ascii="Arial" w:cs="Arial" w:eastAsia="Arial" w:hAnsi="Arial"/>
        </w:rPr>
        <w:t xml:space="preserve">Tier 1: Critical, Do-Immediately Plays</w:t>
      </w:r>
    </w:p>
    <w:p>
      <w:pPr>
        <w:spacing w:after="200" w:line="340"/>
        <w:jc w:val="both"/>
      </w:pPr>
      <w:r>
        <w:rPr>
          <w:rFonts w:ascii="Arial" w:cs="Arial" w:eastAsia="Arial" w:hAnsi="Arial"/>
          <w:i/>
          <w:iCs/>
          <w:color w:val="4A4A4A"/>
          <w:sz w:val="24"/>
          <w:szCs w:val="24"/>
        </w:rPr>
        <w:t xml:space="preserve">These five plays produce the fastest absolute traffic per hour of work. They are the cheapest wins on the entire roadmap. Total estimated effort: roughly 30–40 hours of focused work over 30 days.</w:t>
      </w:r>
    </w:p>
    <w:p>
      <w:pPr>
        <w:pStyle w:val="Heading2"/>
        <w:spacing w:after="120" w:before="240"/>
      </w:pPr>
      <w:r>
        <w:rPr>
          <w:rFonts w:ascii="Arial" w:cs="Arial" w:eastAsia="Arial" w:hAnsi="Arial"/>
        </w:rPr>
        <w:t xml:space="preserve">Opportunity 1: Google Business Profile build-out (both offices)</w:t>
      </w:r>
    </w:p>
    <w:p>
      <w:pPr>
        <w:spacing w:after="80" w:before="240"/>
      </w:pPr>
      <w:r>
        <w:rPr>
          <w:rFonts w:ascii="Arial" w:cs="Arial" w:eastAsia="Arial" w:hAnsi="Arial"/>
          <w:b/>
          <w:bCs/>
          <w:color w:val="2E75B6"/>
          <w:spacing w:val="30"/>
          <w:sz w:val="18"/>
          <w:szCs w:val="18"/>
        </w:rPr>
        <w:t xml:space="preserve">WHY THIS MATTERS</w:t>
      </w:r>
    </w:p>
    <w:p>
      <w:pPr>
        <w:spacing w:after="160" w:line="320"/>
        <w:jc w:val="both"/>
      </w:pPr>
      <w:r>
        <w:rPr>
          <w:rFonts w:ascii="Arial" w:cs="Arial" w:eastAsia="Arial" w:hAnsi="Arial"/>
          <w:color w:val="1A1A1A"/>
          <w:sz w:val="22"/>
          <w:szCs w:val="22"/>
        </w:rPr>
        <w:t xml:space="preserve">Local-pack listings show up above the standard organic results on every commercial insurance query we tested, including "insurance greenville nc," "business insurance wilmington nc," "auto insurance new bern nc," and dozens more. The "near me" queries already surfacing in BlackArrow’s Search Console (workers compensation near me, insurance agents near me, life insurance near me) are explicit signals that Google associates BlackArrow with those terms but cannot rank the site in the map pack without an active Google Business Profile.</w:t>
      </w:r>
    </w:p>
    <w:p>
      <w:pPr>
        <w:spacing w:after="80" w:before="240"/>
      </w:pPr>
      <w:r>
        <w:rPr>
          <w:rFonts w:ascii="Arial" w:cs="Arial" w:eastAsia="Arial" w:hAnsi="Arial"/>
          <w:b/>
          <w:bCs/>
          <w:color w:val="2E75B6"/>
          <w:spacing w:val="30"/>
          <w:sz w:val="18"/>
          <w:szCs w:val="18"/>
        </w:rPr>
        <w:t xml:space="preserve">WHAT TO DO</w:t>
      </w:r>
    </w:p>
    <w:p>
      <w:pPr>
        <w:pStyle w:val="ListParagraph"/>
        <w:numPr>
          <w:ilvl w:val="0"/>
          <w:numId w:val="2"/>
        </w:numPr>
        <w:spacing w:after="90" w:line="300"/>
      </w:pPr>
      <w:r>
        <w:rPr>
          <w:rFonts w:ascii="Arial" w:cs="Arial" w:eastAsia="Arial" w:hAnsi="Arial"/>
          <w:color w:val="1A1A1A"/>
          <w:sz w:val="22"/>
          <w:szCs w:val="22"/>
        </w:rPr>
        <w:t xml:space="preserve">Claim and fully complete Google Business Profile for the Greenville office: 905 Conference Dr. 2B, 27858. Include 20+ photos (office exterior, interior, team, signage), all 17 service categories, hours, contact, link to /locations/greenville-nc.</w:t>
      </w:r>
    </w:p>
    <w:p>
      <w:pPr>
        <w:pStyle w:val="ListParagraph"/>
        <w:numPr>
          <w:ilvl w:val="0"/>
          <w:numId w:val="2"/>
        </w:numPr>
        <w:spacing w:after="90" w:line="300"/>
      </w:pPr>
      <w:r>
        <w:rPr>
          <w:rFonts w:ascii="Arial" w:cs="Arial" w:eastAsia="Arial" w:hAnsi="Arial"/>
          <w:color w:val="1A1A1A"/>
          <w:sz w:val="22"/>
          <w:szCs w:val="22"/>
        </w:rPr>
        <w:t xml:space="preserve">Repeat for the Whiteville office: 301 Liberty St. Ste 101, 28472. Use distinct photos and city-specific service descriptions.</w:t>
      </w:r>
    </w:p>
    <w:p>
      <w:pPr>
        <w:pStyle w:val="ListParagraph"/>
        <w:numPr>
          <w:ilvl w:val="0"/>
          <w:numId w:val="2"/>
        </w:numPr>
        <w:spacing w:after="90" w:line="300"/>
      </w:pPr>
      <w:r>
        <w:rPr>
          <w:rFonts w:ascii="Arial" w:cs="Arial" w:eastAsia="Arial" w:hAnsi="Arial"/>
          <w:color w:val="1A1A1A"/>
          <w:sz w:val="22"/>
          <w:szCs w:val="22"/>
        </w:rPr>
        <w:t xml:space="preserve">Add a "Services" entry for every coverage type (Homeowners, Auto, Commercial, etc.) with a city-specific description and a deep link to the matching /insurance/* or /insurance/[service]-[city]-nc page.</w:t>
      </w:r>
    </w:p>
    <w:p>
      <w:pPr>
        <w:pStyle w:val="ListParagraph"/>
        <w:numPr>
          <w:ilvl w:val="0"/>
          <w:numId w:val="2"/>
        </w:numPr>
        <w:spacing w:after="90" w:line="300"/>
      </w:pPr>
      <w:r>
        <w:rPr>
          <w:rFonts w:ascii="Arial" w:cs="Arial" w:eastAsia="Arial" w:hAnsi="Arial"/>
          <w:color w:val="1A1A1A"/>
          <w:sz w:val="22"/>
          <w:szCs w:val="22"/>
        </w:rPr>
        <w:t xml:space="preserve">Turn on Google Business Messaging and Q&amp;A; pre-seed the Q&amp;A section with the 8 most-asked questions and post your own answers (this is allowed and recommended).</w:t>
      </w:r>
    </w:p>
    <w:p>
      <w:pPr>
        <w:pStyle w:val="ListParagraph"/>
        <w:numPr>
          <w:ilvl w:val="0"/>
          <w:numId w:val="2"/>
        </w:numPr>
        <w:spacing w:after="90" w:line="300"/>
      </w:pPr>
      <w:r>
        <w:rPr>
          <w:rFonts w:ascii="Arial" w:cs="Arial" w:eastAsia="Arial" w:hAnsi="Arial"/>
          <w:color w:val="1A1A1A"/>
          <w:sz w:val="22"/>
          <w:szCs w:val="22"/>
        </w:rPr>
        <w:t xml:space="preserve">Set up Google Posts: publish one Post per week to each profile (covers an insurance tip, a carrier announcement, a hurricane prep reminder, a team spotlight). Posts decay after 7 days, which is why a weekly cadence matters.</w:t>
      </w:r>
    </w:p>
    <w:p>
      <w:pPr>
        <w:spacing w:after="80" w:before="240"/>
      </w:pPr>
      <w:r>
        <w:rPr>
          <w:rFonts w:ascii="Arial" w:cs="Arial" w:eastAsia="Arial" w:hAnsi="Arial"/>
          <w:b/>
          <w:bCs/>
          <w:color w:val="2E75B6"/>
          <w:spacing w:val="30"/>
          <w:sz w:val="18"/>
          <w:szCs w:val="18"/>
        </w:rPr>
        <w:t xml:space="preserve">EXPECTED OUTCOME</w:t>
      </w:r>
    </w:p>
    <w:p>
      <w:pPr>
        <w:spacing w:after="160" w:line="320"/>
        <w:jc w:val="both"/>
      </w:pPr>
      <w:r>
        <w:rPr>
          <w:rFonts w:ascii="Arial" w:cs="Arial" w:eastAsia="Arial" w:hAnsi="Arial"/>
          <w:color w:val="1A1A1A"/>
          <w:sz w:val="22"/>
          <w:szCs w:val="22"/>
        </w:rPr>
        <w:t xml:space="preserve">Within 60–90 days of consistent activity, both profiles should appear in the local 3-pack for at least 8–12 city + service combinations across Greenville and Whiteville. Map-pack clicks tend to convert at 2–3x the rate of organic results because of intent (Google Maps users are physically looking for an agent). Projected: 60–150 incremental clicks/month plus 15–30 direct phone calls per month routed through GBP.</w:t>
      </w:r>
    </w:p>
    <w:p>
      <w:pPr>
        <w:pStyle w:val="Heading2"/>
        <w:spacing w:after="120" w:before="240"/>
      </w:pPr>
      <w:r>
        <w:rPr>
          <w:rFonts w:ascii="Arial" w:cs="Arial" w:eastAsia="Arial" w:hAnsi="Arial"/>
        </w:rPr>
        <w:t xml:space="preserve">Opportunity 2: Promote the General Liability sleeping-giant post</w:t>
      </w:r>
    </w:p>
    <w:p>
      <w:pPr>
        <w:spacing w:after="80" w:before="240"/>
      </w:pPr>
      <w:r>
        <w:rPr>
          <w:rFonts w:ascii="Arial" w:cs="Arial" w:eastAsia="Arial" w:hAnsi="Arial"/>
          <w:b/>
          <w:bCs/>
          <w:color w:val="2E75B6"/>
          <w:spacing w:val="30"/>
          <w:sz w:val="18"/>
          <w:szCs w:val="18"/>
        </w:rPr>
        <w:t xml:space="preserve">WHY THIS MATTERS</w:t>
      </w:r>
    </w:p>
    <w:p>
      <w:pPr>
        <w:spacing w:after="160" w:line="320"/>
        <w:jc w:val="both"/>
      </w:pPr>
      <w:r>
        <w:rPr>
          <w:rFonts w:ascii="Arial" w:cs="Arial" w:eastAsia="Arial" w:hAnsi="Arial"/>
          <w:color w:val="1A1A1A"/>
          <w:sz w:val="22"/>
          <w:szCs w:val="22"/>
        </w:rPr>
        <w:t xml:space="preserve">The post /post/how-much-general-liability-insurance-coverage-does-your-business-really-need ranks for 40 distinct keywords. It pulls 706 impressions in 90 days. It currently produces zero clicks because its average position is 53. The keywords it ranks for are some of the highest commercial-intent terms in the entire insurance vertical: "how much general liability insurance do i need" (350 vol, KD 2), "general liability insurance limits" (150 vol, KD 8), "1 million per occurrence 2 million aggregate," "5 million aggregate insurance," "standard general liability limits."</w:t>
      </w:r>
    </w:p>
    <w:p>
      <w:pPr>
        <w:spacing w:after="80" w:before="240"/>
      </w:pPr>
      <w:r>
        <w:rPr>
          <w:rFonts w:ascii="Arial" w:cs="Arial" w:eastAsia="Arial" w:hAnsi="Arial"/>
          <w:b/>
          <w:bCs/>
          <w:color w:val="2E75B6"/>
          <w:spacing w:val="30"/>
          <w:sz w:val="18"/>
          <w:szCs w:val="18"/>
        </w:rPr>
        <w:t xml:space="preserve">WHAT TO DO</w:t>
      </w:r>
    </w:p>
    <w:p>
      <w:pPr>
        <w:pStyle w:val="ListParagraph"/>
        <w:numPr>
          <w:ilvl w:val="0"/>
          <w:numId w:val="2"/>
        </w:numPr>
        <w:spacing w:after="90" w:line="300"/>
      </w:pPr>
      <w:r>
        <w:rPr>
          <w:rFonts w:ascii="Arial" w:cs="Arial" w:eastAsia="Arial" w:hAnsi="Arial"/>
          <w:color w:val="1A1A1A"/>
          <w:sz w:val="22"/>
          <w:szCs w:val="22"/>
        </w:rPr>
        <w:t xml:space="preserve">Expand the post to 2,500–3,500 words. Add a comparison table of policy limits by business size, a calculator/decision tree for choosing limits, and a "What if you don’t have enough?" risk section.</w:t>
      </w:r>
    </w:p>
    <w:p>
      <w:pPr>
        <w:pStyle w:val="ListParagraph"/>
        <w:numPr>
          <w:ilvl w:val="0"/>
          <w:numId w:val="2"/>
        </w:numPr>
        <w:spacing w:after="90" w:line="300"/>
      </w:pPr>
      <w:r>
        <w:rPr>
          <w:rFonts w:ascii="Arial" w:cs="Arial" w:eastAsia="Arial" w:hAnsi="Arial"/>
          <w:color w:val="1A1A1A"/>
          <w:sz w:val="22"/>
          <w:szCs w:val="22"/>
        </w:rPr>
        <w:t xml:space="preserve">Add FAQ schema with at least 8 question-answer pairs drawn from the actual GSC keyword queries (use the exact phrasing of "how much general liability insurance do i need," "what is 2 million aggregate insurance," "standard general liability limits," etc.).</w:t>
      </w:r>
    </w:p>
    <w:p>
      <w:pPr>
        <w:pStyle w:val="ListParagraph"/>
        <w:numPr>
          <w:ilvl w:val="0"/>
          <w:numId w:val="2"/>
        </w:numPr>
        <w:spacing w:after="90" w:line="300"/>
      </w:pPr>
      <w:r>
        <w:rPr>
          <w:rFonts w:ascii="Arial" w:cs="Arial" w:eastAsia="Arial" w:hAnsi="Arial"/>
          <w:color w:val="1A1A1A"/>
          <w:sz w:val="22"/>
          <w:szCs w:val="22"/>
        </w:rPr>
        <w:t xml:space="preserve">Add an InsuranceAgency-aware CallToAction block in the post that links to /insurance/general-liability and /insurance/business-owners-package.</w:t>
      </w:r>
    </w:p>
    <w:p>
      <w:pPr>
        <w:pStyle w:val="ListParagraph"/>
        <w:numPr>
          <w:ilvl w:val="0"/>
          <w:numId w:val="2"/>
        </w:numPr>
        <w:spacing w:after="90" w:line="300"/>
      </w:pPr>
      <w:r>
        <w:rPr>
          <w:rFonts w:ascii="Arial" w:cs="Arial" w:eastAsia="Arial" w:hAnsi="Arial"/>
          <w:color w:val="1A1A1A"/>
          <w:sz w:val="22"/>
          <w:szCs w:val="22"/>
        </w:rPr>
        <w:t xml:space="preserve">Internal-link to this post from every commercial insurance page (/insurance/general-liability, /insurance/business-owners-package, /insurance/workers-compensation, /insurance/commercial-property, all four commercial-insurance-[city]-nc pages, /our-story, and /insights).</w:t>
      </w:r>
    </w:p>
    <w:p>
      <w:pPr>
        <w:pStyle w:val="ListParagraph"/>
        <w:numPr>
          <w:ilvl w:val="0"/>
          <w:numId w:val="2"/>
        </w:numPr>
        <w:spacing w:after="90" w:line="300"/>
      </w:pPr>
      <w:r>
        <w:rPr>
          <w:rFonts w:ascii="Arial" w:cs="Arial" w:eastAsia="Arial" w:hAnsi="Arial"/>
          <w:color w:val="1A1A1A"/>
          <w:sz w:val="22"/>
          <w:szCs w:val="22"/>
        </w:rPr>
        <w:t xml:space="preserve">Build 3–5 external links to this post specifically (chamber blog, NC small-business association, a guest post on a CPA or attorney blog). Even five DR-5+ links to one URL is enough at this competitive level.</w:t>
      </w:r>
    </w:p>
    <w:p>
      <w:pPr>
        <w:spacing w:after="80" w:before="240"/>
      </w:pPr>
      <w:r>
        <w:rPr>
          <w:rFonts w:ascii="Arial" w:cs="Arial" w:eastAsia="Arial" w:hAnsi="Arial"/>
          <w:b/>
          <w:bCs/>
          <w:color w:val="2E75B6"/>
          <w:spacing w:val="30"/>
          <w:sz w:val="18"/>
          <w:szCs w:val="18"/>
        </w:rPr>
        <w:t xml:space="preserve">EXPECTED OUTCOME</w:t>
      </w:r>
    </w:p>
    <w:p>
      <w:pPr>
        <w:spacing w:after="160" w:line="320"/>
        <w:jc w:val="both"/>
      </w:pPr>
      <w:r>
        <w:rPr>
          <w:rFonts w:ascii="Arial" w:cs="Arial" w:eastAsia="Arial" w:hAnsi="Arial"/>
          <w:color w:val="1A1A1A"/>
          <w:sz w:val="22"/>
          <w:szCs w:val="22"/>
        </w:rPr>
        <w:t xml:space="preserve">Promotion from position 53 to position 8–10 across the 40-keyword set. Conservatively, that converts 706 quarterly impressions into ~120–200 monthly impressions per keyword (Google rewards page-one rankings with more impressions) and applies a 3–6% CTR. Expected lift: 40–70 organic clicks/month from this single page.</w:t>
      </w:r>
    </w:p>
    <w:p>
      <w:pPr>
        <w:pStyle w:val="Heading2"/>
        <w:spacing w:after="120" w:before="240"/>
      </w:pPr>
      <w:r>
        <w:rPr>
          <w:rFonts w:ascii="Arial" w:cs="Arial" w:eastAsia="Arial" w:hAnsi="Arial"/>
        </w:rPr>
        <w:t xml:space="preserve">Opportunity 3: Rewrite 12 striking-distance title tags and meta descriptions</w:t>
      </w:r>
    </w:p>
    <w:p>
      <w:pPr>
        <w:spacing w:after="80" w:before="240"/>
      </w:pPr>
      <w:r>
        <w:rPr>
          <w:rFonts w:ascii="Arial" w:cs="Arial" w:eastAsia="Arial" w:hAnsi="Arial"/>
          <w:b/>
          <w:bCs/>
          <w:color w:val="2E75B6"/>
          <w:spacing w:val="30"/>
          <w:sz w:val="18"/>
          <w:szCs w:val="18"/>
        </w:rPr>
        <w:t xml:space="preserve">WHY THIS MATTERS</w:t>
      </w:r>
    </w:p>
    <w:p>
      <w:pPr>
        <w:spacing w:after="160" w:line="320"/>
        <w:jc w:val="both"/>
      </w:pPr>
      <w:r>
        <w:rPr>
          <w:rFonts w:ascii="Arial" w:cs="Arial" w:eastAsia="Arial" w:hAnsi="Arial"/>
          <w:color w:val="1A1A1A"/>
          <w:sz w:val="22"/>
          <w:szCs w:val="22"/>
        </w:rPr>
        <w:t xml:space="preserve">Twelve keywords are currently ranking in positions 5–15 with zero clicks despite meaningful impressions. These are not ranking failures — they are CTR failures. The title tag is the thing Google shows in the SERP, and if it doesn’t spell out the user’s exact need they click a competitor.</w:t>
      </w:r>
    </w:p>
    <w:p>
      <w:pPr>
        <w:spacing w:after="80" w:before="240"/>
      </w:pPr>
      <w:r>
        <w:rPr>
          <w:rFonts w:ascii="Arial" w:cs="Arial" w:eastAsia="Arial" w:hAnsi="Arial"/>
          <w:b/>
          <w:bCs/>
          <w:color w:val="2E75B6"/>
          <w:spacing w:val="30"/>
          <w:sz w:val="18"/>
          <w:szCs w:val="18"/>
        </w:rPr>
        <w:t xml:space="preserve">SPECIFIC KEYWORDS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2760"/>
      </w:tblGrid>
      <w:tr>
        <w:trPr>
          <w:tblHeader/>
        </w:trPr>
        <w:tc>
          <w:tcPr>
            <w:tcW w:type="dxa" w:w="42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Keyword</w:t>
            </w:r>
          </w:p>
        </w:tc>
        <w:tc>
          <w:tcPr>
            <w:tcW w:type="dxa" w:w="12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Position</w:t>
            </w:r>
          </w:p>
        </w:tc>
        <w:tc>
          <w:tcPr>
            <w:tcW w:type="dxa" w:w="12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Impressions</w:t>
            </w:r>
          </w:p>
        </w:tc>
        <w:tc>
          <w:tcPr>
            <w:tcW w:type="dxa" w:w="276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workers compensation near me</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7.2</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96</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Rewrite homepage title + add WC service page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scott baldwin greenville nc</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5.9</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Add team page with H1 = name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"guest vandalism" tenant vandalism furnished rental insurance</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7.7</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35</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Rental-dwelling page H2 + meta rewrite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 whiteville nc</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12</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Whiteville location page title rewrite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 companies whiteville nc</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15.3</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Same as above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 companies greenville nc</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39.4</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Greenville location page H1 + content depth</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insurance broker</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11</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Homepage meta description rewrite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motorcycle insurance</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5.2</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Add motorcycle to auto page or add new coverage page</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life insurance company / life insurance agency</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1.0–1.6</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17</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Life insurance page title needs urgency/CTA</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rental dwelling insurance</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15.9 avg</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73</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Already strong page — needs more internal links</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auto insurance greenville nc</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30.1</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26</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Title rewrite + intro paragraph optimization</w:t>
            </w:r>
          </w:p>
        </w:tc>
      </w:tr>
      <w:tr>
        <w:tc>
          <w:tcPr>
            <w:tcW w:type="dxa" w:w="4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landlord insurance in wilmington nc</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11</w:t>
            </w:r>
          </w:p>
        </w:tc>
        <w:tc>
          <w:tcPr>
            <w:tcW w:type="dxa" w:w="1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w:t>
            </w:r>
          </w:p>
        </w:tc>
        <w:tc>
          <w:tcPr>
            <w:tcW w:type="dxa" w:w="2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dedicated landlord-insurance-wilmington page</w:t>
            </w:r>
          </w:p>
        </w:tc>
      </w:tr>
    </w:tbl>
    <w:p>
      <w:pPr>
        <w:spacing w:after="160" w:line="320"/>
        <w:jc w:val="both"/>
      </w:pPr>
      <w:r>
        <w:rPr>
          <w:rFonts w:ascii="Arial" w:cs="Arial" w:eastAsia="Arial" w:hAnsi="Arial"/>
          <w:color w:val="1A1A1A"/>
          <w:sz w:val="22"/>
          <w:szCs w:val="22"/>
        </w:rPr>
        <w:t xml:space="preserve"/>
      </w:r>
    </w:p>
    <w:p>
      <w:pPr>
        <w:spacing w:after="80" w:before="240"/>
      </w:pPr>
      <w:r>
        <w:rPr>
          <w:rFonts w:ascii="Arial" w:cs="Arial" w:eastAsia="Arial" w:hAnsi="Arial"/>
          <w:b/>
          <w:bCs/>
          <w:color w:val="2E75B6"/>
          <w:spacing w:val="30"/>
          <w:sz w:val="18"/>
          <w:szCs w:val="18"/>
        </w:rPr>
        <w:t xml:space="preserve">TITLE TAG FORMULA TO USE</w:t>
      </w:r>
    </w:p>
    <w:p>
      <w:pPr>
        <w:spacing w:after="160" w:line="320"/>
        <w:jc w:val="both"/>
      </w:pPr>
      <w:r>
        <w:rPr>
          <w:rFonts w:ascii="Arial" w:cs="Arial" w:eastAsia="Arial" w:hAnsi="Arial"/>
          <w:color w:val="1A1A1A"/>
          <w:sz w:val="22"/>
          <w:szCs w:val="22"/>
        </w:rPr>
        <w:t xml:space="preserve">Use the format: "[Coverage] in [City], NC — [Distinguishing Benefit] | BlackArrow Insurance." The benefit slot rotates between "Compare 20+ Carriers," "Independent Agency Since 2002," "Free Quote in Minutes," and "Local Office, Local Agents" — test which converts best. Keep total length 55–60 characters before the brand pipe so Google does not truncate.</w:t>
      </w:r>
    </w:p>
    <w:p>
      <w:pPr>
        <w:spacing w:after="80" w:before="240"/>
      </w:pPr>
      <w:r>
        <w:rPr>
          <w:rFonts w:ascii="Arial" w:cs="Arial" w:eastAsia="Arial" w:hAnsi="Arial"/>
          <w:b/>
          <w:bCs/>
          <w:color w:val="2E75B6"/>
          <w:spacing w:val="30"/>
          <w:sz w:val="18"/>
          <w:szCs w:val="18"/>
        </w:rPr>
        <w:t xml:space="preserve">EXPECTED OUTCOME</w:t>
      </w:r>
    </w:p>
    <w:p>
      <w:pPr>
        <w:spacing w:after="160" w:line="320"/>
        <w:jc w:val="both"/>
      </w:pPr>
      <w:r>
        <w:rPr>
          <w:rFonts w:ascii="Arial" w:cs="Arial" w:eastAsia="Arial" w:hAnsi="Arial"/>
          <w:color w:val="1A1A1A"/>
          <w:sz w:val="22"/>
          <w:szCs w:val="22"/>
        </w:rPr>
        <w:t xml:space="preserve">A 30–50% CTR lift on the affected impressions over 60–90 days. That is ~25–60 incremental clicks per month with zero ranking work, simply from making the existing impressions actually convert.</w:t>
      </w:r>
    </w:p>
    <w:p>
      <w:pPr>
        <w:pStyle w:val="Heading2"/>
        <w:spacing w:after="120" w:before="240"/>
      </w:pPr>
      <w:r>
        <w:rPr>
          <w:rFonts w:ascii="Arial" w:cs="Arial" w:eastAsia="Arial" w:hAnsi="Arial"/>
        </w:rPr>
        <w:t xml:space="preserve">Opportunity 4: Resolve the www / non-www indexing split</w:t>
      </w:r>
    </w:p>
    <w:p>
      <w:pPr>
        <w:spacing w:after="80" w:before="240"/>
      </w:pPr>
      <w:r>
        <w:rPr>
          <w:rFonts w:ascii="Arial" w:cs="Arial" w:eastAsia="Arial" w:hAnsi="Arial"/>
          <w:b/>
          <w:bCs/>
          <w:color w:val="2E75B6"/>
          <w:spacing w:val="30"/>
          <w:sz w:val="18"/>
          <w:szCs w:val="18"/>
        </w:rPr>
        <w:t xml:space="preserve">WHY THIS MATTERS</w:t>
      </w:r>
    </w:p>
    <w:p>
      <w:pPr>
        <w:spacing w:after="160" w:line="320"/>
        <w:jc w:val="both"/>
      </w:pPr>
      <w:r>
        <w:rPr>
          <w:rFonts w:ascii="Arial" w:cs="Arial" w:eastAsia="Arial" w:hAnsi="Arial"/>
          <w:color w:val="1A1A1A"/>
          <w:sz w:val="22"/>
          <w:szCs w:val="22"/>
        </w:rPr>
        <w:t xml:space="preserve">Search Console is reporting two distinct host versions of the homepage: https://www.blackarrow.co (the canonical) and http://blackarrow.co (an insecure, non-www version that should not be indexed). The non-www version is actually pulling more impressions (235 vs. 132) but has weaker authority because the canonical signals are split. Consolidating both host versions to the secure www canonical concentrates authority and is one of the cheapest wins available.</w:t>
      </w:r>
    </w:p>
    <w:p>
      <w:pPr>
        <w:spacing w:after="80" w:before="240"/>
      </w:pPr>
      <w:r>
        <w:rPr>
          <w:rFonts w:ascii="Arial" w:cs="Arial" w:eastAsia="Arial" w:hAnsi="Arial"/>
          <w:b/>
          <w:bCs/>
          <w:color w:val="2E75B6"/>
          <w:spacing w:val="30"/>
          <w:sz w:val="18"/>
          <w:szCs w:val="18"/>
        </w:rPr>
        <w:t xml:space="preserve">WHAT TO DO</w:t>
      </w:r>
    </w:p>
    <w:p>
      <w:pPr>
        <w:pStyle w:val="ListParagraph"/>
        <w:numPr>
          <w:ilvl w:val="0"/>
          <w:numId w:val="2"/>
        </w:numPr>
        <w:spacing w:after="90" w:line="300"/>
      </w:pPr>
      <w:r>
        <w:rPr>
          <w:rFonts w:ascii="Arial" w:cs="Arial" w:eastAsia="Arial" w:hAnsi="Arial"/>
          <w:color w:val="1A1A1A"/>
          <w:sz w:val="22"/>
          <w:szCs w:val="22"/>
        </w:rPr>
        <w:t xml:space="preserve">Verify Vercel / hosting redirects: http://blackarrow.co/* should 301 to https://www.blackarrow.co/*, and https://blackarrow.co/* (no www, https) should also 301 to https://www.blackarrow.co/*.</w:t>
      </w:r>
    </w:p>
    <w:p>
      <w:pPr>
        <w:pStyle w:val="ListParagraph"/>
        <w:numPr>
          <w:ilvl w:val="0"/>
          <w:numId w:val="2"/>
        </w:numPr>
        <w:spacing w:after="90" w:line="300"/>
      </w:pPr>
      <w:r>
        <w:rPr>
          <w:rFonts w:ascii="Arial" w:cs="Arial" w:eastAsia="Arial" w:hAnsi="Arial"/>
          <w:color w:val="1A1A1A"/>
          <w:sz w:val="22"/>
          <w:szCs w:val="22"/>
        </w:rPr>
        <w:t xml:space="preserve">Confirm the canonical tag on every page points to https://www.blackarrow.co (it already does in layout.tsx; verify it renders correctly on production).</w:t>
      </w:r>
    </w:p>
    <w:p>
      <w:pPr>
        <w:pStyle w:val="ListParagraph"/>
        <w:numPr>
          <w:ilvl w:val="0"/>
          <w:numId w:val="2"/>
        </w:numPr>
        <w:spacing w:after="90" w:line="300"/>
      </w:pPr>
      <w:r>
        <w:rPr>
          <w:rFonts w:ascii="Arial" w:cs="Arial" w:eastAsia="Arial" w:hAnsi="Arial"/>
          <w:color w:val="1A1A1A"/>
          <w:sz w:val="22"/>
          <w:szCs w:val="22"/>
        </w:rPr>
        <w:t xml:space="preserve">In Google Search Console, set the preferred property to the https://www.blackarrow.co/ property; submit the sitemap there if not already.</w:t>
      </w:r>
    </w:p>
    <w:p>
      <w:pPr>
        <w:pStyle w:val="ListParagraph"/>
        <w:numPr>
          <w:ilvl w:val="0"/>
          <w:numId w:val="2"/>
        </w:numPr>
        <w:spacing w:after="90" w:line="300"/>
      </w:pPr>
      <w:r>
        <w:rPr>
          <w:rFonts w:ascii="Arial" w:cs="Arial" w:eastAsia="Arial" w:hAnsi="Arial"/>
          <w:color w:val="1A1A1A"/>
          <w:sz w:val="22"/>
          <w:szCs w:val="22"/>
        </w:rPr>
        <w:t xml:space="preserve">Resubmit the sitemap and request indexing on the canonical homepage.</w:t>
      </w:r>
    </w:p>
    <w:p>
      <w:pPr>
        <w:spacing w:after="80" w:before="240"/>
      </w:pPr>
      <w:r>
        <w:rPr>
          <w:rFonts w:ascii="Arial" w:cs="Arial" w:eastAsia="Arial" w:hAnsi="Arial"/>
          <w:b/>
          <w:bCs/>
          <w:color w:val="2E75B6"/>
          <w:spacing w:val="30"/>
          <w:sz w:val="18"/>
          <w:szCs w:val="18"/>
        </w:rPr>
        <w:t xml:space="preserve">EXPECTED OUTCOME</w:t>
      </w:r>
    </w:p>
    <w:p>
      <w:pPr>
        <w:spacing w:after="160" w:line="320"/>
        <w:jc w:val="both"/>
      </w:pPr>
      <w:r>
        <w:rPr>
          <w:rFonts w:ascii="Arial" w:cs="Arial" w:eastAsia="Arial" w:hAnsi="Arial"/>
          <w:color w:val="1A1A1A"/>
          <w:sz w:val="22"/>
          <w:szCs w:val="22"/>
        </w:rPr>
        <w:t xml:space="preserve">Authority consolidation, eliminating 5–10 lost clicks per month. Also improves trust signals (HTTPS and canonical preference are minor ranking factors but cumulative).</w:t>
      </w:r>
    </w:p>
    <w:p>
      <w:pPr>
        <w:pStyle w:val="Heading2"/>
        <w:spacing w:after="120" w:before="240"/>
      </w:pPr>
      <w:r>
        <w:rPr>
          <w:rFonts w:ascii="Arial" w:cs="Arial" w:eastAsia="Arial" w:hAnsi="Arial"/>
        </w:rPr>
        <w:t xml:space="preserve">Opportunity 5: Internal linking pass (nav, footer, body)</w:t>
      </w:r>
    </w:p>
    <w:p>
      <w:pPr>
        <w:spacing w:after="80" w:before="240"/>
      </w:pPr>
      <w:r>
        <w:rPr>
          <w:rFonts w:ascii="Arial" w:cs="Arial" w:eastAsia="Arial" w:hAnsi="Arial"/>
          <w:b/>
          <w:bCs/>
          <w:color w:val="2E75B6"/>
          <w:spacing w:val="30"/>
          <w:sz w:val="18"/>
          <w:szCs w:val="18"/>
        </w:rPr>
        <w:t xml:space="preserve">WHY THIS MATTERS</w:t>
      </w:r>
    </w:p>
    <w:p>
      <w:pPr>
        <w:spacing w:after="160" w:line="320"/>
        <w:jc w:val="both"/>
      </w:pPr>
      <w:r>
        <w:rPr>
          <w:rFonts w:ascii="Arial" w:cs="Arial" w:eastAsia="Arial" w:hAnsi="Arial"/>
          <w:color w:val="1A1A1A"/>
          <w:sz w:val="22"/>
          <w:szCs w:val="22"/>
        </w:rPr>
        <w:t xml:space="preserve">Internal links pass PageRank around the site. They tell Google which pages matter. The Wilmington and Raleigh location pages, plus the 17 service-location pages, currently get internal links from the homepage Service Areas block and the sitemap — but the long-tail blog content and the city-specific service pages are not cross-linked enough. Every coverage page should link to every relevant city page, and vice versa.</w:t>
      </w:r>
    </w:p>
    <w:p>
      <w:pPr>
        <w:spacing w:after="80" w:before="240"/>
      </w:pPr>
      <w:r>
        <w:rPr>
          <w:rFonts w:ascii="Arial" w:cs="Arial" w:eastAsia="Arial" w:hAnsi="Arial"/>
          <w:b/>
          <w:bCs/>
          <w:color w:val="2E75B6"/>
          <w:spacing w:val="30"/>
          <w:sz w:val="18"/>
          <w:szCs w:val="18"/>
        </w:rPr>
        <w:t xml:space="preserve">WHAT TO DO</w:t>
      </w:r>
    </w:p>
    <w:p>
      <w:pPr>
        <w:pStyle w:val="ListParagraph"/>
        <w:numPr>
          <w:ilvl w:val="0"/>
          <w:numId w:val="2"/>
        </w:numPr>
        <w:spacing w:after="90" w:line="300"/>
      </w:pPr>
      <w:r>
        <w:rPr>
          <w:rFonts w:ascii="Arial" w:cs="Arial" w:eastAsia="Arial" w:hAnsi="Arial"/>
          <w:color w:val="1A1A1A"/>
          <w:sz w:val="22"/>
          <w:szCs w:val="22"/>
        </w:rPr>
        <w:t xml:space="preserve">Add a "Service Areas" inline block to every /insurance/[slug] page that lists Greenville, Whiteville, Wilmington, Raleigh and links to /locations/[city]-nc as well as to the matching /insurance/[service]-[city]-nc page.</w:t>
      </w:r>
    </w:p>
    <w:p>
      <w:pPr>
        <w:pStyle w:val="ListParagraph"/>
        <w:numPr>
          <w:ilvl w:val="0"/>
          <w:numId w:val="2"/>
        </w:numPr>
        <w:spacing w:after="90" w:line="300"/>
      </w:pPr>
      <w:r>
        <w:rPr>
          <w:rFonts w:ascii="Arial" w:cs="Arial" w:eastAsia="Arial" w:hAnsi="Arial"/>
          <w:color w:val="1A1A1A"/>
          <w:sz w:val="22"/>
          <w:szCs w:val="22"/>
        </w:rPr>
        <w:t xml:space="preserve">Add a "Coverage Options" block to every /locations/[city]-nc page that links to all 17 insurance product pages.</w:t>
      </w:r>
    </w:p>
    <w:p>
      <w:pPr>
        <w:pStyle w:val="ListParagraph"/>
        <w:numPr>
          <w:ilvl w:val="0"/>
          <w:numId w:val="2"/>
        </w:numPr>
        <w:spacing w:after="90" w:line="300"/>
      </w:pPr>
      <w:r>
        <w:rPr>
          <w:rFonts w:ascii="Arial" w:cs="Arial" w:eastAsia="Arial" w:hAnsi="Arial"/>
          <w:color w:val="1A1A1A"/>
          <w:sz w:val="22"/>
          <w:szCs w:val="22"/>
        </w:rPr>
        <w:t xml:space="preserve">In the footer, add a "Top Pages by Location" column with 4–6 of the highest-traffic city/service combinations as anchor-text links.</w:t>
      </w:r>
    </w:p>
    <w:p>
      <w:pPr>
        <w:pStyle w:val="ListParagraph"/>
        <w:numPr>
          <w:ilvl w:val="0"/>
          <w:numId w:val="2"/>
        </w:numPr>
        <w:spacing w:after="90" w:line="300"/>
      </w:pPr>
      <w:r>
        <w:rPr>
          <w:rFonts w:ascii="Arial" w:cs="Arial" w:eastAsia="Arial" w:hAnsi="Arial"/>
          <w:color w:val="1A1A1A"/>
          <w:sz w:val="22"/>
          <w:szCs w:val="22"/>
        </w:rPr>
        <w:t xml:space="preserve">In the header navigation, add a "Locations" dropdown that surfaces the four city pages rather than relying on the /locations index page.</w:t>
      </w:r>
    </w:p>
    <w:p>
      <w:pPr>
        <w:pStyle w:val="ListParagraph"/>
        <w:numPr>
          <w:ilvl w:val="0"/>
          <w:numId w:val="2"/>
        </w:numPr>
        <w:spacing w:after="90" w:line="300"/>
      </w:pPr>
      <w:r>
        <w:rPr>
          <w:rFonts w:ascii="Arial" w:cs="Arial" w:eastAsia="Arial" w:hAnsi="Arial"/>
          <w:color w:val="1A1A1A"/>
          <w:sz w:val="22"/>
          <w:szCs w:val="22"/>
        </w:rPr>
        <w:t xml:space="preserve">On every blog post, add 3–5 contextual in-body links to the relevant /insurance/* and /locations/* pages. The General Liability post in particular needs links to /insurance/general-liability, /insurance/business-owners-package, and /insurance/commercial-insurance-greenville-nc.</w:t>
      </w:r>
    </w:p>
    <w:p>
      <w:pPr>
        <w:spacing w:after="80" w:before="240"/>
      </w:pPr>
      <w:r>
        <w:rPr>
          <w:rFonts w:ascii="Arial" w:cs="Arial" w:eastAsia="Arial" w:hAnsi="Arial"/>
          <w:b/>
          <w:bCs/>
          <w:color w:val="2E75B6"/>
          <w:spacing w:val="30"/>
          <w:sz w:val="18"/>
          <w:szCs w:val="18"/>
        </w:rPr>
        <w:t xml:space="preserve">EXPECTED OUTCOME</w:t>
      </w:r>
    </w:p>
    <w:p>
      <w:pPr>
        <w:spacing w:after="160" w:line="320"/>
        <w:jc w:val="both"/>
      </w:pPr>
      <w:r>
        <w:rPr>
          <w:rFonts w:ascii="Arial" w:cs="Arial" w:eastAsia="Arial" w:hAnsi="Arial"/>
          <w:color w:val="1A1A1A"/>
          <w:sz w:val="22"/>
          <w:szCs w:val="22"/>
        </w:rPr>
        <w:t xml:space="preserve">Better Google understanding of the topical structure, faster crawl/indexing of new pages, and 20–40 incremental monthly clicks within 90–120 days as deeper pages start surfacing.</w:t>
      </w:r>
    </w:p>
    <w:p>
      <w:r>
        <w:br w:type="page"/>
      </w:r>
    </w:p>
    <w:p>
      <w:pPr>
        <w:pStyle w:val="Heading1"/>
        <w:spacing w:after="200" w:before="240"/>
      </w:pPr>
      <w:r>
        <w:rPr>
          <w:rFonts w:ascii="Arial" w:cs="Arial" w:eastAsia="Arial" w:hAnsi="Arial"/>
        </w:rPr>
        <w:t xml:space="preserve">Tier 2: High-Impact Builds (Months 2–6)</w:t>
      </w:r>
    </w:p>
    <w:p>
      <w:pPr>
        <w:spacing w:after="200" w:line="340"/>
        <w:jc w:val="both"/>
      </w:pPr>
      <w:r>
        <w:rPr>
          <w:rFonts w:ascii="Arial" w:cs="Arial" w:eastAsia="Arial" w:hAnsi="Arial"/>
          <w:i/>
          <w:iCs/>
          <w:color w:val="4A4A4A"/>
          <w:sz w:val="24"/>
          <w:szCs w:val="24"/>
        </w:rPr>
        <w:t xml:space="preserve">Tier 2 plays require new content production and structural work. They compound on the Tier 1 wins and unlock the bulk of the projected 12-month traffic lift.</w:t>
      </w:r>
    </w:p>
    <w:p>
      <w:pPr>
        <w:pStyle w:val="Heading2"/>
        <w:spacing w:after="120" w:before="240"/>
      </w:pPr>
      <w:r>
        <w:rPr>
          <w:rFonts w:ascii="Arial" w:cs="Arial" w:eastAsia="Arial" w:hAnsi="Arial"/>
        </w:rPr>
        <w:t xml:space="preserve">Opportunity 6: New page — /insurance/business-insurance-wilmington-nc</w:t>
      </w:r>
    </w:p>
    <w:p>
      <w:pPr>
        <w:spacing w:after="160" w:line="320"/>
        <w:jc w:val="both"/>
      </w:pPr>
      <w:r>
        <w:rPr>
          <w:rFonts w:ascii="Arial" w:cs="Arial" w:eastAsia="Arial" w:hAnsi="Arial"/>
          <w:color w:val="1A1A1A"/>
          <w:sz w:val="22"/>
          <w:szCs w:val="22"/>
        </w:rPr>
        <w:t xml:space="preserve">There is already a commercial-insurance-wilmington-nc page, but the actual search term users type is "business insurance" (900 monthly searches at KD 12, CPC $30). The phrasing matters. Build a sister page or rewrite the existing commercial page to use "business insurance" in the H1, title, and primary headings while still capturing "commercial insurance" terms. Add a comparison table of BOP vs. general liability vs. workers comp, and seed it with 5–7 Wilmington-specific case examples (a Wrightsville Beach restaurant, a Carolina Beach short-term rental host, a downtown professional services firm, a Leland contractor).</w:t>
      </w:r>
    </w:p>
    <w:p>
      <w:pPr>
        <w:pStyle w:val="Heading2"/>
        <w:spacing w:after="120" w:before="240"/>
      </w:pPr>
      <w:r>
        <w:rPr>
          <w:rFonts w:ascii="Arial" w:cs="Arial" w:eastAsia="Arial" w:hAnsi="Arial"/>
        </w:rPr>
        <w:t xml:space="preserve">Opportunity 7: New page — /insurance/renters-insurance-wilmington-nc</w:t>
      </w:r>
    </w:p>
    <w:p>
      <w:pPr>
        <w:spacing w:after="160" w:line="320"/>
        <w:jc w:val="both"/>
      </w:pPr>
      <w:r>
        <w:rPr>
          <w:rFonts w:ascii="Arial" w:cs="Arial" w:eastAsia="Arial" w:hAnsi="Arial"/>
          <w:color w:val="1A1A1A"/>
          <w:sz w:val="22"/>
          <w:szCs w:val="22"/>
        </w:rPr>
        <w:t xml:space="preserve">300 monthly searches at KD 3 with a $9 CPC. No competitor in the top 10 has a dedicated, locally-optimized renters insurance page. This is the lowest-difficulty page-one ranking on the entire roadmap. Renters policies are small commissions ($30–$60/year), but they convert at high volume and they cross-sell into auto bundles. Build the page targeting "renters insurance wilmington nc" and "wilmington nc renters insurance quotes."</w:t>
      </w:r>
    </w:p>
    <w:p>
      <w:pPr>
        <w:pStyle w:val="Heading2"/>
        <w:spacing w:after="120" w:before="240"/>
      </w:pPr>
      <w:r>
        <w:rPr>
          <w:rFonts w:ascii="Arial" w:cs="Arial" w:eastAsia="Arial" w:hAnsi="Arial"/>
        </w:rPr>
        <w:t xml:space="preserve">Opportunity 8: Flood insurance city pages (4)</w:t>
      </w:r>
    </w:p>
    <w:p>
      <w:pPr>
        <w:spacing w:after="160" w:line="320"/>
        <w:jc w:val="both"/>
      </w:pPr>
      <w:r>
        <w:rPr>
          <w:rFonts w:ascii="Arial" w:cs="Arial" w:eastAsia="Arial" w:hAnsi="Arial"/>
          <w:color w:val="1A1A1A"/>
          <w:sz w:val="22"/>
          <w:szCs w:val="22"/>
        </w:rPr>
        <w:t xml:space="preserve">Standalone flood insurance content is missing entirely. "Flood insurance wilmington nc" pulls 50 searches with no clear page-one local agency. "How much is flood insurance in nc" is 200 monthly searches at KD 10. Build /insurance/flood-insurance-wilmington-nc, /insurance/flood-insurance-greenville-nc, /insurance/flood-insurance-whiteville-nc, /insurance/flood-insurance-raleigh-nc. Each page covers: FEMA flood zones for that city, NFIP vs. private flood options, deductible math, and what local rivers/coast affect risk.</w:t>
      </w:r>
    </w:p>
    <w:p>
      <w:pPr>
        <w:pStyle w:val="Heading2"/>
        <w:spacing w:after="120" w:before="240"/>
      </w:pPr>
      <w:r>
        <w:rPr>
          <w:rFonts w:ascii="Arial" w:cs="Arial" w:eastAsia="Arial" w:hAnsi="Arial"/>
        </w:rPr>
        <w:t xml:space="preserve">Opportunity 9: Workers comp by city (3 pages)</w:t>
      </w:r>
    </w:p>
    <w:p>
      <w:pPr>
        <w:spacing w:after="160" w:line="320"/>
        <w:jc w:val="both"/>
      </w:pPr>
      <w:r>
        <w:rPr>
          <w:rFonts w:ascii="Arial" w:cs="Arial" w:eastAsia="Arial" w:hAnsi="Arial"/>
          <w:color w:val="1A1A1A"/>
          <w:sz w:val="22"/>
          <w:szCs w:val="22"/>
        </w:rPr>
        <w:t xml:space="preserve">"Workers compensation nc" pulls 1,300 monthly searches at KD 12 with a 4,300 traffic-potential cluster. BlackArrow already has /insurance/workers-compensation and /insurance/workers-compensation-north-carolina. The next layer is city-specific: workers-comp-greenville-nc, workers-comp-wilmington-nc, workers-comp-jacksonville-nc. Each page addresses the local industries (ECU Health medical workers in Greenville, hospitality and construction workers in Wilmington, military and contracting in Jacksonville).</w:t>
      </w:r>
    </w:p>
    <w:p>
      <w:pPr>
        <w:pStyle w:val="Heading2"/>
        <w:spacing w:after="120" w:before="240"/>
      </w:pPr>
      <w:r>
        <w:rPr>
          <w:rFonts w:ascii="Arial" w:cs="Arial" w:eastAsia="Arial" w:hAnsi="Arial"/>
        </w:rPr>
        <w:t xml:space="preserve">Opportunity 10: Short-term rental insurance cluster</w:t>
      </w:r>
    </w:p>
    <w:p>
      <w:pPr>
        <w:spacing w:after="160" w:line="320"/>
        <w:jc w:val="both"/>
      </w:pPr>
      <w:r>
        <w:rPr>
          <w:rFonts w:ascii="Arial" w:cs="Arial" w:eastAsia="Arial" w:hAnsi="Arial"/>
          <w:color w:val="1A1A1A"/>
          <w:sz w:val="22"/>
          <w:szCs w:val="22"/>
        </w:rPr>
        <w:t xml:space="preserve">Wilmington short-term rentals are a huge market (Wrightsville Beach, Carolina Beach, Kure Beach). "Short term rental insurance nc" is part of a cluster with $400 CPC and 22,000 traffic potential at the parent topic ("rental dwelling insurance") level. The existing /insurance/short-term-rental page is generic. Build out: an Airbnb-specific guide, a VRBO-specific guide, a "lost income from cancellations" deep-dive, and a hurricane-prep checklist for STR hosts. This is the play that wins beach-rental investor leads.</w:t>
      </w:r>
    </w:p>
    <w:p>
      <w:pPr>
        <w:pStyle w:val="Heading2"/>
        <w:spacing w:after="120" w:before="240"/>
      </w:pPr>
      <w:r>
        <w:rPr>
          <w:rFonts w:ascii="Arial" w:cs="Arial" w:eastAsia="Arial" w:hAnsi="Arial"/>
        </w:rPr>
        <w:t xml:space="preserve">Opportunity 11: Cost-focused content cluster</w:t>
      </w:r>
    </w:p>
    <w:p>
      <w:pPr>
        <w:spacing w:after="160" w:line="320"/>
        <w:jc w:val="both"/>
      </w:pPr>
      <w:r>
        <w:rPr>
          <w:rFonts w:ascii="Arial" w:cs="Arial" w:eastAsia="Arial" w:hAnsi="Arial"/>
          <w:color w:val="1A1A1A"/>
          <w:sz w:val="22"/>
          <w:szCs w:val="22"/>
        </w:rPr>
        <w:t xml:space="preserve">Cost-intent queries convert better than any other type because the user is already trying to budget for the product. Build a 6–8 post cluster:</w:t>
      </w:r>
    </w:p>
    <w:p>
      <w:pPr>
        <w:pStyle w:val="ListParagraph"/>
        <w:numPr>
          <w:ilvl w:val="0"/>
          <w:numId w:val="2"/>
        </w:numPr>
        <w:spacing w:after="90" w:line="300"/>
      </w:pPr>
      <w:r>
        <w:rPr>
          <w:rFonts w:ascii="Arial" w:cs="Arial" w:eastAsia="Arial" w:hAnsi="Arial"/>
          <w:color w:val="1A1A1A"/>
          <w:sz w:val="22"/>
          <w:szCs w:val="22"/>
        </w:rPr>
        <w:t xml:space="preserve">"How much does homeowners insurance cost in Eastern NC?" (use real ranges by ZIP)</w:t>
      </w:r>
    </w:p>
    <w:p>
      <w:pPr>
        <w:pStyle w:val="ListParagraph"/>
        <w:numPr>
          <w:ilvl w:val="0"/>
          <w:numId w:val="2"/>
        </w:numPr>
        <w:spacing w:after="90" w:line="300"/>
      </w:pPr>
      <w:r>
        <w:rPr>
          <w:rFonts w:ascii="Arial" w:cs="Arial" w:eastAsia="Arial" w:hAnsi="Arial"/>
          <w:color w:val="1A1A1A"/>
          <w:sz w:val="22"/>
          <w:szCs w:val="22"/>
        </w:rPr>
        <w:t xml:space="preserve">"How much does flood insurance cost in North Carolina?"</w:t>
      </w:r>
    </w:p>
    <w:p>
      <w:pPr>
        <w:pStyle w:val="ListParagraph"/>
        <w:numPr>
          <w:ilvl w:val="0"/>
          <w:numId w:val="2"/>
        </w:numPr>
        <w:spacing w:after="90" w:line="300"/>
      </w:pPr>
      <w:r>
        <w:rPr>
          <w:rFonts w:ascii="Arial" w:cs="Arial" w:eastAsia="Arial" w:hAnsi="Arial"/>
          <w:color w:val="1A1A1A"/>
          <w:sz w:val="22"/>
          <w:szCs w:val="22"/>
        </w:rPr>
        <w:t xml:space="preserve">"What does general liability insurance cost for a small business in NC?"</w:t>
      </w:r>
    </w:p>
    <w:p>
      <w:pPr>
        <w:pStyle w:val="ListParagraph"/>
        <w:numPr>
          <w:ilvl w:val="0"/>
          <w:numId w:val="2"/>
        </w:numPr>
        <w:spacing w:after="90" w:line="300"/>
      </w:pPr>
      <w:r>
        <w:rPr>
          <w:rFonts w:ascii="Arial" w:cs="Arial" w:eastAsia="Arial" w:hAnsi="Arial"/>
          <w:color w:val="1A1A1A"/>
          <w:sz w:val="22"/>
          <w:szCs w:val="22"/>
        </w:rPr>
        <w:t xml:space="preserve">"Builders risk insurance cost: what NC contractors should expect" (1,100 vol, KD 2 — a layup)</w:t>
      </w:r>
    </w:p>
    <w:p>
      <w:pPr>
        <w:pStyle w:val="ListParagraph"/>
        <w:numPr>
          <w:ilvl w:val="0"/>
          <w:numId w:val="2"/>
        </w:numPr>
        <w:spacing w:after="90" w:line="300"/>
      </w:pPr>
      <w:r>
        <w:rPr>
          <w:rFonts w:ascii="Arial" w:cs="Arial" w:eastAsia="Arial" w:hAnsi="Arial"/>
          <w:color w:val="1A1A1A"/>
          <w:sz w:val="22"/>
          <w:szCs w:val="22"/>
        </w:rPr>
        <w:t xml:space="preserve">"Short-term rental insurance cost: what Airbnb hosts pay in coastal NC"</w:t>
      </w:r>
    </w:p>
    <w:p>
      <w:pPr>
        <w:pStyle w:val="ListParagraph"/>
        <w:numPr>
          <w:ilvl w:val="0"/>
          <w:numId w:val="2"/>
        </w:numPr>
        <w:spacing w:after="90" w:line="300"/>
      </w:pPr>
      <w:r>
        <w:rPr>
          <w:rFonts w:ascii="Arial" w:cs="Arial" w:eastAsia="Arial" w:hAnsi="Arial"/>
          <w:color w:val="1A1A1A"/>
          <w:sz w:val="22"/>
          <w:szCs w:val="22"/>
        </w:rPr>
        <w:t xml:space="preserve">"How much workers comp insurance costs in NC (and what affects your rate)"</w:t>
      </w:r>
    </w:p>
    <w:p>
      <w:pPr>
        <w:pStyle w:val="Heading2"/>
        <w:spacing w:after="120" w:before="240"/>
      </w:pPr>
      <w:r>
        <w:rPr>
          <w:rFonts w:ascii="Arial" w:cs="Arial" w:eastAsia="Arial" w:hAnsi="Arial"/>
        </w:rPr>
        <w:t xml:space="preserve">Opportunity 12: Reviews engine</w:t>
      </w:r>
    </w:p>
    <w:p>
      <w:pPr>
        <w:spacing w:after="160" w:line="320"/>
        <w:jc w:val="both"/>
      </w:pPr>
      <w:r>
        <w:rPr>
          <w:rFonts w:ascii="Arial" w:cs="Arial" w:eastAsia="Arial" w:hAnsi="Arial"/>
          <w:color w:val="1A1A1A"/>
          <w:sz w:val="22"/>
          <w:szCs w:val="22"/>
        </w:rPr>
        <w:t xml:space="preserve">Google reviews are a top-3 local pack ranking factor. The existing schema declares two InsuranceAgency locations but does not surface aggregate review counts. Build a reviews flywheel: every new policy holder gets a one-tap link to leave a Google review for the location they worked with; a Customer Success script asks for the review at the moment the policy binds; reply to every review (positive and negative) within 24 hours. Target: 50+ reviews per office within 90 days, then 5–8 net-new reviews per office per month. Combine with AggregateRating schema markup on the location pages to surface star ratings in organic listings.</w:t>
      </w:r>
    </w:p>
    <w:p>
      <w:r>
        <w:br w:type="page"/>
      </w:r>
    </w:p>
    <w:p>
      <w:pPr>
        <w:pStyle w:val="Heading1"/>
        <w:spacing w:after="200" w:before="240"/>
      </w:pPr>
      <w:r>
        <w:rPr>
          <w:rFonts w:ascii="Arial" w:cs="Arial" w:eastAsia="Arial" w:hAnsi="Arial"/>
        </w:rPr>
        <w:t xml:space="preserve">Tier 3: Authority + Differentiation (Months 6–12)</w:t>
      </w:r>
    </w:p>
    <w:p>
      <w:pPr>
        <w:spacing w:after="200" w:line="340"/>
        <w:jc w:val="both"/>
      </w:pPr>
      <w:r>
        <w:rPr>
          <w:rFonts w:ascii="Arial" w:cs="Arial" w:eastAsia="Arial" w:hAnsi="Arial"/>
          <w:i/>
          <w:iCs/>
          <w:color w:val="4A4A4A"/>
          <w:sz w:val="24"/>
          <w:szCs w:val="24"/>
        </w:rPr>
        <w:t xml:space="preserve">Tier 3 plays are about pulling Domain Rating from 13 into the mid-20s and building topical authority that the small competitors cannot match.</w:t>
      </w:r>
    </w:p>
    <w:p>
      <w:pPr>
        <w:pStyle w:val="Heading2"/>
        <w:spacing w:after="120" w:before="240"/>
      </w:pPr>
      <w:r>
        <w:rPr>
          <w:rFonts w:ascii="Arial" w:cs="Arial" w:eastAsia="Arial" w:hAnsi="Arial"/>
        </w:rPr>
        <w:t xml:space="preserve">Opportunity 13: Backlink campaign</w:t>
      </w:r>
    </w:p>
    <w:p>
      <w:pPr>
        <w:spacing w:after="160" w:line="320"/>
        <w:jc w:val="both"/>
      </w:pPr>
      <w:r>
        <w:rPr>
          <w:rFonts w:ascii="Arial" w:cs="Arial" w:eastAsia="Arial" w:hAnsi="Arial"/>
          <w:color w:val="1A1A1A"/>
          <w:sz w:val="22"/>
          <w:szCs w:val="22"/>
        </w:rPr>
        <w:t xml:space="preserve">Currently 85 referring domains. Target 145 by month 12. Approach in order of yield-per-hour:</w:t>
      </w:r>
    </w:p>
    <w:p>
      <w:pPr>
        <w:pStyle w:val="ListParagraph"/>
        <w:numPr>
          <w:ilvl w:val="0"/>
          <w:numId w:val="2"/>
        </w:numPr>
        <w:spacing w:after="90" w:line="300"/>
      </w:pPr>
      <w:r>
        <w:rPr>
          <w:rFonts w:ascii="Arial" w:cs="Arial" w:eastAsia="Arial" w:hAnsi="Arial"/>
          <w:color w:val="1A1A1A"/>
          <w:sz w:val="22"/>
          <w:szCs w:val="22"/>
        </w:rPr>
        <w:t xml:space="preserve">Greenville Chamber of Commerce, Whiteville Chamber, Columbus County Chamber (3 high-trust local links).</w:t>
      </w:r>
    </w:p>
    <w:p>
      <w:pPr>
        <w:pStyle w:val="ListParagraph"/>
        <w:numPr>
          <w:ilvl w:val="0"/>
          <w:numId w:val="2"/>
        </w:numPr>
        <w:spacing w:after="90" w:line="300"/>
      </w:pPr>
      <w:r>
        <w:rPr>
          <w:rFonts w:ascii="Arial" w:cs="Arial" w:eastAsia="Arial" w:hAnsi="Arial"/>
          <w:color w:val="1A1A1A"/>
          <w:sz w:val="22"/>
          <w:szCs w:val="22"/>
        </w:rPr>
        <w:t xml:space="preserve">NC Surplus Lines Association, NC Department of Insurance partner directories, Trusted Choice (Big I).</w:t>
      </w:r>
    </w:p>
    <w:p>
      <w:pPr>
        <w:pStyle w:val="ListParagraph"/>
        <w:numPr>
          <w:ilvl w:val="0"/>
          <w:numId w:val="2"/>
        </w:numPr>
        <w:spacing w:after="90" w:line="300"/>
      </w:pPr>
      <w:r>
        <w:rPr>
          <w:rFonts w:ascii="Arial" w:cs="Arial" w:eastAsia="Arial" w:hAnsi="Arial"/>
          <w:color w:val="1A1A1A"/>
          <w:sz w:val="22"/>
          <w:szCs w:val="22"/>
        </w:rPr>
        <w:t xml:space="preserve">Carrier partner pages — every appointed carrier (Travelers, Safeco, Foremost, Heritage, Universal, etc.) typically has a "Find An Agent" listing; verify BlackArrow appears and links to /locations/[city]-nc.</w:t>
      </w:r>
    </w:p>
    <w:p>
      <w:pPr>
        <w:pStyle w:val="ListParagraph"/>
        <w:numPr>
          <w:ilvl w:val="0"/>
          <w:numId w:val="2"/>
        </w:numPr>
        <w:spacing w:after="90" w:line="300"/>
      </w:pPr>
      <w:r>
        <w:rPr>
          <w:rFonts w:ascii="Arial" w:cs="Arial" w:eastAsia="Arial" w:hAnsi="Arial"/>
          <w:color w:val="1A1A1A"/>
          <w:sz w:val="22"/>
          <w:szCs w:val="22"/>
        </w:rPr>
        <w:t xml:space="preserve">Local nonprofits and youth sports sponsorships (BlackArrow logo + link from charity recipient sites).</w:t>
      </w:r>
    </w:p>
    <w:p>
      <w:pPr>
        <w:pStyle w:val="ListParagraph"/>
        <w:numPr>
          <w:ilvl w:val="0"/>
          <w:numId w:val="2"/>
        </w:numPr>
        <w:spacing w:after="90" w:line="300"/>
      </w:pPr>
      <w:r>
        <w:rPr>
          <w:rFonts w:ascii="Arial" w:cs="Arial" w:eastAsia="Arial" w:hAnsi="Arial"/>
          <w:color w:val="1A1A1A"/>
          <w:sz w:val="22"/>
          <w:szCs w:val="22"/>
        </w:rPr>
        <w:t xml:space="preserve">Local press: pitch one earned-media story per quarter to The Daily Reflector (Greenville), The News Reporter (Whiteville), and Star News (Wilmington). Hurricane prep season is the strongest pitch window.</w:t>
      </w:r>
    </w:p>
    <w:p>
      <w:pPr>
        <w:pStyle w:val="ListParagraph"/>
        <w:numPr>
          <w:ilvl w:val="0"/>
          <w:numId w:val="2"/>
        </w:numPr>
        <w:spacing w:after="90" w:line="300"/>
      </w:pPr>
      <w:r>
        <w:rPr>
          <w:rFonts w:ascii="Arial" w:cs="Arial" w:eastAsia="Arial" w:hAnsi="Arial"/>
          <w:color w:val="1A1A1A"/>
          <w:sz w:val="22"/>
          <w:szCs w:val="22"/>
        </w:rPr>
        <w:t xml:space="preserve">CPA, attorney, and mortgage broker partnerships: cross-link with 5–8 complementary professionals in each market.</w:t>
      </w:r>
    </w:p>
    <w:p>
      <w:pPr>
        <w:pStyle w:val="Heading2"/>
        <w:spacing w:after="120" w:before="240"/>
      </w:pPr>
      <w:r>
        <w:rPr>
          <w:rFonts w:ascii="Arial" w:cs="Arial" w:eastAsia="Arial" w:hAnsi="Arial"/>
        </w:rPr>
        <w:t xml:space="preserve">Opportunity 14: Spanish-language pages</w:t>
      </w:r>
    </w:p>
    <w:p>
      <w:pPr>
        <w:spacing w:after="160" w:line="320"/>
        <w:jc w:val="both"/>
      </w:pPr>
      <w:r>
        <w:rPr>
          <w:rFonts w:ascii="Arial" w:cs="Arial" w:eastAsia="Arial" w:hAnsi="Arial"/>
          <w:color w:val="1A1A1A"/>
          <w:sz w:val="22"/>
          <w:szCs w:val="22"/>
        </w:rPr>
        <w:t xml:space="preserve">Pitt County (Greenville) is roughly 7% Hispanic; Columbus County is roughly 5%. No competitor in the BlackArrow service area has Spanish-language insurance content. Build "Seguro de auto en Greenville, NC" and "Seguro de hogar en Wilmington, NC" first (highest-volume terms). Hreflang tags + structured data point Google at the Spanish variants.</w:t>
      </w:r>
    </w:p>
    <w:p>
      <w:pPr>
        <w:pStyle w:val="Heading2"/>
        <w:spacing w:after="120" w:before="240"/>
      </w:pPr>
      <w:r>
        <w:rPr>
          <w:rFonts w:ascii="Arial" w:cs="Arial" w:eastAsia="Arial" w:hAnsi="Arial"/>
        </w:rPr>
        <w:t xml:space="preserve">Opportunity 15: Industry vertical pages</w:t>
      </w:r>
    </w:p>
    <w:p>
      <w:pPr>
        <w:spacing w:after="160" w:line="320"/>
        <w:jc w:val="both"/>
      </w:pPr>
      <w:r>
        <w:rPr>
          <w:rFonts w:ascii="Arial" w:cs="Arial" w:eastAsia="Arial" w:hAnsi="Arial"/>
          <w:color w:val="1A1A1A"/>
          <w:sz w:val="22"/>
          <w:szCs w:val="22"/>
        </w:rPr>
        <w:t xml:space="preserve">Build commercial insurance landing pages by industry: /commercial-insurance-for-medical-practices-nc (high relevance given ECU Health), /commercial-insurance-for-contractors-nc, /commercial-insurance-for-restaurants-nc, /commercial-insurance-for-trucking-nc. Industry pages convert at higher rates because the user signals decision-ready intent.</w:t>
      </w:r>
    </w:p>
    <w:p>
      <w:pPr>
        <w:pStyle w:val="Heading2"/>
        <w:spacing w:after="120" w:before="240"/>
      </w:pPr>
      <w:r>
        <w:rPr>
          <w:rFonts w:ascii="Arial" w:cs="Arial" w:eastAsia="Arial" w:hAnsi="Arial"/>
        </w:rPr>
        <w:t xml:space="preserve">Opportunity 16: FAQ schema saturation</w:t>
      </w:r>
    </w:p>
    <w:p>
      <w:pPr>
        <w:spacing w:after="160" w:line="320"/>
        <w:jc w:val="both"/>
      </w:pPr>
      <w:r>
        <w:rPr>
          <w:rFonts w:ascii="Arial" w:cs="Arial" w:eastAsia="Arial" w:hAnsi="Arial"/>
          <w:color w:val="1A1A1A"/>
          <w:sz w:val="22"/>
          <w:szCs w:val="22"/>
        </w:rPr>
        <w:t xml:space="preserve">Every /insurance/[slug] page already has a faqs array in the data model. Wrap each with FAQPage schema in JSON-LD. This unlocks rich-result FAQ accordions in search results, which boost CTR by 8–15% on the affected impressions.</w:t>
      </w:r>
    </w:p>
    <w:p>
      <w:pPr>
        <w:pStyle w:val="Heading2"/>
        <w:spacing w:after="120" w:before="240"/>
      </w:pPr>
      <w:r>
        <w:rPr>
          <w:rFonts w:ascii="Arial" w:cs="Arial" w:eastAsia="Arial" w:hAnsi="Arial"/>
        </w:rPr>
        <w:t xml:space="preserve">Opportunity 17: Video schema + YouTube channel</w:t>
      </w:r>
    </w:p>
    <w:p>
      <w:pPr>
        <w:spacing w:after="160" w:line="320"/>
        <w:jc w:val="both"/>
      </w:pPr>
      <w:r>
        <w:rPr>
          <w:rFonts w:ascii="Arial" w:cs="Arial" w:eastAsia="Arial" w:hAnsi="Arial"/>
          <w:color w:val="1A1A1A"/>
          <w:sz w:val="22"/>
          <w:szCs w:val="22"/>
        </w:rPr>
        <w:t xml:space="preserve">Five 90-second explainer videos: "How NC hurricane deductibles work," "What flood insurance covers (and doesn't)," "Why short-term rental hosts need a special policy," "Workers comp basics for NC small business," "Picking the right liability limits." Embed each on the matching coverage page with VideoObject schema. Upload to YouTube and use the embed to capture YouTube SERP impressions in addition to Google web impressions.</w:t>
      </w:r>
    </w:p>
    <w:p>
      <w:pPr>
        <w:pStyle w:val="Heading2"/>
        <w:spacing w:after="120" w:before="240"/>
      </w:pPr>
      <w:r>
        <w:rPr>
          <w:rFonts w:ascii="Arial" w:cs="Arial" w:eastAsia="Arial" w:hAnsi="Arial"/>
        </w:rPr>
        <w:t xml:space="preserve">Opportunity 18: Niche directory placements</w:t>
      </w:r>
    </w:p>
    <w:p>
      <w:pPr>
        <w:spacing w:after="160" w:line="320"/>
        <w:jc w:val="both"/>
      </w:pPr>
      <w:r>
        <w:rPr>
          <w:rFonts w:ascii="Arial" w:cs="Arial" w:eastAsia="Arial" w:hAnsi="Arial"/>
          <w:color w:val="1A1A1A"/>
          <w:sz w:val="22"/>
          <w:szCs w:val="22"/>
        </w:rPr>
        <w:t xml:space="preserve">Specifically: Trusted Choice agent locator, IIANC member directory, Insurance Journal contributor profile, BBB profile (both offices), Yelp profile with full bio, and 10–15 NC-specific directories (NC State Bar referrals, NC Realtors preferred-vendor lists, NC Restaurant Association partner directory).</w:t>
      </w:r>
    </w:p>
    <w:p>
      <w:r>
        <w:br w:type="page"/>
      </w:r>
    </w:p>
    <w:p>
      <w:pPr>
        <w:pStyle w:val="Heading1"/>
        <w:spacing w:after="200" w:before="240"/>
      </w:pPr>
      <w:r>
        <w:rPr>
          <w:rFonts w:ascii="Arial" w:cs="Arial" w:eastAsia="Arial" w:hAnsi="Arial"/>
        </w:rPr>
        <w:t xml:space="preserve">Tier 4: Strategic / Long-Term</w:t>
      </w:r>
    </w:p>
    <w:p>
      <w:pPr>
        <w:spacing w:after="200" w:line="340"/>
        <w:jc w:val="both"/>
      </w:pPr>
      <w:r>
        <w:rPr>
          <w:rFonts w:ascii="Arial" w:cs="Arial" w:eastAsia="Arial" w:hAnsi="Arial"/>
          <w:i/>
          <w:iCs/>
          <w:color w:val="4A4A4A"/>
          <w:sz w:val="24"/>
          <w:szCs w:val="24"/>
        </w:rPr>
        <w:t xml:space="preserve">These plays compound. They will not move the traffic dial inside 6 months, but they are what makes BlackArrow uncatchable in the Eastern NC organic SERP by year 2–3.</w:t>
      </w:r>
    </w:p>
    <w:p>
      <w:pPr>
        <w:pStyle w:val="Heading2"/>
        <w:spacing w:after="120" w:before="240"/>
      </w:pPr>
      <w:r>
        <w:rPr>
          <w:rFonts w:ascii="Arial" w:cs="Arial" w:eastAsia="Arial" w:hAnsi="Arial"/>
        </w:rPr>
        <w:t xml:space="preserve">Opportunity 19: Programmatic small-town expansion</w:t>
      </w:r>
    </w:p>
    <w:p>
      <w:pPr>
        <w:spacing w:after="160" w:line="320"/>
        <w:jc w:val="both"/>
      </w:pPr>
      <w:r>
        <w:rPr>
          <w:rFonts w:ascii="Arial" w:cs="Arial" w:eastAsia="Arial" w:hAnsi="Arial"/>
          <w:color w:val="1A1A1A"/>
          <w:sz w:val="22"/>
          <w:szCs w:val="22"/>
        </w:rPr>
        <w:t xml:space="preserve">Use the existing service-location data model to spin up 10–20 additional city pages: Winterville, Ayden, Farmville, Bethel (Pitt County surrounding); Tabor City, Chadbourn, Lake Waccamaw (Columbus County surrounding); Leland, Hampstead, Carolina Beach, Wrightsville Beach (Wilmington surrounding); Cary, Apex, Wake Forest (Raleigh surrounding). Each page is templated but seeded with 200–300 words of locally-relevant copy.</w:t>
      </w:r>
    </w:p>
    <w:p>
      <w:pPr>
        <w:pStyle w:val="Heading2"/>
        <w:spacing w:after="120" w:before="240"/>
      </w:pPr>
      <w:r>
        <w:rPr>
          <w:rFonts w:ascii="Arial" w:cs="Arial" w:eastAsia="Arial" w:hAnsi="Arial"/>
        </w:rPr>
        <w:t xml:space="preserve">Opportunity 20: Pillar page — "The Eastern North Carolina Insurance Guide"</w:t>
      </w:r>
    </w:p>
    <w:p>
      <w:pPr>
        <w:spacing w:after="160" w:line="320"/>
        <w:jc w:val="both"/>
      </w:pPr>
      <w:r>
        <w:rPr>
          <w:rFonts w:ascii="Arial" w:cs="Arial" w:eastAsia="Arial" w:hAnsi="Arial"/>
          <w:color w:val="1A1A1A"/>
          <w:sz w:val="22"/>
          <w:szCs w:val="22"/>
        </w:rPr>
        <w:t xml:space="preserve">A single 8,000–10,000 word pillar page that links out to every coverage and city page. Pillar pages collect inbound links over time and act as the authority hub for the topic. Update it twice a year with new data (premium trends, NC Insurance Commissioner news, hurricane statistics, building code updates).</w:t>
      </w:r>
    </w:p>
    <w:p>
      <w:pPr>
        <w:pStyle w:val="Heading2"/>
        <w:spacing w:after="120" w:before="240"/>
      </w:pPr>
      <w:r>
        <w:rPr>
          <w:rFonts w:ascii="Arial" w:cs="Arial" w:eastAsia="Arial" w:hAnsi="Arial"/>
        </w:rPr>
        <w:t xml:space="preserve">Opportunity 21: Customer success stories</w:t>
      </w:r>
    </w:p>
    <w:p>
      <w:pPr>
        <w:spacing w:after="160" w:line="320"/>
        <w:jc w:val="both"/>
      </w:pPr>
      <w:r>
        <w:rPr>
          <w:rFonts w:ascii="Arial" w:cs="Arial" w:eastAsia="Arial" w:hAnsi="Arial"/>
          <w:color w:val="1A1A1A"/>
          <w:sz w:val="22"/>
          <w:szCs w:val="22"/>
        </w:rPr>
        <w:t xml:space="preserve">Five 600-word case studies per year: "How we saved a Leland family $1,400 on coastal home insurance," "The Wrightsville Beach STR host we kept covered after a guest-caused fire," "How a Greenville HVAC contractor restructured their BOP and added cyber for less money." These build trust and earn shared links from happy clients.</w:t>
      </w:r>
    </w:p>
    <w:p>
      <w:pPr>
        <w:pStyle w:val="Heading2"/>
        <w:spacing w:after="120" w:before="240"/>
      </w:pPr>
      <w:r>
        <w:rPr>
          <w:rFonts w:ascii="Arial" w:cs="Arial" w:eastAsia="Arial" w:hAnsi="Arial"/>
        </w:rPr>
        <w:t xml:space="preserve">Opportunity 22: Annual NC insurance market report</w:t>
      </w:r>
    </w:p>
    <w:p>
      <w:pPr>
        <w:spacing w:after="160" w:line="320"/>
        <w:jc w:val="both"/>
      </w:pPr>
      <w:r>
        <w:rPr>
          <w:rFonts w:ascii="Arial" w:cs="Arial" w:eastAsia="Arial" w:hAnsi="Arial"/>
          <w:color w:val="1A1A1A"/>
          <w:sz w:val="22"/>
          <w:szCs w:val="22"/>
        </w:rPr>
        <w:t xml:space="preserve">Publish "The BlackArrow Eastern NC Insurance Market Report" every January — a 20-page PDF with original data on premium trends, hurricane payout statistics, market share among carriers in NC, and forecasts. Distribute to NC business press. This is the single best link-magnet play available; one well-placed citation on Bizjournals.com or Insurance Journal is worth more than 50 directory placements.</w:t>
      </w:r>
    </w:p>
    <w:p>
      <w:r>
        <w:br w:type="page"/>
      </w:r>
    </w:p>
    <w:p>
      <w:pPr>
        <w:pStyle w:val="Heading1"/>
        <w:spacing w:after="200" w:before="240"/>
      </w:pPr>
      <w:r>
        <w:rPr>
          <w:rFonts w:ascii="Arial" w:cs="Arial" w:eastAsia="Arial" w:hAnsi="Arial"/>
        </w:rPr>
        <w:t xml:space="preserve">Implementation Roadmap</w:t>
      </w:r>
    </w:p>
    <w:p>
      <w:pPr>
        <w:pStyle w:val="Heading2"/>
        <w:spacing w:after="120" w:before="240"/>
      </w:pPr>
      <w:r>
        <w:rPr>
          <w:rFonts w:ascii="Arial" w:cs="Arial" w:eastAsia="Arial" w:hAnsi="Arial"/>
        </w:rPr>
        <w:t xml:space="preserve">First 90 Days — Foundation +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rPr>
          <w:tblHeader/>
        </w:trPr>
        <w:tc>
          <w:tcPr>
            <w:tcW w:type="dxa" w:w="18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Window</w:t>
            </w:r>
          </w:p>
        </w:tc>
        <w:tc>
          <w:tcPr>
            <w:tcW w:type="dxa" w:w="27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4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246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1</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Set up Greenville + Whiteville Google Business Profiles</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Marketing / Stone</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Both GBPs live, verified, 20+ photos each</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1</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Audit + fix www/non-www redirect chain</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Dev / Stone</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All http:// 301s to https://www.</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2</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Rewrite 12 striking-distance title tags + metas</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Marketing / SEO</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12 updated pages deployed</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2–3</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Expand the General Liability post to 2,500–3,500 words + FAQ schema</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Writer + SEO</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Updated post published + indexed</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3–4</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Internal linking pass (footer, nav, body)</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Dev</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All 17 service-location pages cross-linked</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4</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Stand up reviews flywheel: post-bind script, automated request emails, response SLA</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Operations + Marketing</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Process live; first 10 reviews requested</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5–6</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Publish business-insurance-wilmington-nc page + renters-insurance-wilmington-nc page</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Writer + Dev</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2 new pages live, indexed, internal-linked</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6–8</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Build 4 flood-insurance-[city]-nc pages</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Writer + Dev</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4 new pages live + cross-linked</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7–10</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Publish first 3 cost-focused blog posts</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Writer</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3 posts — builders risk cost, GL cost, flood cost</w:t>
            </w:r>
          </w:p>
        </w:tc>
      </w:tr>
      <w:tr>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Week 8–12</w:t>
            </w:r>
          </w:p>
        </w:tc>
        <w:tc>
          <w:tcPr>
            <w:tcW w:type="dxa" w:w="2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First 25 backlink outreach pitches (chambers, partners, press)</w:t>
            </w:r>
          </w:p>
        </w:tc>
        <w:tc>
          <w:tcPr>
            <w:tcW w:type="dxa" w:w="2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PR / Marketing</w:t>
            </w:r>
          </w:p>
        </w:tc>
        <w:tc>
          <w:tcPr>
            <w:tcW w:type="dxa" w:w="24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Target: 8–12 new referring domains</w:t>
            </w:r>
          </w:p>
        </w:tc>
      </w:tr>
    </w:tbl>
    <w:p>
      <w:pPr>
        <w:spacing w:after="160" w:line="320"/>
        <w:jc w:val="both"/>
      </w:pPr>
      <w:r>
        <w:rPr>
          <w:rFonts w:ascii="Arial" w:cs="Arial" w:eastAsia="Arial" w:hAnsi="Arial"/>
          <w:color w:val="1A1A1A"/>
          <w:sz w:val="22"/>
          <w:szCs w:val="22"/>
        </w:rPr>
        <w:t xml:space="preserve"/>
      </w:r>
    </w:p>
    <w:p>
      <w:pPr>
        <w:pStyle w:val="Heading2"/>
        <w:spacing w:after="120" w:before="240"/>
      </w:pPr>
      <w:r>
        <w:rPr>
          <w:rFonts w:ascii="Arial" w:cs="Arial" w:eastAsia="Arial" w:hAnsi="Arial"/>
        </w:rPr>
        <w:t xml:space="preserve">Months 4–6 — Expand the Surface Area</w:t>
      </w:r>
    </w:p>
    <w:p>
      <w:pPr>
        <w:pStyle w:val="ListParagraph"/>
        <w:numPr>
          <w:ilvl w:val="0"/>
          <w:numId w:val="2"/>
        </w:numPr>
        <w:spacing w:after="90" w:line="300"/>
      </w:pPr>
      <w:r>
        <w:rPr>
          <w:rFonts w:ascii="Arial" w:cs="Arial" w:eastAsia="Arial" w:hAnsi="Arial"/>
          <w:color w:val="1A1A1A"/>
          <w:sz w:val="22"/>
          <w:szCs w:val="22"/>
        </w:rPr>
        <w:t xml:space="preserve">Build remaining city-by-service pages: workers-comp city pages (3), additional Wilmington product pages (life, boat, motorcycle), short-term rental cluster (Airbnb, VRBO, lost-income, hurricane prep).</w:t>
      </w:r>
    </w:p>
    <w:p>
      <w:pPr>
        <w:pStyle w:val="ListParagraph"/>
        <w:numPr>
          <w:ilvl w:val="0"/>
          <w:numId w:val="2"/>
        </w:numPr>
        <w:spacing w:after="90" w:line="300"/>
      </w:pPr>
      <w:r>
        <w:rPr>
          <w:rFonts w:ascii="Arial" w:cs="Arial" w:eastAsia="Arial" w:hAnsi="Arial"/>
          <w:color w:val="1A1A1A"/>
          <w:sz w:val="22"/>
          <w:szCs w:val="22"/>
        </w:rPr>
        <w:t xml:space="preserve">Publish posts 4–9 of the cost-focused cluster.</w:t>
      </w:r>
    </w:p>
    <w:p>
      <w:pPr>
        <w:pStyle w:val="ListParagraph"/>
        <w:numPr>
          <w:ilvl w:val="0"/>
          <w:numId w:val="2"/>
        </w:numPr>
        <w:spacing w:after="90" w:line="300"/>
      </w:pPr>
      <w:r>
        <w:rPr>
          <w:rFonts w:ascii="Arial" w:cs="Arial" w:eastAsia="Arial" w:hAnsi="Arial"/>
          <w:color w:val="1A1A1A"/>
          <w:sz w:val="22"/>
          <w:szCs w:val="22"/>
        </w:rPr>
        <w:t xml:space="preserve">Saturate FAQ schema on all coverage pages.</w:t>
      </w:r>
    </w:p>
    <w:p>
      <w:pPr>
        <w:pStyle w:val="ListParagraph"/>
        <w:numPr>
          <w:ilvl w:val="0"/>
          <w:numId w:val="2"/>
        </w:numPr>
        <w:spacing w:after="90" w:line="300"/>
      </w:pPr>
      <w:r>
        <w:rPr>
          <w:rFonts w:ascii="Arial" w:cs="Arial" w:eastAsia="Arial" w:hAnsi="Arial"/>
          <w:color w:val="1A1A1A"/>
          <w:sz w:val="22"/>
          <w:szCs w:val="22"/>
        </w:rPr>
        <w:t xml:space="preserve">Continue backlink outreach: target 20+ new referring domains across months 4–6.</w:t>
      </w:r>
    </w:p>
    <w:p>
      <w:pPr>
        <w:pStyle w:val="ListParagraph"/>
        <w:numPr>
          <w:ilvl w:val="0"/>
          <w:numId w:val="2"/>
        </w:numPr>
        <w:spacing w:after="90" w:line="300"/>
      </w:pPr>
      <w:r>
        <w:rPr>
          <w:rFonts w:ascii="Arial" w:cs="Arial" w:eastAsia="Arial" w:hAnsi="Arial"/>
          <w:color w:val="1A1A1A"/>
          <w:sz w:val="22"/>
          <w:szCs w:val="22"/>
        </w:rPr>
        <w:t xml:space="preserve">Begin Spanish-language landing page production: 4 pages targeting top-volume terms.</w:t>
      </w:r>
    </w:p>
    <w:p>
      <w:pPr>
        <w:pStyle w:val="ListParagraph"/>
        <w:numPr>
          <w:ilvl w:val="0"/>
          <w:numId w:val="2"/>
        </w:numPr>
        <w:spacing w:after="90" w:line="300"/>
      </w:pPr>
      <w:r>
        <w:rPr>
          <w:rFonts w:ascii="Arial" w:cs="Arial" w:eastAsia="Arial" w:hAnsi="Arial"/>
          <w:color w:val="1A1A1A"/>
          <w:sz w:val="22"/>
          <w:szCs w:val="22"/>
        </w:rPr>
        <w:t xml:space="preserve">Reviews target: 50+ total reviews per office by end of month 6.</w:t>
      </w:r>
    </w:p>
    <w:p>
      <w:pPr>
        <w:pStyle w:val="Heading2"/>
        <w:spacing w:after="120" w:before="240"/>
      </w:pPr>
      <w:r>
        <w:rPr>
          <w:rFonts w:ascii="Arial" w:cs="Arial" w:eastAsia="Arial" w:hAnsi="Arial"/>
        </w:rPr>
        <w:t xml:space="preserve">Months 7–12 — Authority + Scale</w:t>
      </w:r>
    </w:p>
    <w:p>
      <w:pPr>
        <w:pStyle w:val="ListParagraph"/>
        <w:numPr>
          <w:ilvl w:val="0"/>
          <w:numId w:val="2"/>
        </w:numPr>
        <w:spacing w:after="90" w:line="300"/>
      </w:pPr>
      <w:r>
        <w:rPr>
          <w:rFonts w:ascii="Arial" w:cs="Arial" w:eastAsia="Arial" w:hAnsi="Arial"/>
          <w:color w:val="1A1A1A"/>
          <w:sz w:val="22"/>
          <w:szCs w:val="22"/>
        </w:rPr>
        <w:t xml:space="preserve">Industry vertical pages: medical practice, contractor, restaurant, trucking (4 new pages).</w:t>
      </w:r>
    </w:p>
    <w:p>
      <w:pPr>
        <w:pStyle w:val="ListParagraph"/>
        <w:numPr>
          <w:ilvl w:val="0"/>
          <w:numId w:val="2"/>
        </w:numPr>
        <w:spacing w:after="90" w:line="300"/>
      </w:pPr>
      <w:r>
        <w:rPr>
          <w:rFonts w:ascii="Arial" w:cs="Arial" w:eastAsia="Arial" w:hAnsi="Arial"/>
          <w:color w:val="1A1A1A"/>
          <w:sz w:val="22"/>
          <w:szCs w:val="22"/>
        </w:rPr>
        <w:t xml:space="preserve">YouTube channel + 5 explainer videos with VideoObject schema on coverage pages.</w:t>
      </w:r>
    </w:p>
    <w:p>
      <w:pPr>
        <w:pStyle w:val="ListParagraph"/>
        <w:numPr>
          <w:ilvl w:val="0"/>
          <w:numId w:val="2"/>
        </w:numPr>
        <w:spacing w:after="90" w:line="300"/>
      </w:pPr>
      <w:r>
        <w:rPr>
          <w:rFonts w:ascii="Arial" w:cs="Arial" w:eastAsia="Arial" w:hAnsi="Arial"/>
          <w:color w:val="1A1A1A"/>
          <w:sz w:val="22"/>
          <w:szCs w:val="22"/>
        </w:rPr>
        <w:t xml:space="preserve">Programmatic small-town expansion: 10–20 surrounding-area city pages.</w:t>
      </w:r>
    </w:p>
    <w:p>
      <w:pPr>
        <w:pStyle w:val="ListParagraph"/>
        <w:numPr>
          <w:ilvl w:val="0"/>
          <w:numId w:val="2"/>
        </w:numPr>
        <w:spacing w:after="90" w:line="300"/>
      </w:pPr>
      <w:r>
        <w:rPr>
          <w:rFonts w:ascii="Arial" w:cs="Arial" w:eastAsia="Arial" w:hAnsi="Arial"/>
          <w:color w:val="1A1A1A"/>
          <w:sz w:val="22"/>
          <w:szCs w:val="22"/>
        </w:rPr>
        <w:t xml:space="preserve">Begin the "Eastern NC Insurance Guide" pillar page — publish by end of month 12.</w:t>
      </w:r>
    </w:p>
    <w:p>
      <w:pPr>
        <w:pStyle w:val="ListParagraph"/>
        <w:numPr>
          <w:ilvl w:val="0"/>
          <w:numId w:val="2"/>
        </w:numPr>
        <w:spacing w:after="90" w:line="300"/>
      </w:pPr>
      <w:r>
        <w:rPr>
          <w:rFonts w:ascii="Arial" w:cs="Arial" w:eastAsia="Arial" w:hAnsi="Arial"/>
          <w:color w:val="1A1A1A"/>
          <w:sz w:val="22"/>
          <w:szCs w:val="22"/>
        </w:rPr>
        <w:t xml:space="preserve">Backlink target: total 145+ referring domains, Domain Rating in the 22–26 range.</w:t>
      </w:r>
    </w:p>
    <w:p>
      <w:pPr>
        <w:pStyle w:val="ListParagraph"/>
        <w:numPr>
          <w:ilvl w:val="0"/>
          <w:numId w:val="2"/>
        </w:numPr>
        <w:spacing w:after="90" w:line="300"/>
      </w:pPr>
      <w:r>
        <w:rPr>
          <w:rFonts w:ascii="Arial" w:cs="Arial" w:eastAsia="Arial" w:hAnsi="Arial"/>
          <w:color w:val="1A1A1A"/>
          <w:sz w:val="22"/>
          <w:szCs w:val="22"/>
        </w:rPr>
        <w:t xml:space="preserve">Lay groundwork for the Annual NC Insurance Market Report (publish January following year).</w:t>
      </w:r>
    </w:p>
    <w:p>
      <w:r>
        <w:br w:type="page"/>
      </w:r>
    </w:p>
    <w:p>
      <w:pPr>
        <w:pStyle w:val="Heading1"/>
        <w:spacing w:after="200" w:before="240"/>
      </w:pPr>
      <w:r>
        <w:rPr>
          <w:rFonts w:ascii="Arial" w:cs="Arial" w:eastAsia="Arial" w:hAnsi="Arial"/>
        </w:rPr>
        <w:t xml:space="preserve">Projected Impact</w:t>
      </w:r>
    </w:p>
    <w:p>
      <w:pPr>
        <w:pStyle w:val="Heading2"/>
        <w:spacing w:after="120" w:before="240"/>
      </w:pPr>
      <w:r>
        <w:rPr>
          <w:rFonts w:ascii="Arial" w:cs="Arial" w:eastAsia="Arial" w:hAnsi="Arial"/>
        </w:rPr>
        <w:t xml:space="preserve">Traffic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18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Clicks/mo</w:t>
            </w:r>
          </w:p>
        </w:tc>
        <w:tc>
          <w:tcPr>
            <w:tcW w:type="dxa" w:w="18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Impressions/mo</w:t>
            </w:r>
          </w:p>
        </w:tc>
        <w:tc>
          <w:tcPr>
            <w:tcW w:type="dxa" w:w="18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Avg. position</w:t>
            </w:r>
          </w:p>
        </w:tc>
        <w:tc>
          <w:tcPr>
            <w:tcW w:type="dxa" w:w="176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Equivalent $ value/mo</w:t>
            </w:r>
          </w:p>
        </w:tc>
      </w:tr>
      <w:tr>
        <w:tc>
          <w:tcPr>
            <w:tcW w:type="dxa" w:w="2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Today</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~1,100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20.6</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~$1,500</w:t>
            </w:r>
          </w:p>
        </w:tc>
      </w:tr>
      <w:tr>
        <w:tc>
          <w:tcPr>
            <w:tcW w:type="dxa" w:w="2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90 days (Tier 1)</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250–400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5,000–8,000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14–16</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$7,500–$12,000</w:t>
            </w:r>
          </w:p>
        </w:tc>
      </w:tr>
      <w:tr>
        <w:tc>
          <w:tcPr>
            <w:tcW w:type="dxa" w:w="2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6 months (Tier 1+2)</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600–900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12,000–18,000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10–12</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$18,000–$27,000</w:t>
            </w:r>
          </w:p>
        </w:tc>
      </w:tr>
      <w:tr>
        <w:tc>
          <w:tcPr>
            <w:tcW w:type="dxa" w:w="22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12 months (Tier 1+2+3)</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256D2D"/>
                <w:sz w:val="20"/>
                <w:szCs w:val="20"/>
              </w:rPr>
              <w:t xml:space="preserve">1,500–2,500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30,000–50,000</w:t>
            </w:r>
          </w:p>
        </w:tc>
        <w:tc>
          <w:tcPr>
            <w:tcW w:type="dxa" w:w="18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7–9</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256D2D"/>
                <w:sz w:val="20"/>
                <w:szCs w:val="20"/>
              </w:rPr>
              <w:t xml:space="preserve">$45,000–$75,000</w:t>
            </w:r>
          </w:p>
        </w:tc>
      </w:tr>
    </w:tbl>
    <w:p>
      <w:pPr>
        <w:spacing w:after="160" w:line="320"/>
        <w:jc w:val="both"/>
      </w:pPr>
      <w:r>
        <w:rPr>
          <w:rFonts w:ascii="Arial" w:cs="Arial" w:eastAsia="Arial" w:hAnsi="Arial"/>
          <w:color w:val="1A1A1A"/>
          <w:sz w:val="22"/>
          <w:szCs w:val="22"/>
        </w:rPr>
        <w:t xml:space="preserve"/>
      </w:r>
    </w:p>
    <w:p>
      <w:pPr>
        <w:spacing w:after="160" w:line="320"/>
        <w:jc w:val="both"/>
      </w:pPr>
      <w:r>
        <w:rPr>
          <w:rFonts w:ascii="Arial" w:cs="Arial" w:eastAsia="Arial" w:hAnsi="Arial"/>
          <w:color w:val="1A1A1A"/>
          <w:sz w:val="22"/>
          <w:szCs w:val="22"/>
        </w:rPr>
        <w:t xml:space="preserve">The Equivalent $ value column applies a blended $30 CPC across personal-lines clicks and $55 CPC across commercial-lines clicks. This represents what BlackArrow would otherwise have to pay Google Ads to capture the same clicks. It does not include the downstream policy revenue (commissions over the policy lifetime), which historically runs 8–15x marketing-equivalent value for a well-converting agency website.</w:t>
      </w:r>
    </w:p>
    <w:p>
      <w:pPr>
        <w:pStyle w:val="Heading2"/>
        <w:spacing w:after="120" w:before="240"/>
      </w:pPr>
      <w:r>
        <w:rPr>
          <w:rFonts w:ascii="Arial" w:cs="Arial" w:eastAsia="Arial" w:hAnsi="Arial"/>
        </w:rPr>
        <w:t xml:space="preserve">Quote-request projection</w:t>
      </w:r>
    </w:p>
    <w:p>
      <w:pPr>
        <w:spacing w:after="160" w:line="320"/>
        <w:jc w:val="both"/>
      </w:pPr>
      <w:r>
        <w:rPr>
          <w:rFonts w:ascii="Arial" w:cs="Arial" w:eastAsia="Arial" w:hAnsi="Arial"/>
          <w:color w:val="1A1A1A"/>
          <w:sz w:val="22"/>
          <w:szCs w:val="22"/>
        </w:rPr>
        <w:t xml:space="preserve">Assuming a 6–10% website-to-quote-request conversion rate (industry-typical for a focused independent agency), the 12-month traffic projection translates to 100–250 incremental organic quote requests per month — a meaningful book-of-business expansion above whatever paid channels are currently producing.</w:t>
      </w:r>
    </w:p>
    <w:p>
      <w:pPr>
        <w:pStyle w:val="Heading2"/>
        <w:spacing w:after="120" w:before="240"/>
      </w:pPr>
      <w:r>
        <w:rPr>
          <w:rFonts w:ascii="Arial" w:cs="Arial" w:eastAsia="Arial" w:hAnsi="Arial"/>
        </w:rPr>
        <w:t xml:space="preserve">Conservative downside</w:t>
      </w:r>
    </w:p>
    <w:p>
      <w:pPr>
        <w:spacing w:after="160" w:line="320"/>
        <w:jc w:val="both"/>
      </w:pPr>
      <w:r>
        <w:rPr>
          <w:rFonts w:ascii="Arial" w:cs="Arial" w:eastAsia="Arial" w:hAnsi="Arial"/>
          <w:color w:val="1A1A1A"/>
          <w:sz w:val="22"/>
          <w:szCs w:val="22"/>
        </w:rPr>
        <w:t xml:space="preserve">If only the Tier 1 plays land cleanly and Tier 2+ slip by a quarter or two, the trailing 12-month traffic still settles at 800–1,200 clicks/month — a 15–25x lift from baseline, worth $24,000–$36,000/mo in marketing-equivalent value. This is the floor scenario, and it does not require any net-new content production beyond the existing roadmap.</w:t>
      </w:r>
    </w:p>
    <w:p>
      <w:r>
        <w:br w:type="page"/>
      </w:r>
    </w:p>
    <w:p>
      <w:pPr>
        <w:pStyle w:val="Heading1"/>
        <w:spacing w:after="200" w:before="240"/>
      </w:pPr>
      <w:r>
        <w:rPr>
          <w:rFonts w:ascii="Arial" w:cs="Arial" w:eastAsia="Arial" w:hAnsi="Arial"/>
        </w:rPr>
        <w:t xml:space="preserve">The Quick-Win Cheat Sheet</w:t>
      </w:r>
    </w:p>
    <w:p>
      <w:pPr>
        <w:spacing w:after="200" w:line="340"/>
        <w:jc w:val="both"/>
      </w:pPr>
      <w:r>
        <w:rPr>
          <w:rFonts w:ascii="Arial" w:cs="Arial" w:eastAsia="Arial" w:hAnsi="Arial"/>
          <w:i/>
          <w:iCs/>
          <w:color w:val="4A4A4A"/>
          <w:sz w:val="24"/>
          <w:szCs w:val="24"/>
        </w:rPr>
        <w:t xml:space="preserve">If only seven things get done in the next 60 days,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1700"/>
        <w:gridCol w:w="1760"/>
      </w:tblGrid>
      <w:tr>
        <w:trPr>
          <w:tblHeader/>
        </w:trPr>
        <w:tc>
          <w:tcPr>
            <w:tcW w:type="dxa" w:w="4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5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70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1760"/>
            <w:tcBorders>
              <w:top w:val="single" w:color="C8CCD2" w:sz="4"/>
              <w:left w:val="single" w:color="C8CCD2" w:sz="4"/>
              <w:bottom w:val="single" w:color="C8CCD2" w:sz="4"/>
              <w:right w:val="single" w:color="C8CCD2" w:sz="4"/>
            </w:tcBorders>
            <w:shd w:fill="0F1B2D" w:color="auto" w:val="clear"/>
            <w:tcMar>
              <w:top w:type="dxa" w:w="100"/>
              <w:left w:type="dxa" w:w="120"/>
              <w:bottom w:type="dxa" w:w="100"/>
              <w:right w:type="dxa" w:w="120"/>
            </w:tcMar>
          </w:tcPr>
          <w:p>
            <w:r>
              <w:rPr>
                <w:rFonts w:ascii="Arial" w:cs="Arial" w:eastAsia="Arial" w:hAnsi="Arial"/>
                <w:b/>
                <w:bCs/>
                <w:color w:val="FFFFFF"/>
                <w:sz w:val="20"/>
                <w:szCs w:val="20"/>
              </w:rPr>
              <w:t xml:space="preserve">Projected lift</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1</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Fully build out Google Business Profile for Greenville office</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 hours</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+30–80 clicks/mo</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2</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Fully build out Google Business Profile for Whiteville office</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 hours</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+30–70 clicks/mo</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3</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Expand + republish the General Liability blog post (2,500+ words)</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6 hours</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+40–70 clicks/mo</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4</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Rewrite the 12 striking-distance title tags listed in Opp #3</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 hours</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+25–60 clicks/mo</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5</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Fix the www/non-www redirect; consolidate canonicals</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 hour</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+5–10 clicks/mo</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6</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Publish business-insurance-wilmington-nc + renters-insurance-wilmington-nc</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10 hours</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+50–120 clicks/mo</w:t>
            </w:r>
          </w:p>
        </w:tc>
      </w:tr>
      <w:tr>
        <w:tc>
          <w:tcPr>
            <w:tcW w:type="dxa" w:w="4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bCs/>
                <w:color w:val="1A1A1A"/>
                <w:sz w:val="20"/>
                <w:szCs w:val="20"/>
              </w:rPr>
              <w:t xml:space="preserve">7</w:t>
            </w:r>
          </w:p>
        </w:tc>
        <w:tc>
          <w:tcPr>
            <w:tcW w:type="dxa" w:w="55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Launch reviews-request flow: target 30 Google reviews in 60 days</w:t>
            </w:r>
          </w:p>
        </w:tc>
        <w:tc>
          <w:tcPr>
            <w:tcW w:type="dxa" w:w="170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4 hours setup</w:t>
            </w:r>
          </w:p>
        </w:tc>
        <w:tc>
          <w:tcPr>
            <w:tcW w:type="dxa" w:w="1760"/>
            <w:tcBorders>
              <w:top w:val="single" w:color="C8CCD2" w:sz="4"/>
              <w:left w:val="single" w:color="C8CCD2" w:sz="4"/>
              <w:bottom w:val="single" w:color="C8CCD2" w:sz="4"/>
              <w:right w:val="single" w:color="C8CCD2" w:sz="4"/>
            </w:tcBorders>
            <w:tcMar>
              <w:top w:type="dxa" w:w="90"/>
              <w:left w:type="dxa" w:w="120"/>
              <w:bottom w:type="dxa" w:w="90"/>
              <w:right w:type="dxa" w:w="120"/>
            </w:tcMar>
          </w:tcPr>
          <w:p>
            <w:pPr>
              <w:jc w:val="center"/>
            </w:pPr>
            <w:r>
              <w:rPr>
                <w:rFonts w:ascii="Arial" w:cs="Arial" w:eastAsia="Arial" w:hAnsi="Arial"/>
                <w:b w:val="false"/>
                <w:bCs w:val="false"/>
                <w:color w:val="1A1A1A"/>
                <w:sz w:val="20"/>
                <w:szCs w:val="20"/>
              </w:rPr>
              <w:t xml:space="preserve">+30–80 clicks/mo</w:t>
            </w:r>
          </w:p>
        </w:tc>
      </w:tr>
      <w:tr>
        <w:tc>
          <w:tcPr>
            <w:tcW w:type="dxa" w:w="400"/>
            <w:tcBorders>
              <w:top w:val="single" w:color="C8CCD2" w:sz="4"/>
              <w:left w:val="single" w:color="C8CCD2" w:sz="4"/>
              <w:bottom w:val="single" w:color="C8CCD2" w:sz="4"/>
              <w:right w:val="single" w:color="C8CCD2" w:sz="4"/>
            </w:tcBorders>
            <w:shd w:fill="F4F1EA" w:color="auto" w:val="clear"/>
            <w:tcMar>
              <w:top w:type="dxa" w:w="90"/>
              <w:left w:type="dxa" w:w="120"/>
              <w:bottom w:type="dxa" w:w="90"/>
              <w:right w:type="dxa" w:w="120"/>
            </w:tcMar>
          </w:tcPr>
          <w:p>
            <w:pPr>
              <w:jc w:val="left"/>
            </w:pPr>
            <w:r>
              <w:rPr>
                <w:rFonts w:ascii="Arial" w:cs="Arial" w:eastAsia="Arial" w:hAnsi="Arial"/>
                <w:b w:val="false"/>
                <w:bCs w:val="false"/>
                <w:color w:val="1A1A1A"/>
                <w:sz w:val="20"/>
                <w:szCs w:val="20"/>
              </w:rPr>
              <w:t xml:space="preserve"/>
            </w:r>
          </w:p>
        </w:tc>
        <w:tc>
          <w:tcPr>
            <w:tcW w:type="dxa" w:w="5500"/>
            <w:tcBorders>
              <w:top w:val="single" w:color="C8CCD2" w:sz="4"/>
              <w:left w:val="single" w:color="C8CCD2" w:sz="4"/>
              <w:bottom w:val="single" w:color="C8CCD2" w:sz="4"/>
              <w:right w:val="single" w:color="C8CCD2" w:sz="4"/>
            </w:tcBorders>
            <w:shd w:fill="F4F1EA" w:color="auto" w:val="clear"/>
            <w:tcMar>
              <w:top w:type="dxa" w:w="90"/>
              <w:left w:type="dxa" w:w="120"/>
              <w:bottom w:type="dxa" w:w="90"/>
              <w:right w:type="dxa" w:w="120"/>
            </w:tcMar>
          </w:tcPr>
          <w:p>
            <w:pPr>
              <w:jc w:val="left"/>
            </w:pPr>
            <w:r>
              <w:rPr>
                <w:rFonts w:ascii="Arial" w:cs="Arial" w:eastAsia="Arial" w:hAnsi="Arial"/>
                <w:b/>
                <w:bCs/>
                <w:color w:val="1A1A1A"/>
                <w:sz w:val="20"/>
                <w:szCs w:val="20"/>
              </w:rPr>
              <w:t xml:space="preserve">Total estimated time investment</w:t>
            </w:r>
          </w:p>
        </w:tc>
        <w:tc>
          <w:tcPr>
            <w:tcW w:type="dxa" w:w="1700"/>
            <w:tcBorders>
              <w:top w:val="single" w:color="C8CCD2" w:sz="4"/>
              <w:left w:val="single" w:color="C8CCD2" w:sz="4"/>
              <w:bottom w:val="single" w:color="C8CCD2" w:sz="4"/>
              <w:right w:val="single" w:color="C8CCD2" w:sz="4"/>
            </w:tcBorders>
            <w:shd w:fill="F4F1EA" w:color="auto" w:val="clear"/>
            <w:tcMar>
              <w:top w:type="dxa" w:w="90"/>
              <w:left w:type="dxa" w:w="120"/>
              <w:bottom w:type="dxa" w:w="90"/>
              <w:right w:type="dxa" w:w="120"/>
            </w:tcMar>
          </w:tcPr>
          <w:p>
            <w:pPr>
              <w:jc w:val="center"/>
            </w:pPr>
            <w:r>
              <w:rPr>
                <w:rFonts w:ascii="Arial" w:cs="Arial" w:eastAsia="Arial" w:hAnsi="Arial"/>
                <w:b/>
                <w:bCs/>
                <w:color w:val="1A1A1A"/>
                <w:sz w:val="20"/>
                <w:szCs w:val="20"/>
              </w:rPr>
              <w:t xml:space="preserve">~32 hours</w:t>
            </w:r>
          </w:p>
        </w:tc>
        <w:tc>
          <w:tcPr>
            <w:tcW w:type="dxa" w:w="1760"/>
            <w:tcBorders>
              <w:top w:val="single" w:color="C8CCD2" w:sz="4"/>
              <w:left w:val="single" w:color="C8CCD2" w:sz="4"/>
              <w:bottom w:val="single" w:color="C8CCD2" w:sz="4"/>
              <w:right w:val="single" w:color="C8CCD2" w:sz="4"/>
            </w:tcBorders>
            <w:shd w:fill="F4F1EA" w:color="auto" w:val="clear"/>
            <w:tcMar>
              <w:top w:type="dxa" w:w="90"/>
              <w:left w:type="dxa" w:w="120"/>
              <w:bottom w:type="dxa" w:w="90"/>
              <w:right w:type="dxa" w:w="120"/>
            </w:tcMar>
          </w:tcPr>
          <w:p>
            <w:pPr>
              <w:jc w:val="center"/>
            </w:pPr>
            <w:r>
              <w:rPr>
                <w:rFonts w:ascii="Arial" w:cs="Arial" w:eastAsia="Arial" w:hAnsi="Arial"/>
                <w:b/>
                <w:bCs/>
                <w:color w:val="256D2D"/>
                <w:sz w:val="20"/>
                <w:szCs w:val="20"/>
              </w:rPr>
              <w:t xml:space="preserve">+210–490 clicks/mo</w:t>
            </w:r>
          </w:p>
        </w:tc>
      </w:tr>
    </w:tbl>
    <w:p>
      <w:pPr>
        <w:spacing w:after="160" w:line="320"/>
        <w:jc w:val="both"/>
      </w:pPr>
      <w:r>
        <w:rPr>
          <w:rFonts w:ascii="Arial" w:cs="Arial" w:eastAsia="Arial" w:hAnsi="Arial"/>
          <w:color w:val="1A1A1A"/>
          <w:sz w:val="22"/>
          <w:szCs w:val="22"/>
        </w:rPr>
        <w:t xml:space="preserve"/>
      </w:r>
    </w:p>
    <w:p>
      <w:pPr>
        <w:spacing w:after="160" w:line="320"/>
        <w:jc w:val="both"/>
      </w:pPr>
      <w:r>
        <w:rPr>
          <w:rFonts w:ascii="Arial" w:cs="Arial" w:eastAsia="Arial" w:hAnsi="Arial"/>
          <w:color w:val="1A1A1A"/>
          <w:sz w:val="22"/>
          <w:szCs w:val="22"/>
        </w:rPr>
        <w:t xml:space="preserve">Roughly 32 hours of focused work over 60 days. At the projected midpoint of 350 incremental clicks per month, this is approximately $10,500 per month in equivalent paid-search value — created by 32 hours of marketing work, with no ongoing ad spend, compounding for as long as the rankings hold.</w:t>
      </w:r>
    </w:p>
    <w:p>
      <w:pPr>
        <w:pBdr>
          <w:bottom w:val="single" w:color="C8CCD2" w:sz="6" w:space="1"/>
        </w:pBdr>
        <w:spacing w:after="200" w:before="60"/>
      </w:pPr>
      <w:r>
        <w:rPr>
          <w:rFonts w:ascii="Arial" w:cs="Arial" w:eastAsia="Arial" w:hAnsi="Arial"/>
        </w:rPr>
        <w:t xml:space="preserve"/>
      </w:r>
    </w:p>
    <w:p>
      <w:pPr>
        <w:spacing w:after="80" w:before="240"/>
      </w:pPr>
      <w:r>
        <w:rPr>
          <w:rFonts w:ascii="Arial" w:cs="Arial" w:eastAsia="Arial" w:hAnsi="Arial"/>
          <w:b/>
          <w:bCs/>
          <w:color w:val="2E75B6"/>
          <w:spacing w:val="30"/>
          <w:sz w:val="18"/>
          <w:szCs w:val="18"/>
        </w:rPr>
        <w:t xml:space="preserve">CLOSING NOTE</w:t>
      </w:r>
    </w:p>
    <w:p>
      <w:pPr>
        <w:spacing w:after="160" w:line="320"/>
        <w:jc w:val="both"/>
      </w:pPr>
      <w:r>
        <w:rPr>
          <w:rFonts w:ascii="Arial" w:cs="Arial" w:eastAsia="Arial" w:hAnsi="Arial"/>
          <w:color w:val="1A1A1A"/>
          <w:sz w:val="22"/>
          <w:szCs w:val="22"/>
        </w:rPr>
        <w:t xml:space="preserve">BlackArrow is in an enviable position: the technical foundation is excellent, the content infrastructure is largely built, and the competitive set in Eastern NC is fragmented and under-invested in SEO. The largest competitors here have DR 0–8. There is no DR 50+ regional juggernaut to fight. The runway is open. The roadmap in this report is a 12-month playbook to claim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CD2" w:sz="6" w:space="4"/>
      </w:pBdr>
      <w:tabs>
        <w:tab w:val="right" w:pos="9360"/>
      </w:tabs>
    </w:pPr>
    <w:r>
      <w:rPr>
        <w:rFonts w:ascii="Arial" w:cs="Arial" w:eastAsia="Arial" w:hAnsi="Arial"/>
        <w:color w:val="4A4A4A"/>
        <w:sz w:val="18"/>
        <w:szCs w:val="18"/>
      </w:rPr>
      <w:t xml:space="preserve">BlackArrow Insurance — SEO Strategy</w:t>
    </w:r>
    <w:r>
      <w:rPr>
        <w:rFonts w:ascii="Arial" w:cs="Arial" w:eastAsia="Arial" w:hAnsi="Arial"/>
      </w:rPr>
      <w:t xml:space="preserve">	</w:t>
    </w:r>
    <w:r>
      <w:rPr>
        <w:rFonts w:ascii="Arial" w:cs="Arial" w:eastAsia="Arial" w:hAnsi="Arial"/>
        <w:i/>
        <w:iCs/>
        <w:color w:val="4A4A4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1B2D"/>
      <w:sz w:val="44"/>
      <w:szCs w:val="44"/>
    </w:rPr>
  </w:style>
  <w:style w:type="paragraph" w:styleId="Heading2">
    <w:name w:val="Heading 2"/>
    <w:basedOn w:val="Normal"/>
    <w:next w:val="Normal"/>
    <w:qFormat/>
    <w:pPr>
      <w:spacing w:after="120" w:before="260"/>
      <w:outlineLvl w:val="1"/>
    </w:pPr>
    <w:rPr>
      <w:rFonts w:ascii="Arial" w:cs="Arial" w:eastAsia="Arial" w:hAnsi="Arial"/>
      <w:b/>
      <w:bCs/>
      <w:color w:val="1F365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BlackArrow Insurance — SEO Strategy &amp; Opportunity Report</dc:title>
  <dc:creator>BlackArrow Insurance / Solagon</dc:creator>
  <dc:description>Comprehensive organic search strategy with prioritized, impact-scored opportunities for blackarrow.co</dc:description>
  <cp:lastModifiedBy>Un-named</cp:lastModifiedBy>
  <cp:revision>1</cp:revision>
  <dcterms:created xsi:type="dcterms:W3CDTF">2026-05-11T13:54:22.320Z</dcterms:created>
  <dcterms:modified xsi:type="dcterms:W3CDTF">2026-05-11T13:54:22.320Z</dcterms:modified>
</cp:coreProperties>
</file>

<file path=docProps/custom.xml><?xml version="1.0" encoding="utf-8"?>
<Properties xmlns="http://schemas.openxmlformats.org/officeDocument/2006/custom-properties" xmlns:vt="http://schemas.openxmlformats.org/officeDocument/2006/docPropsVTypes"/>
</file>