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666666"/>
          <w:sz w:val="20"/>
        </w:rPr>
        <w:t>FOR IMMEDIATE RELEASE</w:t>
      </w:r>
    </w:p>
    <w:p>
      <w:pPr>
        <w:jc w:val="center"/>
      </w:pPr>
      <w:r>
        <w:rPr>
          <w:rFonts w:ascii="Arial" w:hAnsi="Arial"/>
          <w:b/>
          <w:i w:val="0"/>
          <w:color w:val="0A2540"/>
          <w:sz w:val="32"/>
        </w:rPr>
        <w:t>BlackArrow Insurance Launches New Website and Expanded Online Resources for North Carolina Policyholders</w:t>
      </w:r>
    </w:p>
    <w:p/>
    <w:p>
      <w:pPr>
        <w:jc w:val="center"/>
      </w:pPr>
      <w:r>
        <w:rPr>
          <w:rFonts w:ascii="Arial" w:hAnsi="Arial"/>
          <w:b w:val="0"/>
          <w:i/>
          <w:color w:val="444444"/>
          <w:sz w:val="24"/>
        </w:rPr>
        <w:t>Independent Eastern NC agency publishes deep coverage guides, city-specific landing pages, and a self-serve quote experience at blackarrow.co</w:t>
      </w:r>
    </w:p>
    <w:p/>
    <w:p>
      <w:r>
        <w:rPr>
          <w:rFonts w:ascii="Arial" w:hAnsi="Arial"/>
          <w:b/>
          <w:i w:val="0"/>
          <w:sz w:val="22"/>
        </w:rPr>
        <w:t xml:space="preserve">GREENVILLE, N.C. — </w:t>
      </w:r>
      <w:r>
        <w:rPr>
          <w:rFonts w:ascii="Arial" w:hAnsi="Arial"/>
          <w:b/>
          <w:i w:val="0"/>
          <w:sz w:val="22"/>
        </w:rPr>
        <w:t xml:space="preserve">April 2026 — </w:t>
      </w:r>
      <w:r>
        <w:rPr>
          <w:rFonts w:ascii="Arial" w:hAnsi="Arial"/>
          <w:b w:val="0"/>
          <w:i w:val="0"/>
          <w:sz w:val="22"/>
        </w:rPr>
        <w:t>BlackArrow Insurance, an independent insurance agency serving Eastern North Carolina since 2002, has launched a redesigned website featuring in-depth coverage guides, city-specific landing pages for its service markets, and a streamlined online quote process for personal, commercial, and property insurance.</w:t>
      </w:r>
    </w:p>
    <w:p>
      <w:r>
        <w:rPr>
          <w:rFonts w:ascii="Arial" w:hAnsi="Arial"/>
          <w:b w:val="0"/>
          <w:i w:val="0"/>
          <w:sz w:val="22"/>
        </w:rPr>
        <w:t>The updated blackarrow.co is designed to help North Carolina homeowners, renters, property investors, and small-business owners compare coverage options and understand state-specific considerations before they ever speak to an agent. Dedicated pages now cover topics including homeowners insurance, short-term rental coverage, builder's risk, commercial auto, cyber liability, workers' compensation, and flood insurance — each written for NC market realities like hurricane-named-storm deductibles, coastal wind exposure, and the NC Beach Plan.</w:t>
      </w:r>
    </w:p>
    <w:p>
      <w:r>
        <w:rPr>
          <w:rFonts w:ascii="Arial" w:hAnsi="Arial"/>
          <w:b w:val="0"/>
          <w:i w:val="0"/>
          <w:sz w:val="22"/>
        </w:rPr>
        <w:t>"North Carolina insurance is not one-size-fits-all," said Scott Baldwin, co-owner of BlackArrow Insurance. "A homeowner in Wilmington faces very different exposures than a small-business owner in Raleigh or a rental-property owner in Whiteville. The new website makes it easier for clients to understand what actually matters for their situation before we even sit down."</w:t>
      </w:r>
    </w:p>
    <w:p>
      <w:r>
        <w:rPr>
          <w:rFonts w:ascii="Arial" w:hAnsi="Arial"/>
          <w:b/>
          <w:i w:val="0"/>
          <w:color w:val="0A2540"/>
          <w:sz w:val="26"/>
        </w:rPr>
        <w:t>What's New on blackarrow.co</w:t>
      </w:r>
    </w:p>
    <w:p>
      <w:r>
        <w:rPr>
          <w:rFonts w:ascii="Arial" w:hAnsi="Arial"/>
          <w:b w:val="0"/>
          <w:i w:val="0"/>
          <w:sz w:val="22"/>
        </w:rPr>
        <w:t xml:space="preserve">    •  </w:t>
      </w:r>
      <w:r>
        <w:rPr>
          <w:rFonts w:ascii="Arial" w:hAnsi="Arial"/>
          <w:b/>
          <w:i w:val="0"/>
          <w:sz w:val="22"/>
        </w:rPr>
        <w:t xml:space="preserve">City-specific landing pages </w:t>
      </w:r>
      <w:r>
        <w:rPr>
          <w:rFonts w:ascii="Arial" w:hAnsi="Arial"/>
          <w:b w:val="0"/>
          <w:i w:val="0"/>
          <w:sz w:val="22"/>
        </w:rPr>
        <w:t>for Greenville, Whiteville, Wilmington, Raleigh, and additional Eastern NC markets, each covering local insurance considerations.</w:t>
      </w:r>
    </w:p>
    <w:p>
      <w:r>
        <w:rPr>
          <w:rFonts w:ascii="Arial" w:hAnsi="Arial"/>
          <w:b w:val="0"/>
          <w:i w:val="0"/>
          <w:sz w:val="22"/>
        </w:rPr>
        <w:t xml:space="preserve">    •  </w:t>
      </w:r>
      <w:r>
        <w:rPr>
          <w:rFonts w:ascii="Arial" w:hAnsi="Arial"/>
          <w:b/>
          <w:i w:val="0"/>
          <w:sz w:val="22"/>
        </w:rPr>
        <w:t xml:space="preserve">Coverage guides </w:t>
      </w:r>
      <w:r>
        <w:rPr>
          <w:rFonts w:ascii="Arial" w:hAnsi="Arial"/>
          <w:b w:val="0"/>
          <w:i w:val="0"/>
          <w:sz w:val="22"/>
        </w:rPr>
        <w:t>for 17+ insurance products — personal, commercial, and property — including coverage types, cost factors, who needs each coverage, and answers to the questions NC clients actually ask.</w:t>
      </w:r>
    </w:p>
    <w:p>
      <w:r>
        <w:rPr>
          <w:rFonts w:ascii="Arial" w:hAnsi="Arial"/>
          <w:b w:val="0"/>
          <w:i w:val="0"/>
          <w:sz w:val="22"/>
        </w:rPr>
        <w:t xml:space="preserve">    •  </w:t>
      </w:r>
      <w:r>
        <w:rPr>
          <w:rFonts w:ascii="Arial" w:hAnsi="Arial"/>
          <w:b w:val="0"/>
          <w:i w:val="0"/>
          <w:sz w:val="22"/>
        </w:rPr>
        <w:t xml:space="preserve">An </w:t>
      </w:r>
      <w:r>
        <w:rPr>
          <w:rFonts w:ascii="Arial" w:hAnsi="Arial"/>
          <w:b/>
          <w:i w:val="0"/>
          <w:sz w:val="22"/>
        </w:rPr>
        <w:t xml:space="preserve">expanded Insights section </w:t>
      </w:r>
      <w:r>
        <w:rPr>
          <w:rFonts w:ascii="Arial" w:hAnsi="Arial"/>
          <w:b w:val="0"/>
          <w:i w:val="0"/>
          <w:sz w:val="22"/>
        </w:rPr>
        <w:t>publishing regular articles on NC-specific insurance topics — hurricane deductibles, flood zones, NC workers' comp requirements, and coastal property coverage.</w:t>
      </w:r>
    </w:p>
    <w:p>
      <w:r>
        <w:rPr>
          <w:rFonts w:ascii="Arial" w:hAnsi="Arial"/>
          <w:b w:val="0"/>
          <w:i w:val="0"/>
          <w:sz w:val="22"/>
        </w:rPr>
        <w:t xml:space="preserve">    •  </w:t>
      </w:r>
      <w:r>
        <w:rPr>
          <w:rFonts w:ascii="Arial" w:hAnsi="Arial"/>
          <w:b w:val="0"/>
          <w:i w:val="0"/>
          <w:sz w:val="22"/>
        </w:rPr>
        <w:t xml:space="preserve">A </w:t>
      </w:r>
      <w:r>
        <w:rPr>
          <w:rFonts w:ascii="Arial" w:hAnsi="Arial"/>
          <w:b/>
          <w:i w:val="0"/>
          <w:sz w:val="22"/>
        </w:rPr>
        <w:t xml:space="preserve">streamlined online quote process </w:t>
      </w:r>
      <w:r>
        <w:rPr>
          <w:rFonts w:ascii="Arial" w:hAnsi="Arial"/>
          <w:b w:val="0"/>
          <w:i w:val="0"/>
          <w:sz w:val="22"/>
        </w:rPr>
        <w:t>with step-by-step guidance, plus direct self-serve paths for policy changes (mortgagee updates, loan-number updates) and claims through the appropriate carrier.</w:t>
      </w:r>
    </w:p>
    <w:p>
      <w:r>
        <w:rPr>
          <w:rFonts w:ascii="Arial" w:hAnsi="Arial"/>
          <w:b w:val="0"/>
          <w:i w:val="0"/>
          <w:sz w:val="22"/>
        </w:rPr>
        <w:t xml:space="preserve">    •  </w:t>
      </w:r>
      <w:r>
        <w:rPr>
          <w:rFonts w:ascii="Arial" w:hAnsi="Arial"/>
          <w:b w:val="0"/>
          <w:i w:val="0"/>
          <w:sz w:val="22"/>
        </w:rPr>
        <w:t xml:space="preserve">Full integration with </w:t>
      </w:r>
      <w:r>
        <w:rPr>
          <w:rFonts w:ascii="Arial" w:hAnsi="Arial"/>
          <w:b/>
          <w:i w:val="0"/>
          <w:sz w:val="22"/>
        </w:rPr>
        <w:t>20+ insurance carriers</w:t>
      </w:r>
      <w:r>
        <w:rPr>
          <w:rFonts w:ascii="Arial" w:hAnsi="Arial"/>
          <w:b w:val="0"/>
          <w:i w:val="0"/>
          <w:sz w:val="22"/>
        </w:rPr>
        <w:t>, including Progressive, Travelers, Safeco, The Hartford, Liberty Mutual, Universal, Foremost, and the NC Beach Plan (NCJUA), so clients can compare pricing and coverage across the market from one agency.</w:t>
      </w:r>
    </w:p>
    <w:p>
      <w:r>
        <w:rPr>
          <w:rFonts w:ascii="Arial" w:hAnsi="Arial"/>
          <w:b/>
          <w:i w:val="0"/>
          <w:color w:val="0A2540"/>
          <w:sz w:val="26"/>
        </w:rPr>
        <w:t>About BlackArrow Insurance</w:t>
      </w:r>
    </w:p>
    <w:p>
      <w:r>
        <w:rPr>
          <w:rFonts w:ascii="Arial" w:hAnsi="Arial"/>
          <w:b w:val="0"/>
          <w:i w:val="0"/>
          <w:sz w:val="22"/>
        </w:rPr>
        <w:t xml:space="preserve">BlackArrow Insurance is an independent insurance agency headquartered at 905 Conference Drive Suite 2B, Greenville, NC, with a second office at 301 Liberty Street Suite 101, Whiteville, NC. Founded in 2002, BlackArrow serves personal, commercial, and property insurance clients throughout Eastern North Carolina and the Triangle. As an independent brokerage, the agency compares coverage from more than 20 top-rated carriers to match each client's risk profile with the right protection at the right price. Learn more at </w:t>
      </w:r>
      <w:r>
        <w:rPr>
          <w:rFonts w:ascii="Arial" w:hAnsi="Arial"/>
          <w:b/>
          <w:i w:val="0"/>
          <w:sz w:val="22"/>
        </w:rPr>
        <w:t>www.blackarrow.co</w:t>
      </w:r>
      <w:r>
        <w:rPr>
          <w:rFonts w:ascii="Arial" w:hAnsi="Arial"/>
          <w:b w:val="0"/>
          <w:i w:val="0"/>
          <w:sz w:val="22"/>
        </w:rPr>
        <w:t>.</w:t>
      </w:r>
    </w:p>
    <w:p>
      <w:r>
        <w:rPr>
          <w:rFonts w:ascii="Arial" w:hAnsi="Arial"/>
          <w:b/>
          <w:i w:val="0"/>
          <w:color w:val="0A2540"/>
          <w:sz w:val="26"/>
        </w:rPr>
        <w:t>Media Contact</w:t>
      </w:r>
    </w:p>
    <w:p>
      <w:r>
        <w:rPr>
          <w:rFonts w:ascii="Arial" w:hAnsi="Arial"/>
          <w:b w:val="0"/>
          <w:i w:val="0"/>
          <w:sz w:val="22"/>
        </w:rPr>
        <w:t>Stone Baldwin</w:t>
        <w:br/>
        <w:t>IT Management, BlackArrow Insurance</w:t>
        <w:br/>
        <w:t>stone@solagon.com</w:t>
        <w:br/>
        <w:t>(910) 914-6074</w:t>
        <w:br/>
        <w:t>https://www.blackarrow.co</w:t>
      </w:r>
    </w:p>
    <w:p>
      <w:pPr>
        <w:jc w:val="center"/>
      </w:pPr>
      <w:r>
        <w:rPr>
          <w:rFonts w:ascii="Arial" w:hAnsi="Arial"/>
          <w:b/>
          <w:i w:val="0"/>
          <w:sz w:val="22"/>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