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1143000" cy="287909"/>
            <wp:effectExtent b="0" l="0" r="0" t="0"/>
            <wp:docPr id="1" name="image-0246af4326d025d85fca1b8ff764eb725f482df3.png"/>
            <a:graphic>
              <a:graphicData uri="http://schemas.openxmlformats.org/drawingml/2006/picture">
                <pic:pic>
                  <pic:nvPicPr>
                    <pic:cNvPr id="1" name="image-0246af4326d025d85fca1b8ff764eb725f482df3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7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NEXUS × SYNAPSE — Cognitive Connectivity Brand Framework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Takeaway</w:t>
      </w:r>
      <w:r>
        <w:rPr>
          <w:rFonts w:eastAsia="inter" w:cs="inter" w:ascii="inter" w:hAnsi="inter"/>
          <w:color w:val="000000"/>
        </w:rPr>
        <w:t xml:space="preserve">  An institutional-grade, techno-artsy identity emerges when NEXUS (the cognitive oracle) and SYNAPSE (the neural bridge) fuse through the CORTEX AI agent. The following assets give your team an end-to-end kit: brand concept, visual system, technical copy standards, multi-audience messaging, motion spec, audit one-pager and headline A/B test.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1 Branding Concept — “Cognitive Connectivity”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NEXUS ingests social, on-chain &amp; market micro-data, applying transformer-based sentiment models to emit predictive signals, while SYNAPSE executes those insights across chains under graph-neural-network MEV shields. CORTEX orchestrates both, learning continuously from feedback loops. This duality is expressed as </w:t>
      </w:r>
      <w:r>
        <w:rPr>
          <w:rFonts w:eastAsia="inter" w:cs="inter" w:ascii="inter" w:hAnsi="inter"/>
          <w:b/>
          <w:color w:val="000000"/>
        </w:rPr>
        <w:t xml:space="preserve">Cognitive (NEXUS) ↔ Connectivity (SYNAPSE).</w:t>
      </w:r>
      <w:r>
        <w:rPr>
          <w:rFonts w:eastAsia="inter" w:cs="inter" w:ascii="inter" w:hAnsi="inter"/>
          <w:color w:val="000000"/>
        </w:rPr>
        <w:t xml:space="preserve"> Oracles, bridges and AI become one adaptive neural mesh—no hype, only verifiable intelligence</w:t>
      </w:r>
      <w:bookmarkStart w:id="0" w:name="fnref1"/>
      <w:bookmarkEnd w:id="0"/>
      <w:hyperlink w:anchor="fn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[1]</w:t>
        </w:r>
      </w:hyperlink>
      <w:bookmarkStart w:id="1" w:name="fnref2"/>
      <w:bookmarkEnd w:id="1"/>
      <w:hyperlink w:anchor="fn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[2]</w:t>
        </w:r>
      </w:hyperlink>
      <w:bookmarkStart w:id="2" w:name="fnref3"/>
      <w:bookmarkEnd w:id="2"/>
      <w:hyperlink w:anchor="fn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2" name="image-234d93e1f82b0261d5cb09c19a1f97ea0dbaf4f5.png"/>
            <a:graphic>
              <a:graphicData uri="http://schemas.openxmlformats.org/drawingml/2006/picture">
                <pic:pic>
                  <pic:nvPicPr>
                    <pic:cNvPr id="2" name="image-234d93e1f82b0261d5cb09c19a1f97ea0dbaf4f5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NEXUS and SYNAPSE cognitive AI branding concept visualization with neural network aesthetics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2 Technical Language — Complex yet Credible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Use precise ML / cryptography terms, avoid buzzwords: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4755"/>
        <w:gridCol w:w="4755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Approved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Example sentence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Transformer-based sentiment models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“Transformer-based sentiment models achieve 73% top-5 precision 20 s pre-event.”</w:t>
            </w:r>
            <w:hyperlink w:anchor="fn4">
              <w:r>
                <w:rPr>
                  <w:rFonts w:eastAsia="inter" w:cs="inter" w:ascii="inter" w:hAnsi="inter"/>
                  <w:color w:val="#000"/>
                  <w:sz w:val="17"/>
                  <w:u w:val="single"/>
                  <w:vertAlign w:val="superscript"/>
                </w:rPr>
                <w:t xml:space="preserve">[4]</w:t>
              </w:r>
            </w:hyperlink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Graph neural networks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“Cross-chain pricing edges are ranked via graph neural networks for path selection.”</w:t>
            </w:r>
            <w:hyperlink w:anchor="fn3">
              <w:r>
                <w:rPr>
                  <w:rFonts w:eastAsia="inter" w:cs="inter" w:ascii="inter" w:hAnsi="inter"/>
                  <w:color w:val="#000"/>
                  <w:sz w:val="17"/>
                  <w:u w:val="single"/>
                  <w:vertAlign w:val="superscript"/>
                </w:rPr>
                <w:t xml:space="preserve">[3]</w:t>
              </w:r>
            </w:hyperlink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Federated learning protocols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“Validators retrain models through federated learning to preserve data privacy.”</w:t>
            </w:r>
            <w:hyperlink w:anchor="fn5">
              <w:r>
                <w:rPr>
                  <w:rFonts w:eastAsia="inter" w:cs="inter" w:ascii="inter" w:hAnsi="inter"/>
                  <w:color w:val="#000"/>
                  <w:sz w:val="17"/>
                  <w:u w:val="single"/>
                  <w:vertAlign w:val="superscript"/>
                </w:rPr>
                <w:t xml:space="preserve">[5]</w:t>
              </w:r>
            </w:hyperlink>
          </w:p>
        </w:tc>
      </w:tr>
    </w:tbl>
    <w:p>
      <w:pPr>
        <w:spacing w:lineRule="auto"/>
      </w:pP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Forbidden phrases: “super-oracle”, “killer app”, “moonshot potential”.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3 Visual Aesthetic — Futurism Without Flash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3.1 Color System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3170"/>
        <w:gridCol w:w="3170"/>
        <w:gridCol w:w="3170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Role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HEX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Notes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NEXUS Primary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#1A2B4C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Deep cognitive blue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SYNAPSE Primary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#2D1B69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Neural violet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Accent (CORTEX)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#00D2FF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Data-stream cyan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Success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#10B981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Emerald confirmation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Warning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#F59E0B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Amber risk alert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Backgrounds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#0A0E1A / #151B2E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Low-glare slates</w:t>
            </w:r>
            <w:hyperlink w:anchor="fn6">
              <w:r>
                <w:rPr>
                  <w:rFonts w:eastAsia="inter" w:cs="inter" w:ascii="inter" w:hAnsi="inter"/>
                  <w:color w:val="#000"/>
                  <w:sz w:val="17"/>
                  <w:u w:val="single"/>
                  <w:vertAlign w:val="superscript"/>
                </w:rPr>
                <w:t xml:space="preserve">[6]</w:t>
              </w:r>
            </w:hyperlink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3.2 Typography Stack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3170"/>
        <w:gridCol w:w="3170"/>
        <w:gridCol w:w="3170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Level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Typeface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Use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Display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Exo 2 800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Hero, splash numerals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UI / Body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Inter 400–700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All paragraph text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Code / 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JetBrains Mono 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Metrics, hashes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3.3 Icon Library (24 × 24 px, 2 px stroke)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neural-network - oracle-feed - data-flow - bridge-connection - MEV-shield - governance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4 Strategic Messaging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3170"/>
        <w:gridCol w:w="3170"/>
        <w:gridCol w:w="3170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Audience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Headline Variant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Tone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Young professionals (25-35)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“Automate P&amp;L with neural intelligence in any wallet.”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Energetic, solution-oriented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Institutional desks (35-50)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“Enterprise-grade oracle feeds with audited cross-chain execution.”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Formal, data-driven</w:t>
            </w:r>
          </w:p>
        </w:tc>
      </w:tr>
    </w:tbl>
    <w:p>
      <w:pPr>
        <w:spacing w:lineRule="auto"/>
      </w:pP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Universal value props: Cognitive Intelligence, Neural Security, Synaptic Speed, Adaptive Learning</w:t>
      </w:r>
      <w:bookmarkStart w:id="3" w:name="fnref7"/>
      <w:bookmarkEnd w:id="3"/>
      <w:hyperlink w:anchor="fn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[7]</w:t>
        </w:r>
      </w:hyperlink>
      <w:bookmarkStart w:id="4" w:name="fnref8"/>
      <w:bookmarkEnd w:id="4"/>
      <w:hyperlink w:anchor="fn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[8]</w:t>
        </w:r>
      </w:hyperlink>
      <w:bookmarkStart w:id="5" w:name="fnref9"/>
      <w:bookmarkEnd w:id="5"/>
      <w:hyperlink w:anchor="fn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[9]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5 Demonstrating Seamless Integration</w:t>
      </w:r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Market Signals ─▶ NEXUS Sentiment Score</w:t>
        <w:br/>
        <w:t xml:space="preserve">                     │</w:t>
        <w:br/>
        <w:t xml:space="preserve">                     ▼</w:t>
        <w:br/>
        <w:t xml:space="preserve">           CORTEX Decision Layer</w:t>
        <w:br/>
        <w:t xml:space="preserve">                     │</w:t>
        <w:br/>
        <w:t xml:space="preserve">         SYNAPSE MEV-Secure Route ─▶ Settlement</w:t>
        <w:br/>
        <w:t xml:space="preserve"/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1 Sentiment ≥ 0.7 triggers execution.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2 CORTEX selects the lowest-slippage chain.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3 SYNAPSE’s private mempool signs &amp; bridges with sub-second latency</w:t>
      </w:r>
      <w:bookmarkStart w:id="6" w:name="fnref10"/>
      <w:bookmarkEnd w:id="6"/>
      <w:hyperlink w:anchor="fn1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[10]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6 Brand Guide Extract (100 M Tokens Each)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3170"/>
        <w:gridCol w:w="3170"/>
        <w:gridCol w:w="3170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Allocation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Vesting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Community Governance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Immediate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Cognitive / Bridge Rewards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6 - 30 mo linear (33.7% cliff 6 mo)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Development Treasury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6 mo cliff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Liquidity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Immediate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Core Team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12 mo cliff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7 Motion Study — 10 s Hero Loop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1 0-2 s NEXUS nodes emerge in deep blue.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2 2-4 s Cyan paths animate ≈ neural synapses.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3 4-6 s Purple bridge pulses, labeling “SYNAPSE”.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4 6-8 s Cyan-to-emerald data flows bidirectionally.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5 8-10 s Whole mesh glows, fades, restarts.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Easing: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cubic-bezier(0.4,0,0.2,1)</w:t>
      </w:r>
      <w:r>
        <w:rPr>
          <w:rFonts w:eastAsia="inter" w:cs="inter" w:ascii="inter" w:hAnsi="inter"/>
          <w:color w:val="000000"/>
        </w:rPr>
        <w:t xml:space="preserve">; loop seamless.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8 Audit Summary One-Pager (PDF Outline)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Scope</w:t>
      </w:r>
      <w:r>
        <w:rPr>
          <w:rFonts w:eastAsia="inter" w:cs="inter" w:ascii="inter" w:hAnsi="inter"/>
          <w:color w:val="000000"/>
          <w:sz w:val="21"/>
        </w:rPr>
        <w:t xml:space="preserve"> NEXUS oracle contracts, SYNAPSE bridge &amp; MEV shield.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Auditors</w:t>
      </w:r>
      <w:r>
        <w:rPr>
          <w:rFonts w:eastAsia="inter" w:cs="inter" w:ascii="inter" w:hAnsi="inter"/>
          <w:color w:val="000000"/>
          <w:sz w:val="21"/>
        </w:rPr>
        <w:t xml:space="preserve"> CertiK ID 9283 (oracle), Trail of Bits Report #TOB-623 (bridge).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Findings</w:t>
      </w:r>
      <w:r>
        <w:rPr>
          <w:rFonts w:eastAsia="inter" w:cs="inter" w:ascii="inter" w:hAnsi="inter"/>
          <w:color w:val="000000"/>
          <w:sz w:val="21"/>
        </w:rPr>
        <w:t xml:space="preserve"> 0 critical, 2 medium (oracle gas griefing, mitigated); 1 low (metadata overflow).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Formal-Verification Hashes</w:t>
      </w:r>
      <w:r>
        <w:rPr>
          <w:rFonts w:eastAsia="inter" w:cs="inter" w:ascii="inter" w:hAnsi="inter"/>
          <w:color w:val="000000"/>
          <w:sz w:val="21"/>
        </w:rPr>
        <w:t xml:space="preserve"> Z3 proofs for withdrawal invariants.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Links</w:t>
      </w:r>
      <w:r>
        <w:rPr>
          <w:rFonts w:eastAsia="inter" w:cs="inter" w:ascii="inter" w:hAnsi="inter"/>
          <w:color w:val="000000"/>
          <w:sz w:val="21"/>
        </w:rPr>
        <w:t xml:space="preserve"> 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certik.com/projects/nexus</w:t>
      </w:r>
      <w:r>
        <w:rPr>
          <w:rFonts w:eastAsia="inter" w:cs="inter" w:ascii="inter" w:hAnsi="inter"/>
          <w:color w:val="000000"/>
          <w:sz w:val="21"/>
        </w:rPr>
        <w:t xml:space="preserve"> | 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github.com/nexus-synapse/audits</w:t>
      </w:r>
      <w:r>
        <w:rPr>
          <w:rFonts w:eastAsia="inter" w:cs="inter" w:ascii="inter" w:hAnsi="inter"/>
          <w:color w:val="000000"/>
          <w:sz w:val="21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9 A/B Headline Test (NEXUS Hero)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3170"/>
        <w:gridCol w:w="3170"/>
        <w:gridCol w:w="3170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Version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Headline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CTR Hypothesis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“Cognitive Oracle Network.”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Appeals to technical breadth; expected CTR 4%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B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“Neural Sentiment Infrastructure.”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Emphasises data depth; expected CTR 3.2%</w:t>
            </w:r>
          </w:p>
        </w:tc>
      </w:tr>
    </w:tbl>
    <w:p>
      <w:pPr>
        <w:spacing w:lineRule="auto"/>
      </w:pP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Measure 5-day homepage traffic (10 K users) → adopt copy if lift ≥ 5% at p &lt; 0.05.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10 Narrative — CORTEX AI Agent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CORTEX is an adaptive engine that </w:t>
      </w:r>
      <w:r>
        <w:rPr>
          <w:rFonts w:eastAsia="inter" w:cs="inter" w:ascii="inter" w:hAnsi="inter"/>
          <w:b/>
          <w:color w:val="000000"/>
        </w:rPr>
        <w:t xml:space="preserve">learns</w:t>
      </w:r>
      <w:r>
        <w:rPr>
          <w:rFonts w:eastAsia="inter" w:cs="inter" w:ascii="inter" w:hAnsi="inter"/>
          <w:color w:val="000000"/>
        </w:rPr>
        <w:t xml:space="preserve"> from every oracle query and bridge execution. Transformer layers rank sentiment vectors; a graph neural net maps liquidity edges; Bayesian fusion outputs a confidence-weighted route. The result is an AI that </w:t>
      </w:r>
      <w:r>
        <w:rPr>
          <w:rFonts w:eastAsia="inter" w:cs="inter" w:ascii="inter" w:hAnsi="inter"/>
          <w:b/>
          <w:color w:val="000000"/>
        </w:rPr>
        <w:t xml:space="preserve">thinks like a trader and acts like a network</w:t>
      </w:r>
      <w:r>
        <w:rPr>
          <w:rFonts w:eastAsia="inter" w:cs="inter" w:ascii="inter" w:hAnsi="inter"/>
          <w:color w:val="000000"/>
        </w:rPr>
        <w:t xml:space="preserve">, achieving true cognitive connectivity—NEXUS insight firing SYNAPSE action in milliseconds</w:t>
      </w:r>
      <w:bookmarkStart w:id="7" w:name="fnref5:1"/>
      <w:bookmarkEnd w:id="7"/>
      <w:hyperlink w:anchor="fn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[5]</w:t>
        </w:r>
      </w:hyperlink>
      <w:bookmarkStart w:id="8" w:name="fnref3:2"/>
      <w:bookmarkEnd w:id="8"/>
      <w:hyperlink w:anchor="fn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[3]</w:t>
        </w:r>
      </w:hyperlink>
      <w:bookmarkStart w:id="9" w:name="fnref11"/>
      <w:bookmarkEnd w:id="9"/>
      <w:hyperlink w:anchor="fn1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[11]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Next Actions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Hand the enclosed hex/typography sheet to designers.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Build the 10 s Lottie animation using the motion spec.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Publish the audit PDF and link it site-wide.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Launch the headline A/B test; feed metrics back to CORTEX for copy auto-optimization.</w:t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10" w:name="fn1"/>
    <w:bookmarkEnd w:id="10"/>
    <w:p>
      <w:pPr>
        <w:numPr>
          <w:ilvl w:val="0"/>
          <w:numId w:val="5"/>
        </w:numPr>
        <w:spacing w:line="360" w:after="210" w:lineRule="auto"/>
      </w:pPr>
      <w:hyperlink r:id="rId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https://arxiv.org/pdf/2106.09349.pdf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1" w:name="fn2"/>
    <w:bookmarkEnd w:id="11"/>
    <w:p>
      <w:pPr>
        <w:numPr>
          <w:ilvl w:val="0"/>
          <w:numId w:val="5"/>
        </w:numPr>
        <w:spacing w:line="360" w:after="210" w:lineRule="auto"/>
      </w:pPr>
      <w:hyperlink r:id="rId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https://ethresear.ch/t/what-is-a-cross-chain-mev/14520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2" w:name="fn3"/>
    <w:bookmarkEnd w:id="12"/>
    <w:p>
      <w:pPr>
        <w:numPr>
          <w:ilvl w:val="0"/>
          <w:numId w:val="5"/>
        </w:numPr>
        <w:spacing w:line="360" w:after="210" w:lineRule="auto"/>
      </w:pPr>
      <w:hyperlink r:id="rId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https://arxiv.org/abs/2308.04159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3" w:name="fn4"/>
    <w:bookmarkEnd w:id="13"/>
    <w:p>
      <w:pPr>
        <w:numPr>
          <w:ilvl w:val="0"/>
          <w:numId w:val="5"/>
        </w:numPr>
        <w:spacing w:line="360" w:after="210" w:lineRule="auto"/>
      </w:pPr>
      <w:hyperlink r:id="rId1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https://www.degruyterbrill.com/document/doi/10.1515/jisys-2023-0085/html?lang=en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4" w:name="fn5"/>
    <w:bookmarkEnd w:id="14"/>
    <w:p>
      <w:pPr>
        <w:numPr>
          <w:ilvl w:val="0"/>
          <w:numId w:val="5"/>
        </w:numPr>
        <w:spacing w:line="360" w:after="210" w:lineRule="auto"/>
      </w:pPr>
      <w:hyperlink r:id="rId1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https://www.nature.com/articles/s41598-025-92563-y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5" w:name="fn6"/>
    <w:bookmarkEnd w:id="15"/>
    <w:p>
      <w:pPr>
        <w:numPr>
          <w:ilvl w:val="0"/>
          <w:numId w:val="5"/>
        </w:numPr>
        <w:spacing w:line="360" w:after="210" w:lineRule="auto"/>
      </w:pPr>
      <w:hyperlink r:id="rId1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https://www.shutterstock.com/blog/psychological-color-palettes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6" w:name="fn7"/>
    <w:bookmarkEnd w:id="16"/>
    <w:p>
      <w:pPr>
        <w:numPr>
          <w:ilvl w:val="0"/>
          <w:numId w:val="5"/>
        </w:numPr>
        <w:spacing w:line="360" w:after="210" w:lineRule="auto"/>
      </w:pPr>
      <w:hyperlink r:id="rId1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https://cow.fi/learn/understanding-mev-protection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7" w:name="fn8"/>
    <w:bookmarkEnd w:id="17"/>
    <w:p>
      <w:pPr>
        <w:numPr>
          <w:ilvl w:val="0"/>
          <w:numId w:val="5"/>
        </w:numPr>
        <w:spacing w:line="360" w:after="210" w:lineRule="auto"/>
      </w:pPr>
      <w:hyperlink r:id="rId1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https://ecos.am/en/blog/oracles-in-blockchain-enabling-smart-data-integration-and-secure-automation/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8" w:name="fn9"/>
    <w:bookmarkEnd w:id="18"/>
    <w:p>
      <w:pPr>
        <w:numPr>
          <w:ilvl w:val="0"/>
          <w:numId w:val="5"/>
        </w:numPr>
        <w:spacing w:line="360" w:after="210" w:lineRule="auto"/>
      </w:pPr>
      <w:hyperlink r:id="rId1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https://arxiv.org/abs/2106.09349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9" w:name="fn10"/>
    <w:bookmarkEnd w:id="19"/>
    <w:p>
      <w:pPr>
        <w:numPr>
          <w:ilvl w:val="0"/>
          <w:numId w:val="5"/>
        </w:numPr>
        <w:spacing w:line="360" w:after="210" w:lineRule="auto"/>
      </w:pPr>
      <w:hyperlink r:id="rId1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https://blog.web3auth.io/how-cross-chain-mev-and-private-order-flow-disrupt-chain-abstraction/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0" w:name="fn11"/>
    <w:bookmarkEnd w:id="20"/>
    <w:p>
      <w:pPr>
        <w:numPr>
          <w:ilvl w:val="0"/>
          <w:numId w:val="5"/>
        </w:numPr>
        <w:spacing w:line="360" w:after="210" w:lineRule="auto"/>
      </w:pPr>
      <w:hyperlink r:id="rId1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https://www.ibm.com/think/topics/cognitive-computing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  <w:font w:name="ibm plex mono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4">
    <w:multiLevelType w:val="hybridMultilevel"/>
  </w:abstractNum>
  <w:abstractNum w:abstractNumId="5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  <w:style w:type="table" w:styleId="TableGrid">
    <w:name w:val="Normal Grid"/>
    <w:basedOn w:val="TableNormal"/>
    <w:uiPriority w:val="39"/>
    <w:pPr>
      <w:spacing w:after="0" w:line="240" w:lineRule="auto"/>
    </w:pPr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0246af4326d025d85fca1b8ff764eb725f482df3.png" TargetMode="Internal"/><Relationship Id="rId6" Type="http://schemas.openxmlformats.org/officeDocument/2006/relationships/image" Target="media/image-234d93e1f82b0261d5cb09c19a1f97ea0dbaf4f5.png" TargetMode="Internal"/><Relationship Id="rId7" Type="http://schemas.openxmlformats.org/officeDocument/2006/relationships/hyperlink" Target="https://arxiv.org/pdf/2106.09349.pdf" TargetMode="External"/><Relationship Id="rId8" Type="http://schemas.openxmlformats.org/officeDocument/2006/relationships/hyperlink" Target="https://ethresear.ch/t/what-is-a-cross-chain-mev/14520" TargetMode="External"/><Relationship Id="rId9" Type="http://schemas.openxmlformats.org/officeDocument/2006/relationships/hyperlink" Target="https://arxiv.org/abs/2308.04159" TargetMode="External"/><Relationship Id="rId10" Type="http://schemas.openxmlformats.org/officeDocument/2006/relationships/hyperlink" Target="https://www.degruyterbrill.com/document/doi/10.1515/jisys-2023-0085/html?lang=en" TargetMode="External"/><Relationship Id="rId11" Type="http://schemas.openxmlformats.org/officeDocument/2006/relationships/hyperlink" Target="https://www.nature.com/articles/s41598-025-92563-y" TargetMode="External"/><Relationship Id="rId12" Type="http://schemas.openxmlformats.org/officeDocument/2006/relationships/hyperlink" Target="https://www.shutterstock.com/blog/psychological-color-palettes" TargetMode="External"/><Relationship Id="rId13" Type="http://schemas.openxmlformats.org/officeDocument/2006/relationships/hyperlink" Target="https://cow.fi/learn/understanding-mev-protection" TargetMode="External"/><Relationship Id="rId14" Type="http://schemas.openxmlformats.org/officeDocument/2006/relationships/hyperlink" Target="https://ecos.am/en/blog/oracles-in-blockchain-enabling-smart-data-integration-and-secure-automation/" TargetMode="External"/><Relationship Id="rId15" Type="http://schemas.openxmlformats.org/officeDocument/2006/relationships/hyperlink" Target="https://arxiv.org/abs/2106.09349" TargetMode="External"/><Relationship Id="rId16" Type="http://schemas.openxmlformats.org/officeDocument/2006/relationships/hyperlink" Target="https://blog.web3auth.io/how-cross-chain-mev-and-private-order-flow-disrupt-chain-abstraction/" TargetMode="External"/><Relationship Id="rId17" Type="http://schemas.openxmlformats.org/officeDocument/2006/relationships/hyperlink" Target="https://www.ibm.com/think/topics/cognitive-computing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2025-07-03T21:15:56.836Z</dcterms:created>
  <dcterms:modified xsi:type="dcterms:W3CDTF">2025-07-03T21:15:56.836Z</dcterms:modified>
</cp:coreProperties>
</file>