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40" w:lineRule="auto"/>
        <w:rPr/>
      </w:pPr>
      <w:bookmarkStart w:colFirst="0" w:colLast="0" w:name="_ub9miwj0p6b2" w:id="0"/>
      <w:bookmarkEnd w:id="0"/>
      <w:r w:rsidDel="00000000" w:rsidR="00000000" w:rsidRPr="00000000">
        <w:rPr>
          <w:rtl w:val="0"/>
        </w:rPr>
        <w:t xml:space="preserve">Solana MultiSig Vault - Enterprise Security Solution.</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pStyle w:val="Heading2"/>
        <w:spacing w:line="240" w:lineRule="auto"/>
        <w:rPr/>
      </w:pPr>
      <w:bookmarkStart w:colFirst="0" w:colLast="0" w:name="_9sgakkci3teq" w:id="1"/>
      <w:bookmarkEnd w:id="1"/>
      <w:r w:rsidDel="00000000" w:rsidR="00000000" w:rsidRPr="00000000">
        <w:rPr>
          <w:rtl w:val="0"/>
        </w:rPr>
        <w:t xml:space="preserve">Project Overview</w:t>
      </w:r>
    </w:p>
    <w:p w:rsidR="00000000" w:rsidDel="00000000" w:rsidP="00000000" w:rsidRDefault="00000000" w:rsidRPr="00000000" w14:paraId="00000004">
      <w:pPr>
        <w:pStyle w:val="Heading2"/>
        <w:spacing w:line="240" w:lineRule="auto"/>
        <w:rPr/>
      </w:pPr>
      <w:bookmarkStart w:colFirst="0" w:colLast="0" w:name="_aemw0xravk9p" w:id="2"/>
      <w:bookmarkEnd w:id="2"/>
      <w:r w:rsidDel="00000000" w:rsidR="00000000" w:rsidRPr="00000000">
        <w:rPr>
          <w:rtl w:val="0"/>
        </w:rPr>
        <w:t xml:space="preserve">Project Name</w:t>
      </w:r>
    </w:p>
    <w:p w:rsidR="00000000" w:rsidDel="00000000" w:rsidP="00000000" w:rsidRDefault="00000000" w:rsidRPr="00000000" w14:paraId="00000005">
      <w:pPr>
        <w:spacing w:line="240" w:lineRule="auto"/>
        <w:rPr/>
      </w:pPr>
      <w:r w:rsidDel="00000000" w:rsidR="00000000" w:rsidRPr="00000000">
        <w:rPr>
          <w:b w:val="1"/>
          <w:rtl w:val="0"/>
        </w:rPr>
        <w:t xml:space="preserve">SolanaVault Pro </w:t>
      </w:r>
      <w:r w:rsidDel="00000000" w:rsidR="00000000" w:rsidRPr="00000000">
        <w:rPr>
          <w:rtl w:val="0"/>
        </w:rPr>
        <w:t xml:space="preserve">- Enterprise-Grade MultiSig Security Infrastructure</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pStyle w:val="Heading2"/>
        <w:spacing w:line="240" w:lineRule="auto"/>
        <w:rPr/>
      </w:pPr>
      <w:bookmarkStart w:colFirst="0" w:colLast="0" w:name="_7kiz1x82c8zk" w:id="3"/>
      <w:bookmarkEnd w:id="3"/>
      <w:r w:rsidDel="00000000" w:rsidR="00000000" w:rsidRPr="00000000">
        <w:rPr>
          <w:rtl w:val="0"/>
        </w:rPr>
        <w:t xml:space="preserve">Project Description</w:t>
      </w:r>
    </w:p>
    <w:p w:rsidR="00000000" w:rsidDel="00000000" w:rsidP="00000000" w:rsidRDefault="00000000" w:rsidRPr="00000000" w14:paraId="00000008">
      <w:pPr>
        <w:spacing w:line="240" w:lineRule="auto"/>
        <w:rPr/>
      </w:pPr>
      <w:r w:rsidDel="00000000" w:rsidR="00000000" w:rsidRPr="00000000">
        <w:rPr>
          <w:rtl w:val="0"/>
        </w:rPr>
        <w:t xml:space="preserve">SolanaVault Pro is an enterprise-focused multisignature wallet solution built on Solana, designed to bridge the gap between traditional corporate treasury management and blockchain technology. The system implements a configurable M-of-N signature scheme, allowing organizations to maintain robust security controls while leveraging Solana's high-speed, low-cost infrastructure for their digital asset management needs.</w:t>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pStyle w:val="Heading2"/>
        <w:spacing w:line="240" w:lineRule="auto"/>
        <w:rPr/>
      </w:pPr>
      <w:bookmarkStart w:colFirst="0" w:colLast="0" w:name="_57kq8e33g9vc" w:id="4"/>
      <w:bookmarkEnd w:id="4"/>
      <w:r w:rsidDel="00000000" w:rsidR="00000000" w:rsidRPr="00000000">
        <w:rPr>
          <w:rtl w:val="0"/>
        </w:rPr>
        <w:t xml:space="preserve">Project Motivation</w:t>
      </w:r>
    </w:p>
    <w:p w:rsidR="00000000" w:rsidDel="00000000" w:rsidP="00000000" w:rsidRDefault="00000000" w:rsidRPr="00000000" w14:paraId="0000000B">
      <w:pPr>
        <w:spacing w:line="240" w:lineRule="auto"/>
        <w:rPr/>
      </w:pPr>
      <w:r w:rsidDel="00000000" w:rsidR="00000000" w:rsidRPr="00000000">
        <w:rPr>
          <w:rtl w:val="0"/>
        </w:rPr>
        <w:t xml:space="preserve">The project addresses a critical need in the enterprise blockchain space: secure, auditable, and efficient management of digital assets. Current solutions often sacrifice user experience for security or vice versa. By leveraging Solana's speed and cost-effectiveness, we can deliver a solution that maintains institutional-grade security without compromising on usability. The recent surge in crypto treasury management needs among traditional companies makes this project particularly timely.</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pStyle w:val="Heading2"/>
        <w:spacing w:line="240" w:lineRule="auto"/>
        <w:rPr/>
      </w:pPr>
      <w:bookmarkStart w:colFirst="0" w:colLast="0" w:name="_r7zj9ukjcnec" w:id="5"/>
      <w:bookmarkEnd w:id="5"/>
      <w:r w:rsidDel="00000000" w:rsidR="00000000" w:rsidRPr="00000000">
        <w:rPr>
          <w:rtl w:val="0"/>
        </w:rPr>
        <w:t xml:space="preserve">Go-to-Market Strategy</w:t>
      </w:r>
    </w:p>
    <w:p w:rsidR="00000000" w:rsidDel="00000000" w:rsidP="00000000" w:rsidRDefault="00000000" w:rsidRPr="00000000" w14:paraId="0000000E">
      <w:pPr>
        <w:pStyle w:val="Heading2"/>
        <w:spacing w:line="240" w:lineRule="auto"/>
        <w:rPr/>
      </w:pPr>
      <w:bookmarkStart w:colFirst="0" w:colLast="0" w:name="_o2rzrl9s2g7b" w:id="6"/>
      <w:bookmarkEnd w:id="6"/>
      <w:r w:rsidDel="00000000" w:rsidR="00000000" w:rsidRPr="00000000">
        <w:rPr>
          <w:rtl w:val="0"/>
        </w:rPr>
        <w:t xml:space="preserve">Target Audience</w:t>
      </w:r>
    </w:p>
    <w:p w:rsidR="00000000" w:rsidDel="00000000" w:rsidP="00000000" w:rsidRDefault="00000000" w:rsidRPr="00000000" w14:paraId="0000000F">
      <w:pPr>
        <w:spacing w:line="240" w:lineRule="auto"/>
        <w:rPr/>
      </w:pPr>
      <w:r w:rsidDel="00000000" w:rsidR="00000000" w:rsidRPr="00000000">
        <w:rPr>
          <w:rtl w:val="0"/>
        </w:rPr>
        <w:t xml:space="preserve">Our primary focus is mid to large-size enterprises requiring sophisticated digital asset management solutions. This includes:</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numPr>
          <w:ilvl w:val="0"/>
          <w:numId w:val="5"/>
        </w:numPr>
        <w:spacing w:line="240" w:lineRule="auto"/>
        <w:ind w:left="720" w:hanging="360"/>
        <w:rPr>
          <w:u w:val="none"/>
        </w:rPr>
      </w:pPr>
      <w:r w:rsidDel="00000000" w:rsidR="00000000" w:rsidRPr="00000000">
        <w:rPr>
          <w:rtl w:val="0"/>
        </w:rPr>
        <w:t xml:space="preserve">Traditional financial institutions transitioning into digital assets, who need systems that mirror their existing approval workflows while meeting compliance requirements. These organizations typically have complex governance structures and require multiple layers of authorization for financial transactions.</w:t>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numPr>
          <w:ilvl w:val="0"/>
          <w:numId w:val="10"/>
        </w:numPr>
        <w:spacing w:line="240" w:lineRule="auto"/>
        <w:ind w:left="720" w:hanging="360"/>
        <w:rPr>
          <w:u w:val="none"/>
        </w:rPr>
      </w:pPr>
      <w:r w:rsidDel="00000000" w:rsidR="00000000" w:rsidRPr="00000000">
        <w:rPr>
          <w:rtl w:val="0"/>
        </w:rPr>
        <w:t xml:space="preserve">Web3-native companies managing significant treasury positions, who understand blockchain technology but need more robust security solutions than single-signature wallets. These companies often handle multiple tokens and require frequent transactions with varying levels of approval requirements.</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pStyle w:val="Heading2"/>
        <w:spacing w:line="240" w:lineRule="auto"/>
        <w:rPr/>
      </w:pPr>
      <w:bookmarkStart w:colFirst="0" w:colLast="0" w:name="_vxhtsa69u84y" w:id="7"/>
      <w:bookmarkEnd w:id="7"/>
      <w:r w:rsidDel="00000000" w:rsidR="00000000" w:rsidRPr="00000000">
        <w:rPr>
          <w:rtl w:val="0"/>
        </w:rPr>
        <w:t xml:space="preserve">Value Proposition</w:t>
      </w:r>
    </w:p>
    <w:p w:rsidR="00000000" w:rsidDel="00000000" w:rsidP="00000000" w:rsidRDefault="00000000" w:rsidRPr="00000000" w14:paraId="00000016">
      <w:pPr>
        <w:spacing w:line="240" w:lineRule="auto"/>
        <w:rPr/>
      </w:pPr>
      <w:r w:rsidDel="00000000" w:rsidR="00000000" w:rsidRPr="00000000">
        <w:rPr>
          <w:rtl w:val="0"/>
        </w:rPr>
        <w:t xml:space="preserve">SolanaVault Pro distinguishes itself through several key advantages:</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numPr>
          <w:ilvl w:val="0"/>
          <w:numId w:val="7"/>
        </w:numPr>
        <w:spacing w:line="240" w:lineRule="auto"/>
        <w:ind w:left="720" w:hanging="360"/>
        <w:rPr>
          <w:u w:val="none"/>
        </w:rPr>
      </w:pPr>
      <w:r w:rsidDel="00000000" w:rsidR="00000000" w:rsidRPr="00000000">
        <w:rPr>
          <w:rtl w:val="0"/>
        </w:rPr>
        <w:t xml:space="preserve">The solution combines enterprise-grade security with Solana's high performance, enabling near-instant transaction execution once approval thresholds are met. This addresses a major pain point in existing multisig solutions where confirmation delays can impact trading opportunities or operational efficiency.</w:t>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numPr>
          <w:ilvl w:val="0"/>
          <w:numId w:val="1"/>
        </w:numPr>
        <w:spacing w:line="240" w:lineRule="auto"/>
        <w:ind w:left="720" w:hanging="360"/>
        <w:rPr>
          <w:u w:val="none"/>
        </w:rPr>
      </w:pPr>
      <w:r w:rsidDel="00000000" w:rsidR="00000000" w:rsidRPr="00000000">
        <w:rPr>
          <w:rtl w:val="0"/>
        </w:rPr>
        <w:t xml:space="preserve">The platform includes advanced features specifically designed for corporate needs, such as role-based access control, detailed audit logging, and customizable approval workflows that can mirror existing corporate governance structures.</w:t>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pStyle w:val="Heading2"/>
        <w:spacing w:line="240" w:lineRule="auto"/>
        <w:rPr/>
      </w:pPr>
      <w:bookmarkStart w:colFirst="0" w:colLast="0" w:name="_o2bg36f7f0gi" w:id="8"/>
      <w:bookmarkEnd w:id="8"/>
      <w:r w:rsidDel="00000000" w:rsidR="00000000" w:rsidRPr="00000000">
        <w:rPr>
          <w:rtl w:val="0"/>
        </w:rPr>
        <w:t xml:space="preserve">Marketing and Distribution Strategy</w:t>
      </w:r>
    </w:p>
    <w:p w:rsidR="00000000" w:rsidDel="00000000" w:rsidP="00000000" w:rsidRDefault="00000000" w:rsidRPr="00000000" w14:paraId="0000001D">
      <w:pPr>
        <w:spacing w:line="240" w:lineRule="auto"/>
        <w:rPr/>
      </w:pPr>
      <w:r w:rsidDel="00000000" w:rsidR="00000000" w:rsidRPr="00000000">
        <w:rPr>
          <w:rtl w:val="0"/>
        </w:rPr>
        <w:t xml:space="preserve">Our go-to-market approach focuses on building credibility and trust within the enterprise blockchain ecosystem through:</w:t>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numPr>
          <w:ilvl w:val="0"/>
          <w:numId w:val="12"/>
        </w:numPr>
        <w:spacing w:line="240" w:lineRule="auto"/>
        <w:ind w:left="720" w:hanging="360"/>
        <w:rPr>
          <w:u w:val="none"/>
        </w:rPr>
      </w:pPr>
      <w:r w:rsidDel="00000000" w:rsidR="00000000" w:rsidRPr="00000000">
        <w:rPr>
          <w:rtl w:val="0"/>
        </w:rPr>
        <w:t xml:space="preserve">Direct enterprise engagement through partnerships with existing corporate service providers and blockchain consultancies. This includes developing relationships with accounting firms and corporate advisory services that often guide companies' blockchain adoption strategies.</w:t>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numPr>
          <w:ilvl w:val="0"/>
          <w:numId w:val="3"/>
        </w:numPr>
        <w:spacing w:line="240" w:lineRule="auto"/>
        <w:ind w:left="720" w:hanging="360"/>
        <w:rPr>
          <w:u w:val="none"/>
        </w:rPr>
      </w:pPr>
      <w:r w:rsidDel="00000000" w:rsidR="00000000" w:rsidRPr="00000000">
        <w:rPr>
          <w:rtl w:val="0"/>
        </w:rPr>
        <w:t xml:space="preserve">Content marketing focused on security best practices and enterprise blockchain adoption, positioning our team as thought leaders in the space. This includes detailed technical documentation, security whitepapers, and case studies of implementation scenarios.</w:t>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pStyle w:val="Heading2"/>
        <w:spacing w:line="240" w:lineRule="auto"/>
        <w:rPr/>
      </w:pPr>
      <w:bookmarkStart w:colFirst="0" w:colLast="0" w:name="_phedqw67yhjr" w:id="9"/>
      <w:bookmarkEnd w:id="9"/>
      <w:r w:rsidDel="00000000" w:rsidR="00000000" w:rsidRPr="00000000">
        <w:rPr>
          <w:rtl w:val="0"/>
        </w:rPr>
        <w:t xml:space="preserve">Competitive Landscape</w:t>
      </w:r>
    </w:p>
    <w:p w:rsidR="00000000" w:rsidDel="00000000" w:rsidP="00000000" w:rsidRDefault="00000000" w:rsidRPr="00000000" w14:paraId="00000024">
      <w:pPr>
        <w:spacing w:line="240" w:lineRule="auto"/>
        <w:rPr/>
      </w:pPr>
      <w:r w:rsidDel="00000000" w:rsidR="00000000" w:rsidRPr="00000000">
        <w:rPr>
          <w:rtl w:val="0"/>
        </w:rPr>
        <w:t xml:space="preserve">The multisig space has several established players, but few focus specifically on enterprise needs on Solana. Our key differentiators include:</w:t>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numPr>
          <w:ilvl w:val="0"/>
          <w:numId w:val="4"/>
        </w:numPr>
        <w:spacing w:line="240" w:lineRule="auto"/>
        <w:ind w:left="720" w:hanging="360"/>
        <w:rPr>
          <w:u w:val="none"/>
        </w:rPr>
      </w:pPr>
      <w:r w:rsidDel="00000000" w:rsidR="00000000" w:rsidRPr="00000000">
        <w:rPr>
          <w:rtl w:val="0"/>
        </w:rPr>
        <w:t xml:space="preserve">Specialized focus on enterprise workflows and compliance requirements, unlike existing solutions that primarily target retail or small business users.</w:t>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numPr>
          <w:ilvl w:val="0"/>
          <w:numId w:val="9"/>
        </w:numPr>
        <w:spacing w:line="240" w:lineRule="auto"/>
        <w:ind w:left="720" w:hanging="360"/>
        <w:rPr>
          <w:u w:val="none"/>
        </w:rPr>
      </w:pPr>
      <w:r w:rsidDel="00000000" w:rsidR="00000000" w:rsidRPr="00000000">
        <w:rPr>
          <w:rtl w:val="0"/>
        </w:rPr>
        <w:t xml:space="preserve">Integration capabilities with traditional enterprise systems through robust APIs and documentation, making it easier for companies to incorporate the solution into their existing infrastructure.</w:t>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pStyle w:val="Heading1"/>
        <w:spacing w:line="240" w:lineRule="auto"/>
        <w:rPr/>
      </w:pPr>
      <w:bookmarkStart w:colFirst="0" w:colLast="0" w:name="_ogn5se6yyisv" w:id="10"/>
      <w:bookmarkEnd w:id="10"/>
      <w:r w:rsidDel="00000000" w:rsidR="00000000" w:rsidRPr="00000000">
        <w:rPr>
          <w:rtl w:val="0"/>
        </w:rPr>
        <w:t xml:space="preserve">Technical Architecture</w:t>
      </w:r>
    </w:p>
    <w:p w:rsidR="00000000" w:rsidDel="00000000" w:rsidP="00000000" w:rsidRDefault="00000000" w:rsidRPr="00000000" w14:paraId="0000002B">
      <w:pPr>
        <w:pStyle w:val="Heading2"/>
        <w:spacing w:line="240" w:lineRule="auto"/>
        <w:rPr/>
      </w:pPr>
      <w:bookmarkStart w:colFirst="0" w:colLast="0" w:name="_adtom6xed1lx" w:id="11"/>
      <w:bookmarkEnd w:id="11"/>
      <w:r w:rsidDel="00000000" w:rsidR="00000000" w:rsidRPr="00000000">
        <w:rPr>
          <w:rtl w:val="0"/>
        </w:rPr>
        <w:t xml:space="preserve">Technology Stack</w:t>
      </w:r>
    </w:p>
    <w:p w:rsidR="00000000" w:rsidDel="00000000" w:rsidP="00000000" w:rsidRDefault="00000000" w:rsidRPr="00000000" w14:paraId="0000002C">
      <w:pPr>
        <w:spacing w:line="240" w:lineRule="auto"/>
        <w:rPr/>
      </w:pPr>
      <w:r w:rsidDel="00000000" w:rsidR="00000000" w:rsidRPr="00000000">
        <w:rPr>
          <w:rtl w:val="0"/>
        </w:rPr>
        <w:t xml:space="preserve">The solution is built on a modern, scalable architecture:</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numPr>
          <w:ilvl w:val="0"/>
          <w:numId w:val="2"/>
        </w:numPr>
        <w:spacing w:line="240" w:lineRule="auto"/>
        <w:ind w:left="720" w:hanging="360"/>
        <w:rPr>
          <w:u w:val="none"/>
        </w:rPr>
      </w:pPr>
      <w:r w:rsidDel="00000000" w:rsidR="00000000" w:rsidRPr="00000000">
        <w:rPr>
          <w:b w:val="1"/>
          <w:rtl w:val="0"/>
        </w:rPr>
        <w:t xml:space="preserve">Frontend</w:t>
      </w:r>
      <w:r w:rsidDel="00000000" w:rsidR="00000000" w:rsidRPr="00000000">
        <w:rPr>
          <w:rtl w:val="0"/>
        </w:rPr>
        <w:t xml:space="preserve">: Next.Js with TypeScript for type safety and improved developer experience, integrated with Tailwind CSS for consistent enterprise-grade UI components.</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numPr>
          <w:ilvl w:val="0"/>
          <w:numId w:val="6"/>
        </w:numPr>
        <w:spacing w:line="240" w:lineRule="auto"/>
        <w:ind w:left="720" w:hanging="360"/>
        <w:rPr>
          <w:u w:val="none"/>
        </w:rPr>
      </w:pPr>
      <w:r w:rsidDel="00000000" w:rsidR="00000000" w:rsidRPr="00000000">
        <w:rPr>
          <w:b w:val="1"/>
          <w:rtl w:val="0"/>
        </w:rPr>
        <w:t xml:space="preserve">Backend Infrastructure</w:t>
      </w:r>
      <w:r w:rsidDel="00000000" w:rsidR="00000000" w:rsidRPr="00000000">
        <w:rPr>
          <w:rtl w:val="0"/>
        </w:rPr>
        <w:t xml:space="preserve">: Rust-based microservices deployed on cloud infrastructure, ensuring high availability and scalability. The system uses Redis for caching and PostgreSQL for permanent storage of transaction metadata and audit logs.</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numPr>
          <w:ilvl w:val="0"/>
          <w:numId w:val="11"/>
        </w:numPr>
        <w:spacing w:line="240" w:lineRule="auto"/>
        <w:ind w:left="720" w:hanging="360"/>
        <w:rPr>
          <w:u w:val="none"/>
        </w:rPr>
      </w:pPr>
      <w:r w:rsidDel="00000000" w:rsidR="00000000" w:rsidRPr="00000000">
        <w:rPr>
          <w:b w:val="1"/>
          <w:rtl w:val="0"/>
        </w:rPr>
        <w:t xml:space="preserve">Blockchain Integration</w:t>
      </w:r>
      <w:r w:rsidDel="00000000" w:rsidR="00000000" w:rsidRPr="00000000">
        <w:rPr>
          <w:rtl w:val="0"/>
        </w:rPr>
        <w:t xml:space="preserve">: Custom Rust programs on Solana, leveraging the Anchor framework for safe and efficient smart contract development.</w:t>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pStyle w:val="Heading1"/>
        <w:spacing w:line="240" w:lineRule="auto"/>
        <w:rPr/>
      </w:pPr>
      <w:bookmarkStart w:colFirst="0" w:colLast="0" w:name="_ofqb3geexp8t" w:id="12"/>
      <w:bookmarkEnd w:id="12"/>
      <w:r w:rsidDel="00000000" w:rsidR="00000000" w:rsidRPr="00000000">
        <w:rPr>
          <w:rtl w:val="0"/>
        </w:rPr>
        <w:t xml:space="preserve">Smart Contract Development</w:t>
      </w:r>
    </w:p>
    <w:p w:rsidR="00000000" w:rsidDel="00000000" w:rsidP="00000000" w:rsidRDefault="00000000" w:rsidRPr="00000000" w14:paraId="00000035">
      <w:pPr>
        <w:spacing w:line="240" w:lineRule="auto"/>
        <w:rPr/>
      </w:pPr>
      <w:r w:rsidDel="00000000" w:rsidR="00000000" w:rsidRPr="00000000">
        <w:rPr>
          <w:rtl w:val="0"/>
        </w:rPr>
        <w:t xml:space="preserve">The smart contract architecture emphasizes security and auditability:</w:t>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numPr>
          <w:ilvl w:val="0"/>
          <w:numId w:val="8"/>
        </w:numPr>
        <w:spacing w:line="240" w:lineRule="auto"/>
        <w:ind w:left="720" w:hanging="360"/>
        <w:rPr>
          <w:u w:val="none"/>
        </w:rPr>
      </w:pPr>
      <w:r w:rsidDel="00000000" w:rsidR="00000000" w:rsidRPr="00000000">
        <w:rPr>
          <w:b w:val="1"/>
          <w:rtl w:val="0"/>
        </w:rPr>
        <w:t xml:space="preserve">Core Development</w:t>
      </w:r>
      <w:r w:rsidDel="00000000" w:rsidR="00000000" w:rsidRPr="00000000">
        <w:rPr>
          <w:rtl w:val="0"/>
        </w:rPr>
        <w:t xml:space="preserve">: Implemented in Rust using the Anchor framework, following best practices for secure multisig implementation on Solana. The contracts handle signature verification, threshold management, and transaction execution with careful consideration of Solana's account model.</w:t>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numPr>
          <w:ilvl w:val="0"/>
          <w:numId w:val="13"/>
        </w:numPr>
        <w:spacing w:line="240" w:lineRule="auto"/>
        <w:ind w:left="720" w:hanging="360"/>
        <w:rPr>
          <w:u w:val="none"/>
        </w:rPr>
      </w:pPr>
      <w:r w:rsidDel="00000000" w:rsidR="00000000" w:rsidRPr="00000000">
        <w:rPr>
          <w:b w:val="1"/>
          <w:rtl w:val="0"/>
        </w:rPr>
        <w:t xml:space="preserve">Testing and Security</w:t>
      </w:r>
      <w:r w:rsidDel="00000000" w:rsidR="00000000" w:rsidRPr="00000000">
        <w:rPr>
          <w:rtl w:val="0"/>
        </w:rPr>
        <w:t xml:space="preserve">: Comprehensive testing strategy including:</w:t>
      </w:r>
    </w:p>
    <w:p w:rsidR="00000000" w:rsidDel="00000000" w:rsidP="00000000" w:rsidRDefault="00000000" w:rsidRPr="00000000" w14:paraId="0000003A">
      <w:pPr>
        <w:spacing w:line="240" w:lineRule="auto"/>
        <w:ind w:firstLine="720"/>
        <w:rPr/>
      </w:pPr>
      <w:r w:rsidDel="00000000" w:rsidR="00000000" w:rsidRPr="00000000">
        <w:rPr>
          <w:rtl w:val="0"/>
        </w:rPr>
        <w:t xml:space="preserve">- Unit tests covering all core functionality</w:t>
      </w:r>
    </w:p>
    <w:p w:rsidR="00000000" w:rsidDel="00000000" w:rsidP="00000000" w:rsidRDefault="00000000" w:rsidRPr="00000000" w14:paraId="0000003B">
      <w:pPr>
        <w:spacing w:line="240" w:lineRule="auto"/>
        <w:ind w:firstLine="720"/>
        <w:rPr/>
      </w:pPr>
      <w:r w:rsidDel="00000000" w:rsidR="00000000" w:rsidRPr="00000000">
        <w:rPr>
          <w:rtl w:val="0"/>
        </w:rPr>
        <w:t xml:space="preserve">- Integration tests simulating real-world usage patterns</w:t>
      </w:r>
    </w:p>
    <w:p w:rsidR="00000000" w:rsidDel="00000000" w:rsidP="00000000" w:rsidRDefault="00000000" w:rsidRPr="00000000" w14:paraId="0000003C">
      <w:pPr>
        <w:spacing w:line="240" w:lineRule="auto"/>
        <w:ind w:firstLine="720"/>
        <w:rPr/>
      </w:pPr>
      <w:r w:rsidDel="00000000" w:rsidR="00000000" w:rsidRPr="00000000">
        <w:rPr>
          <w:rtl w:val="0"/>
        </w:rPr>
        <w:t xml:space="preserve">- Automated security scanning using industry-standard tools</w:t>
      </w:r>
    </w:p>
    <w:p w:rsidR="00000000" w:rsidDel="00000000" w:rsidP="00000000" w:rsidRDefault="00000000" w:rsidRPr="00000000" w14:paraId="0000003D">
      <w:pPr>
        <w:spacing w:line="240" w:lineRule="auto"/>
        <w:ind w:firstLine="720"/>
        <w:rPr/>
      </w:pPr>
      <w:r w:rsidDel="00000000" w:rsidR="00000000" w:rsidRPr="00000000">
        <w:rPr>
          <w:rtl w:val="0"/>
        </w:rPr>
        <w:t xml:space="preserve">- Manual security review by independent auditors</w:t>
      </w:r>
    </w:p>
    <w:p w:rsidR="00000000" w:rsidDel="00000000" w:rsidP="00000000" w:rsidRDefault="00000000" w:rsidRPr="00000000" w14:paraId="0000003E">
      <w:pPr>
        <w:spacing w:line="240" w:lineRule="auto"/>
        <w:ind w:firstLine="720"/>
        <w:rPr/>
      </w:pPr>
      <w:r w:rsidDel="00000000" w:rsidR="00000000" w:rsidRPr="00000000">
        <w:rPr>
          <w:rtl w:val="0"/>
        </w:rPr>
        <w:t xml:space="preserve">- Formal verification of critical components</w:t>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t xml:space="preserve">The system will undergo multiple security audits from reputable firms before production deployment, with regular follow-up audits for major updates.</w:t>
      </w:r>
    </w:p>
    <w:p w:rsidR="00000000" w:rsidDel="00000000" w:rsidP="00000000" w:rsidRDefault="00000000" w:rsidRPr="00000000" w14:paraId="00000041">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