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Arial" w:cs="Arial" w:eastAsia="Arial" w:hAnsi="Arial"/>
          <w:color w:val="7F7F7F"/>
          <w:sz w:val="20"/>
          <w:szCs w:val="20"/>
        </w:rPr>
        <w:t xml:space="preserve">Pastelería Mil Sabores · DSY1104 · Sección 004V</w:t>
      </w:r>
    </w:p>
    <w:p>
      <w:pPr>
        <w:spacing w:after="60" w:line="276"/>
      </w:pPr>
      <w:r>
        <w:rPr>
          <w:rFonts w:ascii="Arial" w:cs="Arial" w:eastAsia="Arial" w:hAnsi="Arial"/>
          <w:b/>
          <w:bCs/>
          <w:color w:val="5D4037"/>
          <w:sz w:val="44"/>
          <w:szCs w:val="44"/>
        </w:rPr>
        <w:t xml:space="preserve">Informe de cobertura de pruebas</w:t>
      </w:r>
    </w:p>
    <w:p>
      <w:pPr>
        <w:spacing w:after="120" w:line="276"/>
      </w:pPr>
      <w:r>
        <w:rPr>
          <w:rFonts w:ascii="Arial" w:cs="Arial" w:eastAsia="Arial" w:hAnsi="Arial"/>
          <w:sz w:val="24"/>
          <w:szCs w:val="24"/>
        </w:rPr>
        <w:t xml:space="preserve">Pruebas unitarias y de componentes · Jasmine + Karma con cobertura Istanbul (karma-coverage)</w:t>
      </w:r>
    </w:p>
    <w:p>
      <w:pPr>
        <w:spacing w:after="200" w:line="276"/>
      </w:pPr>
      <w:r>
        <w:rPr>
          <w:rFonts w:ascii="Arial" w:cs="Arial" w:eastAsia="Arial" w:hAnsi="Arial"/>
          <w:i/>
          <w:iCs/>
          <w:sz w:val="20"/>
          <w:szCs w:val="20"/>
        </w:rPr>
        <w:t xml:space="preserve">Estructura basada en el informe de término de pruebas de ISO/IEC/IEEE 29119-3:2021</w:t>
      </w:r>
    </w:p>
    <w:p>
      <w:pPr>
        <w:keepNext/>
        <w:spacing w:after="80" w:line="276"/>
      </w:pPr>
      <w:r>
        <w:rPr>
          <w:rFonts w:ascii="Arial" w:cs="Arial" w:eastAsia="Arial" w:hAnsi="Arial"/>
          <w:b/>
          <w:bCs/>
          <w:sz w:val="20"/>
          <w:szCs w:val="20"/>
        </w:rPr>
        <w:t xml:space="preserve">Datos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Código del documento</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DSY1104-004V-SVALLADARES-ICP-001</w:t>
            </w:r>
          </w:p>
        </w:tc>
      </w:tr>
      <w:tr>
        <w:tc>
          <w:tcPr>
            <w:tcW w:type="dxa" w:w="26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Versión</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1.0</w:t>
            </w:r>
          </w:p>
        </w:tc>
      </w:tr>
      <w:tr>
        <w:tc>
          <w:tcPr>
            <w:tcW w:type="dxa" w:w="26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Fecha de emisión</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29-10-2026</w:t>
            </w:r>
          </w:p>
        </w:tc>
      </w:tr>
      <w:tr>
        <w:tc>
          <w:tcPr>
            <w:tcW w:type="dxa" w:w="26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Estado</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En revisión</w:t>
            </w:r>
          </w:p>
        </w:tc>
      </w:tr>
      <w:tr>
        <w:tc>
          <w:tcPr>
            <w:tcW w:type="dxa" w:w="26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Clasificación</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Uso académico interno</w:t>
            </w:r>
          </w:p>
        </w:tc>
      </w:tr>
      <w:tr>
        <w:tc>
          <w:tcPr>
            <w:tcW w:type="dxa" w:w="26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Equipo</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Equipo individual (autorizado por el docente)</w:t>
            </w:r>
          </w:p>
        </w:tc>
      </w:tr>
      <w:tr>
        <w:tc>
          <w:tcPr>
            <w:tcW w:type="dxa" w:w="26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Integrantes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Solange Valladares</w:t>
            </w:r>
          </w:p>
        </w:tc>
      </w:tr>
      <w:tr>
        <w:tc>
          <w:tcPr>
            <w:tcW w:type="dxa" w:w="26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Repositorio</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https://github.com/solange1988/pasteleria-mil-sabores-react · rama main</w:t>
            </w:r>
          </w:p>
        </w:tc>
      </w:tr>
    </w:tbl>
    <w:p>
      <w:pPr>
        <w:spacing w:after="80"/>
      </w:pPr>
    </w:p>
    <w:p>
      <w:pPr>
        <w:pStyle w:val="Heading1"/>
        <w:keepNext/>
        <w:spacing w:after="120" w:before="320"/>
      </w:pPr>
      <w:r>
        <w:rPr>
          <w:rFonts w:ascii="Arial" w:cs="Arial" w:eastAsia="Arial" w:hAnsi="Arial"/>
          <w:b/>
          <w:bCs/>
          <w:color w:val="5D4037"/>
          <w:sz w:val="30"/>
          <w:szCs w:val="30"/>
        </w:rPr>
        <w:t xml:space="preserve">Control del documento</w:t>
      </w:r>
    </w:p>
    <w:p>
      <w:pPr>
        <w:keepNext/>
        <w:spacing w:after="80" w:line="276"/>
      </w:pPr>
      <w:r>
        <w:rPr>
          <w:rFonts w:ascii="Arial" w:cs="Arial" w:eastAsia="Arial" w:hAnsi="Arial"/>
          <w:b/>
          <w:bCs/>
          <w:sz w:val="20"/>
          <w:szCs w:val="20"/>
        </w:rPr>
        <w:t xml:space="preserve">Tabla 1 — 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4760"/>
      </w:tblGrid>
      <w:tr>
        <w:trPr>
          <w:tblHeader/>
        </w:trPr>
        <w:tc>
          <w:tcPr>
            <w:tcW w:type="dxa" w:w="11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Versión</w:t>
            </w:r>
          </w:p>
        </w:tc>
        <w:tc>
          <w:tcPr>
            <w:tcW w:type="dxa" w:w="15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Fecha</w:t>
            </w:r>
          </w:p>
        </w:tc>
        <w:tc>
          <w:tcPr>
            <w:tcW w:type="dxa" w:w="20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Autor</w:t>
            </w:r>
          </w:p>
        </w:tc>
        <w:tc>
          <w:tcPr>
            <w:tcW w:type="dxa" w:w="47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Descripción del cambio</w:t>
            </w:r>
          </w:p>
        </w:tc>
      </w:tr>
      <w:t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29-10-2026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Solange Valladares</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Primera versión emitida: medición con Jasmine y Karma sobre el proyecto final: 198 pruebas, cobertura global sobre el 80 %.</w:t>
            </w:r>
          </w:p>
        </w:tc>
      </w:tr>
    </w:tbl>
    <w:p>
      <w:pPr>
        <w:spacing w:after="80"/>
      </w:pPr>
    </w:p>
    <w:p>
      <w:pPr>
        <w:keepNext/>
        <w:spacing w:after="80" w:line="276"/>
      </w:pPr>
      <w:r>
        <w:rPr>
          <w:rFonts w:ascii="Arial" w:cs="Arial" w:eastAsia="Arial" w:hAnsi="Arial"/>
          <w:b/>
          <w:bCs/>
          <w:sz w:val="20"/>
          <w:szCs w:val="20"/>
        </w:rPr>
        <w:t xml:space="preserve">Tabla 2 — Revisión y aprobación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200"/>
        <w:gridCol w:w="1500"/>
        <w:gridCol w:w="1560"/>
      </w:tblGrid>
      <w:tr>
        <w:trPr>
          <w:tblHeader/>
        </w:trPr>
        <w:tc>
          <w:tcPr>
            <w:tcW w:type="dxa" w:w="18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Rol</w:t>
            </w:r>
          </w:p>
        </w:tc>
        <w:tc>
          <w:tcPr>
            <w:tcW w:type="dxa" w:w="23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Nombre</w:t>
            </w:r>
          </w:p>
        </w:tc>
        <w:tc>
          <w:tcPr>
            <w:tcW w:type="dxa" w:w="22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Cargo</w:t>
            </w:r>
          </w:p>
        </w:tc>
        <w:tc>
          <w:tcPr>
            <w:tcW w:type="dxa" w:w="15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Fecha</w:t>
            </w:r>
          </w:p>
        </w:tc>
        <w:tc>
          <w:tcPr>
            <w:tcW w:type="dxa" w:w="15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Firma</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Elaborado por</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Solange Valladares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Integrante del equipo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29-10-2026</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Revisado por</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No aplica (equipo de una integrante)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Aprobado por</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Docente de la asignatura</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Docente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
            </w:r>
          </w:p>
        </w:tc>
      </w:tr>
    </w:tbl>
    <w:p>
      <w:pPr>
        <w:pStyle w:val="Heading1"/>
        <w:keepNext/>
        <w:spacing w:after="120" w:before="320"/>
      </w:pPr>
      <w:r>
        <w:rPr>
          <w:rFonts w:ascii="Arial" w:cs="Arial" w:eastAsia="Arial" w:hAnsi="Arial"/>
          <w:b/>
          <w:bCs/>
          <w:color w:val="5D4037"/>
          <w:sz w:val="30"/>
          <w:szCs w:val="30"/>
        </w:rPr>
        <w:t xml:space="preserve">1 Objeto y alcance</w:t>
      </w:r>
    </w:p>
    <w:p>
      <w:pPr>
        <w:pStyle w:val="Heading2"/>
        <w:keepNext/>
        <w:spacing w:after="120" w:before="200"/>
      </w:pPr>
      <w:r>
        <w:rPr>
          <w:rFonts w:ascii="Arial" w:cs="Arial" w:eastAsia="Arial" w:hAnsi="Arial"/>
          <w:b/>
          <w:bCs/>
          <w:color w:val="5D4037"/>
          <w:sz w:val="26"/>
          <w:szCs w:val="26"/>
        </w:rPr>
        <w:t xml:space="preserve">1.1 Objeto</w:t>
      </w:r>
    </w:p>
    <w:p>
      <w:pPr>
        <w:spacing w:after="120" w:line="276"/>
      </w:pPr>
      <w:r>
        <w:rPr>
          <w:rFonts w:ascii="Arial" w:cs="Arial" w:eastAsia="Arial" w:hAnsi="Arial"/>
          <w:sz w:val="22"/>
          <w:szCs w:val="22"/>
        </w:rPr>
        <w:t xml:space="preserve">Este documento informa los resultados de la medición de cobertura de las pruebas automatizadas del proyecto Pastelería Mil Sabores (frontend en React), ejecutadas el 29-10-2026 con Jasmine y Karma y el proveedor de cobertura karma-coverage (Istanbul), y evalúa si esos resultados cumplen los criterios de completitud de la sección 4.</w:t>
      </w:r>
    </w:p>
    <w:p>
      <w:pPr>
        <w:pStyle w:val="Heading2"/>
        <w:keepNext/>
        <w:spacing w:after="120" w:before="200"/>
      </w:pPr>
      <w:r>
        <w:rPr>
          <w:rFonts w:ascii="Arial" w:cs="Arial" w:eastAsia="Arial" w:hAnsi="Arial"/>
          <w:b/>
          <w:bCs/>
          <w:color w:val="5D4037"/>
          <w:sz w:val="26"/>
          <w:szCs w:val="26"/>
        </w:rPr>
        <w:t xml:space="preserve">1.2 Alcance</w:t>
      </w:r>
    </w:p>
    <w:p>
      <w:pPr>
        <w:spacing w:after="120" w:line="276"/>
      </w:pPr>
      <w:r>
        <w:rPr>
          <w:rFonts w:ascii="Arial" w:cs="Arial" w:eastAsia="Arial" w:hAnsi="Arial"/>
          <w:sz w:val="22"/>
          <w:szCs w:val="22"/>
        </w:rPr>
        <w:t xml:space="preserve">Se midió todo el código de la carpeta src/ salvo lo indicado en la tabla 4. Las pruebas son unitarias (funciones puras y archivos de datos) y de componente (React Testing Library sobre un DOM real en Chrome Headless).</w:t>
      </w:r>
    </w:p>
    <w:p>
      <w:pPr>
        <w:keepNext/>
        <w:spacing w:after="80" w:line="276"/>
      </w:pPr>
      <w:r>
        <w:rPr>
          <w:rFonts w:ascii="Arial" w:cs="Arial" w:eastAsia="Arial" w:hAnsi="Arial"/>
          <w:b/>
          <w:bCs/>
          <w:sz w:val="20"/>
          <w:szCs w:val="20"/>
        </w:rPr>
        <w:t xml:space="preserve">Tabla 3 — Elementos de prueba incluidos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560"/>
        <w:gridCol w:w="1900"/>
      </w:tblGrid>
      <w:tr>
        <w:trPr>
          <w:tblHeader/>
        </w:trPr>
        <w:tc>
          <w:tcPr>
            <w:tcW w:type="dxa" w:w="29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Elemento</w:t>
            </w:r>
          </w:p>
        </w:tc>
        <w:tc>
          <w:tcPr>
            <w:tcW w:type="dxa" w:w="45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Descripción</w:t>
            </w:r>
          </w:p>
        </w:tc>
        <w:tc>
          <w:tcPr>
            <w:tcW w:type="dxa" w:w="19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Tipo de prueba</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src/utils/ (carrito, descuentos, formato, reportes, validaciones)</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Cálculo del carrito, descuentos, formato de precios, reportes de ventas y reglas de validación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Unitaria</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src/data/ (productos, usuarios, ordenes, blogs, regiones)</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CRUD con persistencia en localStorage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Unitaria</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src/hooks/useFormulario.js</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Manejo de valores y errores de los formularios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De componente</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src/components/ (11 componentes)</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Encabezado, tarjetas, tabla del carrito, campos de formulario, listas y reportes del panel admin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De componente</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src/pages/ (15 páginas)</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Inicio, Productos, Categorías, Ofertas, Carrito, Checkout, Registro, Login, Perfil, Admin, Blogs, Nosotros, Contacto</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De componente</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src/App.jsx</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Rutas por hash, sesión y carrito persistidos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De componente</w:t>
            </w:r>
          </w:p>
        </w:tc>
      </w:tr>
    </w:tbl>
    <w:p>
      <w:pPr>
        <w:spacing w:after="80"/>
      </w:pPr>
    </w:p>
    <w:p>
      <w:pPr>
        <w:keepNext/>
        <w:spacing w:after="80" w:line="276"/>
      </w:pPr>
      <w:r>
        <w:rPr>
          <w:rFonts w:ascii="Arial" w:cs="Arial" w:eastAsia="Arial" w:hAnsi="Arial"/>
          <w:b/>
          <w:bCs/>
          <w:sz w:val="20"/>
          <w:szCs w:val="20"/>
        </w:rPr>
        <w:t xml:space="preserve">Tabla 4 — Elementos excluidos de la medición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Elemento</w:t>
            </w:r>
          </w:p>
        </w:tc>
        <w:tc>
          <w:tcPr>
            <w:tcW w:type="dxa" w:w="63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Motivo de la exclusión</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src/main.jsx</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Punto de entrada: solo monta la aplicación y no contiene lógica propia.</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src/test/ y src/karma/</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Son los archivos de prueba; no forman parte del producto.</w:t>
            </w:r>
          </w:p>
        </w:tc>
      </w:tr>
    </w:tbl>
    <w:p>
      <w:pPr>
        <w:spacing w:after="120" w:line="276"/>
      </w:pPr>
      <w:r>
        <w:rPr>
          <w:rFonts w:ascii="Arial" w:cs="Arial" w:eastAsia="Arial" w:hAnsi="Arial"/>
          <w:sz w:val="22"/>
          <w:szCs w:val="22"/>
        </w:rPr>
        <w:t xml:space="preserve">Estas exclusiones coinciden con la configuración de la sección 3.2. No se excluyó ningún archivo con lógica para mejorar el porcentaje.</w:t>
      </w:r>
    </w:p>
    <w:p>
      <w:pPr>
        <w:pStyle w:val="Heading1"/>
        <w:keepNext/>
        <w:spacing w:after="120" w:before="320"/>
      </w:pPr>
      <w:r>
        <w:rPr>
          <w:rFonts w:ascii="Arial" w:cs="Arial" w:eastAsia="Arial" w:hAnsi="Arial"/>
          <w:b/>
          <w:bCs/>
          <w:color w:val="5D4037"/>
          <w:sz w:val="30"/>
          <w:szCs w:val="30"/>
        </w:rPr>
        <w:t xml:space="preserve">2 Términos, definiciones y abreviaturas</w:t>
      </w:r>
    </w:p>
    <w:p>
      <w:pPr>
        <w:pStyle w:val="Heading2"/>
        <w:keepNext/>
        <w:spacing w:after="120" w:before="200"/>
      </w:pPr>
      <w:r>
        <w:rPr>
          <w:rFonts w:ascii="Arial" w:cs="Arial" w:eastAsia="Arial" w:hAnsi="Arial"/>
          <w:b/>
          <w:bCs/>
          <w:color w:val="5D4037"/>
          <w:sz w:val="26"/>
          <w:szCs w:val="26"/>
        </w:rPr>
        <w:t xml:space="preserve">2.1 Términos y definiciones</w:t>
      </w:r>
    </w:p>
    <w:p>
      <w:pPr>
        <w:keepNext/>
        <w:spacing w:after="80" w:line="276"/>
      </w:pPr>
      <w:r>
        <w:rPr>
          <w:rFonts w:ascii="Arial" w:cs="Arial" w:eastAsia="Arial" w:hAnsi="Arial"/>
          <w:b/>
          <w:bCs/>
          <w:sz w:val="20"/>
          <w:szCs w:val="20"/>
        </w:rPr>
        <w:t xml:space="preserve">Tabla 5 — Términos y definiciones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Término</w:t>
            </w:r>
          </w:p>
        </w:tc>
        <w:tc>
          <w:tcPr>
            <w:tcW w:type="dxa" w:w="69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Definición</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elemento de prueba</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Parte del software que es objeto de prueba. En este informe, un archivo de código fuente.</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caso de prueba</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Conjunto de precondiciones, entradas y resultados esperados que verifica un comportamiento. En Jasmine, cada bloque it.</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mock (espía)</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Objeto que reemplaza a una dependencia para observar cómo se usa. En Jasmine se crea con jasmine.createSpy o spyOn.</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cobertura de sentencias</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Porcentaje de sentencias ejecutables que se ejecutaron al menos una vez (columna % Stmts).</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cobertura de ramas</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Porcentaje de los caminos de cada decisión (if/else, ?:, &amp;&amp;, ||) recorridos al menos una vez (columna % Branch).</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cobertura de funciones</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Porcentaje de funciones invocadas al menos una vez (columna % Funcs).</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cobertura de líneas</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Porcentaje de líneas con código ejecutable que se ejecutaron al menos una vez (columna % Lines).</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criterio de completitud</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Condición que debe cumplirse para dar por terminadas las pruebas.</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umbral de cobertura</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Porcentaje mínimo aceptable para una métrica de cobertura. En este proyecto es 80 %.</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riesgo residual</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Riesgo que permanece una vez terminadas las pruebas.</w:t>
            </w:r>
          </w:p>
        </w:tc>
      </w:tr>
    </w:tbl>
    <w:p>
      <w:pPr>
        <w:pStyle w:val="Heading2"/>
        <w:keepNext/>
        <w:spacing w:after="120" w:before="200"/>
      </w:pPr>
      <w:r>
        <w:rPr>
          <w:rFonts w:ascii="Arial" w:cs="Arial" w:eastAsia="Arial" w:hAnsi="Arial"/>
          <w:b/>
          <w:bCs/>
          <w:color w:val="5D4037"/>
          <w:sz w:val="26"/>
          <w:szCs w:val="26"/>
        </w:rPr>
        <w:t xml:space="preserve">2.2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Abreviatura</w:t>
            </w:r>
          </w:p>
        </w:tc>
        <w:tc>
          <w:tcPr>
            <w:tcW w:type="dxa" w:w="69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Significado</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ICP</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Informe de cobertura de pruebas</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Criterio de completitud</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NC</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Elemento no cubierto</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RR</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Riesgo residual</w:t>
            </w:r>
          </w:p>
        </w:tc>
      </w:tr>
    </w:tbl>
    <w:p>
      <w:pPr>
        <w:pStyle w:val="Heading2"/>
        <w:keepNext/>
        <w:spacing w:after="120" w:before="200"/>
      </w:pPr>
      <w:r>
        <w:rPr>
          <w:rFonts w:ascii="Arial" w:cs="Arial" w:eastAsia="Arial" w:hAnsi="Arial"/>
          <w:b/>
          <w:bCs/>
          <w:color w:val="5D4037"/>
          <w:sz w:val="26"/>
          <w:szCs w:val="26"/>
        </w:rPr>
        <w:t xml:space="preserve">2.3 Formas verbales</w:t>
      </w:r>
    </w:p>
    <w:p>
      <w:pPr>
        <w:spacing w:after="120" w:line="276"/>
      </w:pPr>
      <w:r>
        <w:rPr>
          <w:rFonts w:ascii="Arial" w:cs="Arial" w:eastAsia="Arial" w:hAnsi="Arial"/>
          <w:sz w:val="22"/>
          <w:szCs w:val="22"/>
        </w:rPr>
        <w:t xml:space="preserve">En este documento «debe» indica un requisito obligatorio, «debería» una recomendación y «puede» un permiso.</w:t>
      </w:r>
    </w:p>
    <w:p>
      <w:pPr>
        <w:pStyle w:val="Heading1"/>
        <w:keepNext/>
        <w:spacing w:after="120" w:before="320"/>
      </w:pPr>
      <w:r>
        <w:rPr>
          <w:rFonts w:ascii="Arial" w:cs="Arial" w:eastAsia="Arial" w:hAnsi="Arial"/>
          <w:b/>
          <w:bCs/>
          <w:color w:val="5D4037"/>
          <w:sz w:val="30"/>
          <w:szCs w:val="30"/>
        </w:rPr>
        <w:t xml:space="preserve">3 Entorno y método de medición</w:t>
      </w:r>
    </w:p>
    <w:p>
      <w:pPr>
        <w:pStyle w:val="Heading2"/>
        <w:keepNext/>
        <w:spacing w:after="120" w:before="200"/>
      </w:pPr>
      <w:r>
        <w:rPr>
          <w:rFonts w:ascii="Arial" w:cs="Arial" w:eastAsia="Arial" w:hAnsi="Arial"/>
          <w:b/>
          <w:bCs/>
          <w:color w:val="5D4037"/>
          <w:sz w:val="26"/>
          <w:szCs w:val="26"/>
        </w:rPr>
        <w:t xml:space="preserve">3.1 Entorno de ejecución</w:t>
      </w:r>
    </w:p>
    <w:p>
      <w:pPr>
        <w:keepNext/>
        <w:spacing w:after="80" w:line="276"/>
      </w:pPr>
      <w:r>
        <w:rPr>
          <w:rFonts w:ascii="Arial" w:cs="Arial" w:eastAsia="Arial" w:hAnsi="Arial"/>
          <w:b/>
          <w:bCs/>
          <w:sz w:val="20"/>
          <w:szCs w:val="20"/>
        </w:rPr>
        <w:t xml:space="preserve">Tabla 6 — Entorno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Sistema operativo</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Ubuntu 24.04.5 LTS (entorno de ejecución de la medición)</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Node.js</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22.23.4</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npm</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10.9.9</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Jasmine (jasmine-core)</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7.0.2</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Karma</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6.4.4</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karma-jasmine</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5.1.0</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karma-coverage (Istanbul)</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2.2.1</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Compilador de pruebas</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esbuild 0.28.2 con karma-esbuild 2.3.0</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Navegador de pruebas</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Chrome Headless 153 (Chromium 153.0.8010.0)</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React / React DOM</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19.3.1</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React-Bootstrap / Bootstrap</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2.10.10 / 5.3.8</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@testing-library/react</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16.3.3</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@testing-library/user-event</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14.6.8</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@testing-library/jasmine-dom</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1.3.3</w:t>
            </w:r>
          </w:p>
        </w:tc>
      </w:tr>
    </w:tbl>
    <w:p>
      <w:pPr>
        <w:pStyle w:val="Heading2"/>
        <w:keepNext/>
        <w:spacing w:after="120" w:before="200"/>
      </w:pPr>
      <w:r>
        <w:rPr>
          <w:rFonts w:ascii="Arial" w:cs="Arial" w:eastAsia="Arial" w:hAnsi="Arial"/>
          <w:b/>
          <w:bCs/>
          <w:color w:val="5D4037"/>
          <w:sz w:val="26"/>
          <w:szCs w:val="26"/>
        </w:rPr>
        <w:t xml:space="preserve">3.2 Configuración de la cobertura</w:t>
      </w:r>
    </w:p>
    <w:p>
      <w:pPr>
        <w:spacing w:after="120" w:line="276"/>
      </w:pPr>
      <w:r>
        <w:rPr>
          <w:rFonts w:ascii="Arial" w:cs="Arial" w:eastAsia="Arial" w:hAnsi="Arial"/>
          <w:sz w:val="22"/>
          <w:szCs w:val="22"/>
        </w:rPr>
        <w:t xml:space="preserve">Extracto de karma.conf.cjs vigente al momento de la medición:</w:t>
      </w:r>
    </w:p>
    <w:p>
      <w:pPr>
        <w:spacing w:after="20" w:line="276"/>
        <w:ind w:left="360"/>
      </w:pPr>
      <w:r>
        <w:rPr>
          <w:rFonts w:ascii="Arial" w:cs="Arial" w:eastAsia="Arial" w:hAnsi="Arial"/>
          <w:sz w:val="19"/>
          <w:szCs w:val="19"/>
        </w:rPr>
        <w:t xml:space="preserve">frameworks: ['jasmine']</w:t>
      </w:r>
    </w:p>
    <w:p>
      <w:pPr>
        <w:spacing w:after="20" w:line="276"/>
        <w:ind w:left="360"/>
      </w:pPr>
      <w:r>
        <w:rPr>
          <w:rFonts w:ascii="Arial" w:cs="Arial" w:eastAsia="Arial" w:hAnsi="Arial"/>
          <w:sz w:val="19"/>
          <w:szCs w:val="19"/>
        </w:rPr>
        <w:t xml:space="preserve">browsers: ['ChromeHeadless']  // en la medición: ChromeHeadlessSinSandbox</w:t>
      </w:r>
    </w:p>
    <w:p>
      <w:pPr>
        <w:spacing w:after="20" w:line="276"/>
        <w:ind w:left="360"/>
      </w:pPr>
      <w:r>
        <w:rPr>
          <w:rFonts w:ascii="Arial" w:cs="Arial" w:eastAsia="Arial" w:hAnsi="Arial"/>
          <w:sz w:val="19"/>
          <w:szCs w:val="19"/>
        </w:rPr>
        <w:t xml:space="preserve">reporters: ['spec', 'coverage']  // con --cobertura</w:t>
      </w:r>
    </w:p>
    <w:p>
      <w:pPr>
        <w:spacing w:after="20" w:line="276"/>
        <w:ind w:left="360"/>
      </w:pPr>
      <w:r>
        <w:rPr>
          <w:rFonts w:ascii="Arial" w:cs="Arial" w:eastAsia="Arial" w:hAnsi="Arial"/>
          <w:sz w:val="19"/>
          <w:szCs w:val="19"/>
        </w:rPr>
        <w:t xml:space="preserve">coverageReporter: { dir: 'cobertura', reporters: [html, text, json-summary] }</w:t>
      </w:r>
    </w:p>
    <w:p>
      <w:pPr>
        <w:spacing w:after="20" w:line="276"/>
        <w:ind w:left="360"/>
      </w:pPr>
      <w:r>
        <w:rPr>
          <w:rFonts w:ascii="Arial" w:cs="Arial" w:eastAsia="Arial" w:hAnsi="Arial"/>
          <w:sz w:val="19"/>
          <w:szCs w:val="19"/>
        </w:rPr>
        <w:t xml:space="preserve">// con --cobertura se carga TODO src/ salvo main.jsx, src/test y src/karma</w:t>
      </w:r>
    </w:p>
    <w:p>
      <w:pPr>
        <w:spacing w:after="20" w:line="276"/>
        <w:ind w:left="360"/>
      </w:pPr>
      <w:r>
        <w:rPr>
          <w:rFonts w:ascii="Arial" w:cs="Arial" w:eastAsia="Arial" w:hAnsi="Arial"/>
          <w:sz w:val="19"/>
          <w:szCs w:val="19"/>
        </w:rPr>
        <w:t xml:space="preserve">// (así los archivos sin pruebas aparecen con 0 % y no inflan el total)</w:t>
      </w:r>
    </w:p>
    <w:p>
      <w:pPr>
        <w:spacing w:after="120" w:line="276"/>
      </w:pPr>
      <w:r>
        <w:rPr>
          <w:rFonts w:ascii="Arial" w:cs="Arial" w:eastAsia="Arial" w:hAnsi="Arial"/>
          <w:sz w:val="22"/>
          <w:szCs w:val="22"/>
        </w:rPr>
        <w:t xml:space="preserve">Umbral exigido: 80 % en sentencias, ramas, funciones y líneas.</w:t>
      </w:r>
    </w:p>
    <w:p>
      <w:pPr>
        <w:pStyle w:val="Heading2"/>
        <w:keepNext/>
        <w:spacing w:after="120" w:before="200"/>
      </w:pPr>
      <w:r>
        <w:rPr>
          <w:rFonts w:ascii="Arial" w:cs="Arial" w:eastAsia="Arial" w:hAnsi="Arial"/>
          <w:b/>
          <w:bCs/>
          <w:color w:val="5D4037"/>
          <w:sz w:val="26"/>
          <w:szCs w:val="26"/>
        </w:rPr>
        <w:t xml:space="preserve">3.3 Procedimiento de ejecución</w:t>
      </w:r>
    </w:p>
    <w:p>
      <w:pPr>
        <w:pStyle w:val="ListParagraph"/>
        <w:numPr>
          <w:ilvl w:val="0"/>
          <w:numId w:val="2"/>
        </w:numPr>
        <w:spacing w:after="60" w:line="276"/>
      </w:pPr>
      <w:r>
        <w:rPr>
          <w:rFonts w:ascii="Arial" w:cs="Arial" w:eastAsia="Arial" w:hAnsi="Arial"/>
          <w:sz w:val="22"/>
          <w:szCs w:val="22"/>
        </w:rPr>
        <w:t xml:space="preserve">Abrir la carpeta del proyecto en VS Code y la terminal integrada.</w:t>
      </w:r>
    </w:p>
    <w:p>
      <w:pPr>
        <w:pStyle w:val="ListParagraph"/>
        <w:numPr>
          <w:ilvl w:val="0"/>
          <w:numId w:val="2"/>
        </w:numPr>
        <w:spacing w:after="60" w:line="276"/>
      </w:pPr>
      <w:r>
        <w:rPr>
          <w:rFonts w:ascii="Arial" w:cs="Arial" w:eastAsia="Arial" w:hAnsi="Arial"/>
          <w:sz w:val="22"/>
          <w:szCs w:val="22"/>
        </w:rPr>
        <w:t xml:space="preserve">Instalar las dependencias con npm install (solo la primera vez).</w:t>
      </w:r>
    </w:p>
    <w:p>
      <w:pPr>
        <w:pStyle w:val="ListParagraph"/>
        <w:numPr>
          <w:ilvl w:val="0"/>
          <w:numId w:val="2"/>
        </w:numPr>
        <w:spacing w:after="60" w:line="276"/>
      </w:pPr>
      <w:r>
        <w:rPr>
          <w:rFonts w:ascii="Arial" w:cs="Arial" w:eastAsia="Arial" w:hAnsi="Arial"/>
          <w:sz w:val="22"/>
          <w:szCs w:val="22"/>
        </w:rPr>
        <w:t xml:space="preserve">Ejecutar las pruebas con cobertura: npm run test:cobertura</w:t>
      </w:r>
    </w:p>
    <w:p>
      <w:pPr>
        <w:pStyle w:val="ListParagraph"/>
        <w:numPr>
          <w:ilvl w:val="0"/>
          <w:numId w:val="2"/>
        </w:numPr>
        <w:spacing w:after="60" w:line="276"/>
      </w:pPr>
      <w:r>
        <w:rPr>
          <w:rFonts w:ascii="Arial" w:cs="Arial" w:eastAsia="Arial" w:hAnsi="Arial"/>
          <w:sz w:val="22"/>
          <w:szCs w:val="22"/>
        </w:rPr>
        <w:t xml:space="preserve">Capturar la salida completa de la terminal (figura A.1).</w:t>
      </w:r>
    </w:p>
    <w:p>
      <w:pPr>
        <w:pStyle w:val="ListParagraph"/>
        <w:numPr>
          <w:ilvl w:val="0"/>
          <w:numId w:val="2"/>
        </w:numPr>
        <w:spacing w:after="60" w:line="276"/>
      </w:pPr>
      <w:r>
        <w:rPr>
          <w:rFonts w:ascii="Arial" w:cs="Arial" w:eastAsia="Arial" w:hAnsi="Arial"/>
          <w:sz w:val="22"/>
          <w:szCs w:val="22"/>
        </w:rPr>
        <w:t xml:space="preserve">Abrir cobertura/html/index.html en el navegador y capturar la vista general (figura A.2).</w:t>
      </w:r>
    </w:p>
    <w:p>
      <w:pPr>
        <w:pStyle w:val="Heading1"/>
        <w:keepNext/>
        <w:spacing w:after="120" w:before="320"/>
      </w:pPr>
      <w:r>
        <w:rPr>
          <w:rFonts w:ascii="Arial" w:cs="Arial" w:eastAsia="Arial" w:hAnsi="Arial"/>
          <w:b/>
          <w:bCs/>
          <w:color w:val="5D4037"/>
          <w:sz w:val="30"/>
          <w:szCs w:val="30"/>
        </w:rPr>
        <w:t xml:space="preserve">4 Criterios de completitud</w:t>
      </w:r>
    </w:p>
    <w:p>
      <w:pPr>
        <w:spacing w:after="120" w:line="276"/>
      </w:pPr>
      <w:r>
        <w:rPr>
          <w:rFonts w:ascii="Arial" w:cs="Arial" w:eastAsia="Arial" w:hAnsi="Arial"/>
          <w:sz w:val="22"/>
          <w:szCs w:val="22"/>
        </w:rPr>
        <w:t xml:space="preserve">Las pruebas se consideran completadas cuando se cumplen simultáneamente todos los criterios siguientes:</w:t>
      </w:r>
    </w:p>
    <w:p>
      <w:pPr>
        <w:keepNext/>
        <w:spacing w:after="80" w:line="276"/>
      </w:pPr>
      <w:r>
        <w:rPr>
          <w:rFonts w:ascii="Arial" w:cs="Arial" w:eastAsia="Arial" w:hAnsi="Arial"/>
          <w:b/>
          <w:bCs/>
          <w:sz w:val="20"/>
          <w:szCs w:val="20"/>
        </w:rPr>
        <w:t xml:space="preserve">Tabla 7 — Criterios de completitud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400"/>
        <w:gridCol w:w="3360"/>
      </w:tblGrid>
      <w:tr>
        <w:trPr>
          <w:tblHeader/>
        </w:trPr>
        <w:tc>
          <w:tcPr>
            <w:tcW w:type="dxa" w:w="9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ID</w:t>
            </w:r>
          </w:p>
        </w:tc>
        <w:tc>
          <w:tcPr>
            <w:tcW w:type="dxa" w:w="37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Criterio</w:t>
            </w:r>
          </w:p>
        </w:tc>
        <w:tc>
          <w:tcPr>
            <w:tcW w:type="dxa" w:w="1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Valor exigido</w:t>
            </w:r>
          </w:p>
        </w:tc>
        <w:tc>
          <w:tcPr>
            <w:tcW w:type="dxa" w:w="33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Fuente del dato</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CC-01</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Pruebas fallidas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0</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Resumen de Karma (TOTAL)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CC-02</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Pruebas omitidas o pendientes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0</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Resumen de Karma</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CC-03</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Cobertura de sentencias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 80 %</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Columna % Stmts, fila All files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CC-04</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Cobertura de ramas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 80 %</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Columna % Branch, fila All files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CC-05</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Cobertura de funciones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 80 %</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Columna % Funcs, fila All files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CC-06</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Cobertura de líneas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 80 %</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Columna % Lines, fila All files</w:t>
            </w:r>
          </w:p>
        </w:tc>
      </w:tr>
    </w:tbl>
    <w:p>
      <w:pPr>
        <w:spacing w:after="120" w:line="276"/>
      </w:pPr>
      <w:r>
        <w:rPr>
          <w:rFonts w:ascii="Arial" w:cs="Arial" w:eastAsia="Arial" w:hAnsi="Arial"/>
          <w:sz w:val="22"/>
          <w:szCs w:val="22"/>
        </w:rPr>
        <w:t xml:space="preserve">Los umbrales se definieron antes de medir y no se modificaron.</w:t>
      </w:r>
    </w:p>
    <w:p>
      <w:pPr>
        <w:pStyle w:val="Heading1"/>
        <w:keepNext/>
        <w:spacing w:after="120" w:before="320"/>
      </w:pPr>
      <w:r>
        <w:rPr>
          <w:rFonts w:ascii="Arial" w:cs="Arial" w:eastAsia="Arial" w:hAnsi="Arial"/>
          <w:b/>
          <w:bCs/>
          <w:color w:val="5D4037"/>
          <w:sz w:val="30"/>
          <w:szCs w:val="30"/>
        </w:rPr>
        <w:t xml:space="preserve">5 Resultados de la medición</w:t>
      </w:r>
    </w:p>
    <w:p>
      <w:pPr>
        <w:pStyle w:val="Heading2"/>
        <w:keepNext/>
        <w:spacing w:after="120" w:before="200"/>
      </w:pPr>
      <w:r>
        <w:rPr>
          <w:rFonts w:ascii="Arial" w:cs="Arial" w:eastAsia="Arial" w:hAnsi="Arial"/>
          <w:b/>
          <w:bCs/>
          <w:color w:val="5D4037"/>
          <w:sz w:val="26"/>
          <w:szCs w:val="26"/>
        </w:rPr>
        <w:t xml:space="preserve">5.1 Resumen de la ejecución</w:t>
      </w:r>
    </w:p>
    <w:p>
      <w:pPr>
        <w:keepNext/>
        <w:spacing w:after="80" w:line="276"/>
      </w:pPr>
      <w:r>
        <w:rPr>
          <w:rFonts w:ascii="Arial" w:cs="Arial" w:eastAsia="Arial" w:hAnsi="Arial"/>
          <w:b/>
          <w:bCs/>
          <w:sz w:val="20"/>
          <w:szCs w:val="20"/>
        </w:rPr>
        <w:t xml:space="preserve">Tabla 8 — Resumen de la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Fecha y hora de ejecución</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29-10-2026 08:11</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Archivos de prueba</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25 (23 en src/test y 2 en src/karma)</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Pruebas ejecutadas</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198</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Aprobadas</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198</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Fallidas</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0</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Omitidas (skip)</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0</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Pendientes (todo)</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0</w:t>
            </w:r>
          </w:p>
        </w:tc>
      </w:tr>
      <w:tr>
        <w:tc>
          <w:tcPr>
            <w:tcW w:type="dxa" w:w="3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Duración total</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val="false"/>
                <w:bCs w:val="false"/>
                <w:sz w:val="19"/>
                <w:szCs w:val="19"/>
              </w:rPr>
              <w:t xml:space="preserve">7,64 s</w:t>
            </w:r>
          </w:p>
        </w:tc>
      </w:tr>
    </w:tbl>
    <w:p>
      <w:pPr>
        <w:spacing w:after="120" w:line="276"/>
      </w:pPr>
      <w:r>
        <w:rPr>
          <w:rFonts w:ascii="Arial" w:cs="Arial" w:eastAsia="Arial" w:hAnsi="Arial"/>
          <w:sz w:val="22"/>
          <w:szCs w:val="22"/>
        </w:rPr>
        <w:t xml:space="preserve">Además, la suite se ejecutó 5 veces seguidas con el orden aleatorio de Jasmine activado, con 198 de 198 pruebas aprobadas cada vez. La medición se repitió el mismo día en un segundo equipo (Windows 10, Node.js con Chrome Headless 156) y entregó resultados idénticos: 198 de 198 pruebas aprobadas y cobertura de 90,48 % en sentencias (504/557), 91 % en ramas (334/367), 90,78 % en funciones (197/217) y 95,28 % en líneas (424/445).</w:t>
      </w:r>
    </w:p>
    <w:p>
      <w:pPr>
        <w:pStyle w:val="Heading2"/>
        <w:keepNext/>
        <w:spacing w:after="120" w:before="200"/>
      </w:pPr>
      <w:r>
        <w:rPr>
          <w:rFonts w:ascii="Arial" w:cs="Arial" w:eastAsia="Arial" w:hAnsi="Arial"/>
          <w:b/>
          <w:bCs/>
          <w:color w:val="5D4037"/>
          <w:sz w:val="26"/>
          <w:szCs w:val="26"/>
        </w:rPr>
        <w:t xml:space="preserve">5.2 Cobertura global</w:t>
      </w:r>
    </w:p>
    <w:p>
      <w:pPr>
        <w:keepNext/>
        <w:spacing w:after="80" w:line="276"/>
      </w:pPr>
      <w:r>
        <w:rPr>
          <w:rFonts w:ascii="Arial" w:cs="Arial" w:eastAsia="Arial" w:hAnsi="Arial"/>
          <w:b/>
          <w:bCs/>
          <w:sz w:val="20"/>
          <w:szCs w:val="20"/>
        </w:rPr>
        <w:t xml:space="preserve">Tabla 9 — Cobertura global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700"/>
        <w:gridCol w:w="1500"/>
        <w:gridCol w:w="2160"/>
      </w:tblGrid>
      <w:tr>
        <w:trPr>
          <w:tblHeader/>
        </w:trPr>
        <w:tc>
          <w:tcPr>
            <w:tcW w:type="dxa" w:w="19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Métrica</w:t>
            </w:r>
          </w:p>
        </w:tc>
        <w:tc>
          <w:tcPr>
            <w:tcW w:type="dxa" w:w="21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Cubiertos / Total</w:t>
            </w:r>
          </w:p>
        </w:tc>
        <w:tc>
          <w:tcPr>
            <w:tcW w:type="dxa" w:w="17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Porcentaje</w:t>
            </w:r>
          </w:p>
        </w:tc>
        <w:tc>
          <w:tcPr>
            <w:tcW w:type="dxa" w:w="15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Umbral</w:t>
            </w:r>
          </w:p>
        </w:tc>
        <w:tc>
          <w:tcPr>
            <w:tcW w:type="dxa" w:w="21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Resultado</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Sentencias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504 / 557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90,48 %</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80 %</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Cumple</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Ramas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334 / 367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91,00 %</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80 %</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Cumple</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Funciones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197 / 217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90,78 %</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80 %</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Cumple</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Líneas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424 / 445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95,28 %</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80 %</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Cumple</w:t>
            </w:r>
          </w:p>
        </w:tc>
      </w:tr>
    </w:tbl>
    <w:p>
      <w:pPr>
        <w:spacing w:after="80"/>
      </w:pPr>
    </w:p>
    <w:p>
      <w:pPr>
        <w:pStyle w:val="Heading2"/>
        <w:keepNext/>
        <w:spacing w:after="120" w:before="200"/>
      </w:pPr>
      <w:r>
        <w:rPr>
          <w:rFonts w:ascii="Arial" w:cs="Arial" w:eastAsia="Arial" w:hAnsi="Arial"/>
          <w:b/>
          <w:bCs/>
          <w:color w:val="5D4037"/>
          <w:sz w:val="26"/>
          <w:szCs w:val="26"/>
        </w:rPr>
        <w:t xml:space="preserve">5.3 Cobertura por elemento de prueba</w:t>
      </w:r>
    </w:p>
    <w:p>
      <w:pPr>
        <w:spacing w:after="120" w:line="276"/>
      </w:pPr>
      <w:r>
        <w:rPr>
          <w:rFonts w:ascii="Arial" w:cs="Arial" w:eastAsia="Arial" w:hAnsi="Arial"/>
          <w:sz w:val="22"/>
          <w:szCs w:val="22"/>
        </w:rPr>
        <w:t xml:space="preserve">Se listan los archivos con alguna métrica bajo 100 %, ordenados de menor a mayor cobertura de ramas. Los otros 27 archivos de src/ están al 100 % en las cuatro métricas.</w:t>
      </w:r>
    </w:p>
    <w:p>
      <w:pPr>
        <w:keepNext/>
        <w:spacing w:after="80" w:line="276"/>
      </w:pPr>
      <w:r>
        <w:rPr>
          <w:rFonts w:ascii="Arial" w:cs="Arial" w:eastAsia="Arial" w:hAnsi="Arial"/>
          <w:b/>
          <w:bCs/>
          <w:sz w:val="20"/>
          <w:szCs w:val="20"/>
        </w:rPr>
        <w:t xml:space="preserve">Tabla 10 — Cobertura por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50"/>
        <w:gridCol w:w="950"/>
        <w:gridCol w:w="950"/>
        <w:gridCol w:w="950"/>
        <w:gridCol w:w="2660"/>
      </w:tblGrid>
      <w:tr>
        <w:trPr>
          <w:tblHeader/>
        </w:trPr>
        <w:tc>
          <w:tcPr>
            <w:tcW w:type="dxa" w:w="29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Archivo</w:t>
            </w:r>
          </w:p>
        </w:tc>
        <w:tc>
          <w:tcPr>
            <w:tcW w:type="dxa" w:w="95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 Sent.</w:t>
            </w:r>
          </w:p>
        </w:tc>
        <w:tc>
          <w:tcPr>
            <w:tcW w:type="dxa" w:w="95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 Ramas</w:t>
            </w:r>
          </w:p>
        </w:tc>
        <w:tc>
          <w:tcPr>
            <w:tcW w:type="dxa" w:w="95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 Func.</w:t>
            </w:r>
          </w:p>
        </w:tc>
        <w:tc>
          <w:tcPr>
            <w:tcW w:type="dxa" w:w="95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 Líneas</w:t>
            </w:r>
          </w:p>
        </w:tc>
        <w:tc>
          <w:tcPr>
            <w:tcW w:type="dxa" w:w="26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Líneas sin cubrir</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src/App.jsx</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55,40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52,17</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50,00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68,08</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67-68, 71-72, 78-80, 83-87, 90-92</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src/pages/Productos.jsx</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87,50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66,66</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80,00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87,50</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35</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src/utils/carrito.js</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88,88</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66,66</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91,66</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91,66</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28</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src/data/ordenes.js</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85,71</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58</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src/pages/Checkout.jsx</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86,66</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24, 45, 104</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src/hooks/useFormulario.js</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91,30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88,88</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87,50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23</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src/components/AdminProductos.jsx</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96,96</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90,00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59-71</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src/utils/descuentos.js</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92,30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19, 27, 49</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src/utils/validaciones.js</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93,82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92,42</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17, 31, 46, 54, 62</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src/pages/Admin.jsx</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52,94</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92,85</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28,57</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75,00</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74, 82-83</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src/components/TablaCarrito.jsx</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83,33</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80,00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83,33</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34</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Total (All files)</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90,48</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91,00</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90,78</w:t>
            </w:r>
          </w:p>
        </w:tc>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95,28</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w:t>
            </w:r>
          </w:p>
        </w:tc>
      </w:tr>
    </w:tbl>
    <w:p>
      <w:pPr>
        <w:spacing w:after="120" w:line="276"/>
      </w:pPr>
      <w:r>
        <w:rPr>
          <w:rFonts w:ascii="Arial" w:cs="Arial" w:eastAsia="Arial" w:hAnsi="Arial"/>
          <w:sz w:val="19"/>
          <w:szCs w:val="19"/>
        </w:rPr>
        <w:t xml:space="preserve">Nota: la columna «Líneas sin cubrir» indica las líneas exactas que muestra el informe HTML. La terminal las agrupa en rangos (por ejemplo, 74-83 en Admin.jsx); en archivos con 100 % de líneas, el número indica una rama no recorrida.</w:t>
      </w:r>
    </w:p>
    <w:p>
      <w:pPr>
        <w:pStyle w:val="Heading2"/>
        <w:keepNext/>
        <w:spacing w:after="120" w:before="200"/>
      </w:pPr>
      <w:r>
        <w:rPr>
          <w:rFonts w:ascii="Arial" w:cs="Arial" w:eastAsia="Arial" w:hAnsi="Arial"/>
          <w:b/>
          <w:bCs/>
          <w:color w:val="5D4037"/>
          <w:sz w:val="26"/>
          <w:szCs w:val="26"/>
        </w:rPr>
        <w:t xml:space="preserve">5.4 Qué verifica cada archivo de prueba</w:t>
      </w:r>
    </w:p>
    <w:p>
      <w:pPr>
        <w:keepNext/>
        <w:spacing w:after="80" w:line="276"/>
      </w:pPr>
      <w:r>
        <w:rPr>
          <w:rFonts w:ascii="Arial" w:cs="Arial" w:eastAsia="Arial" w:hAnsi="Arial"/>
          <w:b/>
          <w:bCs/>
          <w:sz w:val="20"/>
          <w:szCs w:val="20"/>
        </w:rPr>
        <w:t xml:space="preserve">Tabla 11 — Pruebas por archivo y uso de mocks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Archivos</w:t>
            </w:r>
          </w:p>
        </w:tc>
        <w:tc>
          <w:tcPr>
            <w:tcW w:type="dxa" w:w="10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Pruebas</w:t>
            </w:r>
          </w:p>
        </w:tc>
        <w:tc>
          <w:tcPr>
            <w:tcW w:type="dxa" w:w="56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Qué verifican</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validaciones.test.js · validacionesRegistro.test.js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23</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Correo (dominios permitidos), contraseña 4–10 caracteres, confirmaciones, fecha de nacimiento y código promocional.</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descuentos.test.js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12</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Descuento 50 % por edad, FELICES50 (10 %), no acumulación (se aplica el mayor), torta gratis por cumpleaños con correo Duoc.</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logicaCarrito.test.js · Carrito.test.js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12</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Agregar, quitar, cambiar cantidad y total; la tabla del carrito dispara los eventos con espías (mock).</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productos.test.js · ofertas.test.js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11</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CRUD de productos en localStorage (espía sobre Storage.setItem), ofertas y stock crítico.</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usuarios.test.js · ordenes.test.js · reportes.test.js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22</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Registro y autenticación, órdenes desde la 1001, pago rechazado sin stock, reportes de ventas.</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Login.test.js · Registro.test.js · Perfil.test.js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23</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Formularios: errores por campo, envío correcto, usuario inexistente, edición del perfil.</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Checkout.test.js · Catalogo.test.js · TarjetaProducto.test.js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14</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Compra exitosa y fallida, catálogo, insignia de oferta y precio tachado.</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Admin.test.js · AdminProductos.test.js · ListasAdmin.test.js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26</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Control de acceso (sin sesión / sin permiso), pestañas del panel, CRUD de productos, listas de órdenes y usuarios.</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Encabezado.test.js · Vistas.test.js · App.test.js · formato.test.js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40</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Menú según rol, páginas públicas, rutas por hash y formato de precios.</w:t>
            </w:r>
          </w:p>
        </w:tc>
      </w:tr>
      <w:t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src/karma/componentes.spec.js · logica.spec.js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15</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Pruebas de la autora con Jasmine y Karma: render condicional, props, eventos y lógica de validación.</w:t>
            </w:r>
          </w:p>
        </w:tc>
      </w:tr>
    </w:tbl>
    <w:p>
      <w:pPr>
        <w:spacing w:after="120" w:line="276"/>
      </w:pPr>
      <w:r>
        <w:rPr>
          <w:rFonts w:ascii="Arial" w:cs="Arial" w:eastAsia="Arial" w:hAnsi="Arial"/>
          <w:sz w:val="22"/>
          <w:szCs w:val="22"/>
        </w:rPr>
        <w:t xml:space="preserve">Todas las pruebas contienen al menos una verificación (expect); Karma no reportó ninguna prueba sin expectativas. Los mocks se usan en 13 de los 25 archivos (jasmine.createSpy para props y callbacks, spyOn para localStorage).</w:t>
      </w:r>
    </w:p>
    <w:p>
      <w:pPr>
        <w:pStyle w:val="Heading1"/>
        <w:keepNext/>
        <w:spacing w:after="120" w:before="320"/>
      </w:pPr>
      <w:r>
        <w:rPr>
          <w:rFonts w:ascii="Arial" w:cs="Arial" w:eastAsia="Arial" w:hAnsi="Arial"/>
          <w:b/>
          <w:bCs/>
          <w:color w:val="5D4037"/>
          <w:sz w:val="30"/>
          <w:szCs w:val="30"/>
        </w:rPr>
        <w:t xml:space="preserve">6 Evaluación de completitud</w:t>
      </w:r>
    </w:p>
    <w:p>
      <w:pPr>
        <w:pStyle w:val="Heading2"/>
        <w:keepNext/>
        <w:spacing w:after="120" w:before="200"/>
      </w:pPr>
      <w:r>
        <w:rPr>
          <w:rFonts w:ascii="Arial" w:cs="Arial" w:eastAsia="Arial" w:hAnsi="Arial"/>
          <w:b/>
          <w:bCs/>
          <w:color w:val="5D4037"/>
          <w:sz w:val="26"/>
          <w:szCs w:val="26"/>
        </w:rPr>
        <w:t xml:space="preserve">6.1 Cumplimiento de los criterios</w:t>
      </w:r>
    </w:p>
    <w:p>
      <w:pPr>
        <w:keepNext/>
        <w:spacing w:after="80" w:line="276"/>
      </w:pPr>
      <w:r>
        <w:rPr>
          <w:rFonts w:ascii="Arial" w:cs="Arial" w:eastAsia="Arial" w:hAnsi="Arial"/>
          <w:b/>
          <w:bCs/>
          <w:sz w:val="20"/>
          <w:szCs w:val="20"/>
        </w:rPr>
        <w:t xml:space="preserve">Tabla 12 — Cumplimiento de los criterios de completitud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800"/>
        <w:gridCol w:w="3160"/>
      </w:tblGrid>
      <w:tr>
        <w:trPr>
          <w:tblHeader/>
        </w:trPr>
        <w:tc>
          <w:tcPr>
            <w:tcW w:type="dxa" w:w="10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ID</w:t>
            </w:r>
          </w:p>
        </w:tc>
        <w:tc>
          <w:tcPr>
            <w:tcW w:type="dxa" w:w="2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Valor exigido</w:t>
            </w:r>
          </w:p>
        </w:tc>
        <w:tc>
          <w:tcPr>
            <w:tcW w:type="dxa" w:w="28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Valor obtenido</w:t>
            </w:r>
          </w:p>
        </w:tc>
        <w:tc>
          <w:tcPr>
            <w:tcW w:type="dxa" w:w="31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Resultado</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CC-01</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0</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0</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Cumple</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CC-02</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0</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0</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Cumple</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CC-03</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 80 %</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90,48 %</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Cumple</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CC-04</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 80 %</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91,00 %</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Cumple</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CC-05</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 80 %</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90,78 %</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Cumple</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CC-06</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 80 %</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95,28 %</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Cumple</w:t>
            </w:r>
          </w:p>
        </w:tc>
      </w:tr>
    </w:tbl>
    <w:p>
      <w:pPr>
        <w:spacing w:after="80"/>
      </w:pPr>
    </w:p>
    <w:p>
      <w:pPr>
        <w:pStyle w:val="Heading2"/>
        <w:keepNext/>
        <w:spacing w:after="120" w:before="200"/>
      </w:pPr>
      <w:r>
        <w:rPr>
          <w:rFonts w:ascii="Arial" w:cs="Arial" w:eastAsia="Arial" w:hAnsi="Arial"/>
          <w:b/>
          <w:bCs/>
          <w:color w:val="5D4037"/>
          <w:sz w:val="26"/>
          <w:szCs w:val="26"/>
        </w:rPr>
        <w:t xml:space="preserve">6.2 Elementos no cubiertos</w:t>
      </w:r>
    </w:p>
    <w:p>
      <w:pPr>
        <w:keepNext/>
        <w:spacing w:after="80" w:line="276"/>
      </w:pPr>
      <w:r>
        <w:rPr>
          <w:rFonts w:ascii="Arial" w:cs="Arial" w:eastAsia="Arial" w:hAnsi="Arial"/>
          <w:b/>
          <w:bCs/>
          <w:sz w:val="20"/>
          <w:szCs w:val="20"/>
        </w:rPr>
        <w:t xml:space="preserve">Tabla 13 — Registro de elementos no cubiertos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650"/>
        <w:gridCol w:w="1150"/>
        <w:gridCol w:w="2250"/>
        <w:gridCol w:w="1850"/>
        <w:gridCol w:w="1710"/>
      </w:tblGrid>
      <w:tr>
        <w:trPr>
          <w:tblHeader/>
        </w:trPr>
        <w:tc>
          <w:tcPr>
            <w:tcW w:type="dxa" w:w="75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7"/>
                <w:szCs w:val="17"/>
              </w:rPr>
              <w:t xml:space="preserve">ID</w:t>
            </w:r>
          </w:p>
        </w:tc>
        <w:tc>
          <w:tcPr>
            <w:tcW w:type="dxa" w:w="165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7"/>
                <w:szCs w:val="17"/>
              </w:rPr>
              <w:t xml:space="preserve">Archivo y línea</w:t>
            </w:r>
          </w:p>
        </w:tc>
        <w:tc>
          <w:tcPr>
            <w:tcW w:type="dxa" w:w="115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7"/>
                <w:szCs w:val="17"/>
              </w:rPr>
              <w:t xml:space="preserve">Métrica</w:t>
            </w:r>
          </w:p>
        </w:tc>
        <w:tc>
          <w:tcPr>
            <w:tcW w:type="dxa" w:w="225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7"/>
                <w:szCs w:val="17"/>
              </w:rPr>
              <w:t xml:space="preserve">Qué no se ejecutó</w:t>
            </w:r>
          </w:p>
        </w:tc>
        <w:tc>
          <w:tcPr>
            <w:tcW w:type="dxa" w:w="185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7"/>
                <w:szCs w:val="17"/>
              </w:rPr>
              <w:t xml:space="preserve">Causa</w:t>
            </w:r>
          </w:p>
        </w:tc>
        <w:tc>
          <w:tcPr>
            <w:tcW w:type="dxa" w:w="171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7"/>
                <w:szCs w:val="17"/>
              </w:rPr>
              <w:t xml:space="preserve">Acción</w:t>
            </w:r>
          </w:p>
        </w:tc>
      </w:tr>
      <w:tr>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NC-01</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src/App.jsx, líneas 67-68, 71-72 y 78-92</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Func. y ramas</w:t>
            </w:r>
          </w:p>
        </w:tc>
        <w:tc>
          <w:tcPr>
            <w:tcW w:type="dxa" w:w="2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iniciarSesion, cerrarSesion y las rutas productos, producto, categorias, carrito, checkout, registro, login, blogs, blog y contacto</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Las pruebas de App solo recorren inicio, ofertas, perfil, admin y la ruta desconocida; cada página sí se prueba por separado</w:t>
            </w:r>
          </w:p>
        </w:tc>
        <w:tc>
          <w:tcPr>
            <w:tcW w:type="dxa" w:w="1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Agregar pruebas que naveguen a todas las rutas y que inicien y cierren sesión desde App</w:t>
            </w:r>
          </w:p>
        </w:tc>
      </w:tr>
      <w:tr>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NC-02</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src/pages/Admin.jsx, líneas 74 y 82-83</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Funciones</w:t>
            </w:r>
          </w:p>
        </w:tc>
        <w:tc>
          <w:tcPr>
            <w:tcW w:type="dxa" w:w="2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Callbacks de cambio de estado, cambio de rol y eliminación</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Se prueban en ListasAdmin, pero no a través de Admin</w:t>
            </w:r>
          </w:p>
        </w:tc>
        <w:tc>
          <w:tcPr>
            <w:tcW w:type="dxa" w:w="1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Prueba de integración en Admin</w:t>
            </w:r>
          </w:p>
        </w:tc>
      </w:tr>
      <w:tr>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NC-03</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src/pages/Productos.jsx, línea 35</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Ramas</w:t>
            </w:r>
          </w:p>
        </w:tc>
        <w:tc>
          <w:tcPr>
            <w:tcW w:type="dxa" w:w="2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Evento de cambio del filtro de categoría</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El filtro por texto sí se prueba</w:t>
            </w:r>
          </w:p>
        </w:tc>
        <w:tc>
          <w:tcPr>
            <w:tcW w:type="dxa" w:w="1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Agregar prueba del filtro por categoría</w:t>
            </w:r>
          </w:p>
        </w:tc>
      </w:tr>
      <w:tr>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NC-04</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src/utils/carrito.js, línea 28</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Ramas</w:t>
            </w:r>
          </w:p>
        </w:tc>
        <w:tc>
          <w:tcPr>
            <w:tcW w:type="dxa" w:w="2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Rama «: linea» de cambiarCantidad (las otras líneas del carrito no cambian)</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Las pruebas usan carritos de una sola línea</w:t>
            </w:r>
          </w:p>
        </w:tc>
        <w:tc>
          <w:tcPr>
            <w:tcW w:type="dxa" w:w="1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Agregar prueba con dos productos que verifique que el otro no cambia</w:t>
            </w:r>
          </w:p>
        </w:tc>
      </w:tr>
      <w:tr>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NC-05</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src/components/TablaCarrito.jsx, línea 34</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Funciones</w:t>
            </w:r>
          </w:p>
        </w:tc>
        <w:tc>
          <w:tcPr>
            <w:tcW w:type="dxa" w:w="2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Botón «Restar» con la cantidad en 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Solo se prueba «Sumar»</w:t>
            </w:r>
          </w:p>
        </w:tc>
        <w:tc>
          <w:tcPr>
            <w:tcW w:type="dxa" w:w="17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Agregar prueba del botón Restar</w:t>
            </w:r>
          </w:p>
        </w:tc>
      </w:tr>
    </w:tbl>
    <w:p>
      <w:pPr>
        <w:spacing w:after="80"/>
      </w:pPr>
    </w:p>
    <w:p>
      <w:pPr>
        <w:spacing w:after="120" w:line="276"/>
      </w:pPr>
      <w:r>
        <w:rPr>
          <w:rFonts w:ascii="Arial" w:cs="Arial" w:eastAsia="Arial" w:hAnsi="Arial"/>
          <w:sz w:val="22"/>
          <w:szCs w:val="22"/>
        </w:rPr>
        <w:t xml:space="preserve">Las líneas indicadas son las que reporta Istanbul para cada archivo (figura A.3 muestra App.jsx). Las ramas sueltas de ordenes.js, Checkout.jsx, descuentos.js, validaciones.js, useFormulario.js y AdminProductos.jsx corresponden a valores por omisión y condiciones secundarias; se aceptan por ahora porque cada archivo está sobre 85 % en ramas.</w:t>
      </w:r>
    </w:p>
    <w:p>
      <w:pPr>
        <w:pStyle w:val="Heading2"/>
        <w:keepNext/>
        <w:spacing w:after="120" w:before="200"/>
      </w:pPr>
      <w:r>
        <w:rPr>
          <w:rFonts w:ascii="Arial" w:cs="Arial" w:eastAsia="Arial" w:hAnsi="Arial"/>
          <w:b/>
          <w:bCs/>
          <w:color w:val="5D4037"/>
          <w:sz w:val="26"/>
          <w:szCs w:val="26"/>
        </w:rPr>
        <w:t xml:space="preserve">6.3 Análisis de los resultados</w:t>
      </w:r>
    </w:p>
    <w:p>
      <w:pPr>
        <w:spacing w:after="120" w:line="276"/>
      </w:pPr>
      <w:r>
        <w:rPr>
          <w:rFonts w:ascii="Arial" w:cs="Arial" w:eastAsia="Arial" w:hAnsi="Arial"/>
          <w:sz w:val="22"/>
          <w:szCs w:val="22"/>
        </w:rPr>
        <w:t xml:space="preserve">La métrica más baja del total es la de sentencias (90,48 %), y aun así supera en más de diez puntos el umbral de 80 %. El código sin cubrir se concentra en dos archivos: App.jsx y Admin.jsx. Ambos son archivos de ensamblaje: contienen las rutas y los callbacks que conectan páginas ya probadas por separado, por lo que su riesgo es bajo, pero un cambio en esas conexiones no sería detectado.</w:t>
      </w:r>
    </w:p>
    <w:p>
      <w:pPr>
        <w:spacing w:after="120" w:line="276"/>
      </w:pPr>
      <w:r>
        <w:rPr>
          <w:rFonts w:ascii="Arial" w:cs="Arial" w:eastAsia="Arial" w:hAnsi="Arial"/>
          <w:sz w:val="22"/>
          <w:szCs w:val="22"/>
        </w:rPr>
        <w:t xml:space="preserve">Hay archivos con 100 % de líneas y ramas incompletas (ordenes.js, Checkout.jsx, descuentos.js). Eso significa que cada línea se ejecutó, pero no se recorrieron todas las alternativas de una decisión, por ejemplo el valor por omisión de un operador ||. Por eso el criterio exige también cobertura de ramas.</w:t>
      </w:r>
    </w:p>
    <w:p>
      <w:pPr>
        <w:spacing w:after="120" w:line="276"/>
      </w:pPr>
      <w:r>
        <w:rPr>
          <w:rFonts w:ascii="Arial" w:cs="Arial" w:eastAsia="Arial" w:hAnsi="Arial"/>
          <w:sz w:val="22"/>
          <w:szCs w:val="22"/>
        </w:rPr>
        <w:t xml:space="preserve">Para evitar pruebas que ejecutan código sin comprobar nada, todas las pruebas incluyen expectativas y se hicieron comprobaciones de «sabotaje»: al romper a propósito la función validarContrasena, al menos una prueba falla. Además, el informe se mide cargando todo src/, de modo que los archivos sin pruebas aparecen con 0 % y no inflan el total.</w:t>
      </w:r>
    </w:p>
    <w:p>
      <w:pPr>
        <w:pStyle w:val="Heading2"/>
        <w:keepNext/>
        <w:spacing w:after="120" w:before="200"/>
      </w:pPr>
      <w:r>
        <w:rPr>
          <w:rFonts w:ascii="Arial" w:cs="Arial" w:eastAsia="Arial" w:hAnsi="Arial"/>
          <w:b/>
          <w:bCs/>
          <w:color w:val="5D4037"/>
          <w:sz w:val="26"/>
          <w:szCs w:val="26"/>
        </w:rPr>
        <w:t xml:space="preserve">6.4 Desviaciones e impedimentos</w:t>
      </w:r>
    </w:p>
    <w:p>
      <w:pPr>
        <w:spacing w:after="120" w:line="276"/>
      </w:pPr>
      <w:r>
        <w:rPr>
          <w:rFonts w:ascii="Arial" w:cs="Arial" w:eastAsia="Arial" w:hAnsi="Arial"/>
          <w:sz w:val="22"/>
          <w:szCs w:val="22"/>
        </w:rPr>
        <w:t xml:space="preserve">No se registraron desviaciones en los umbrales ni en las exclusiones. Durante el desarrollo se corrigió un problema de intermitencia (el orden aleatorio de Jasmine exponía dependencias entre pruebas); se resolvió limpiando localStorage antes de cada prueba y usando un único archivo de entrada. Tras la corrección, 12 ejecuciones seguidas pasaron completas.</w:t>
      </w:r>
    </w:p>
    <w:p>
      <w:pPr>
        <w:pStyle w:val="Heading1"/>
        <w:keepNext/>
        <w:spacing w:after="120" w:before="320"/>
      </w:pPr>
      <w:r>
        <w:rPr>
          <w:rFonts w:ascii="Arial" w:cs="Arial" w:eastAsia="Arial" w:hAnsi="Arial"/>
          <w:b/>
          <w:bCs/>
          <w:color w:val="5D4037"/>
          <w:sz w:val="30"/>
          <w:szCs w:val="30"/>
        </w:rPr>
        <w:t xml:space="preserve">7 Riesgos residuales</w:t>
      </w:r>
    </w:p>
    <w:p>
      <w:pPr>
        <w:keepNext/>
        <w:spacing w:after="80" w:line="276"/>
      </w:pPr>
      <w:r>
        <w:rPr>
          <w:rFonts w:ascii="Arial" w:cs="Arial" w:eastAsia="Arial" w:hAnsi="Arial"/>
          <w:b/>
          <w:bCs/>
          <w:sz w:val="20"/>
          <w:szCs w:val="20"/>
        </w:rPr>
        <w:t xml:space="preserve">Tabla 14 — Registro de riesgos residuales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1900"/>
        <w:gridCol w:w="900"/>
        <w:gridCol w:w="900"/>
        <w:gridCol w:w="1760"/>
      </w:tblGrid>
      <w:tr>
        <w:trPr>
          <w:tblHeader/>
        </w:trPr>
        <w:tc>
          <w:tcPr>
            <w:tcW w:type="dxa" w:w="8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7"/>
                <w:szCs w:val="17"/>
              </w:rPr>
              <w:t xml:space="preserve">ID</w:t>
            </w:r>
          </w:p>
        </w:tc>
        <w:tc>
          <w:tcPr>
            <w:tcW w:type="dxa" w:w="31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7"/>
                <w:szCs w:val="17"/>
              </w:rPr>
              <w:t xml:space="preserve">Riesgo</w:t>
            </w:r>
          </w:p>
        </w:tc>
        <w:tc>
          <w:tcPr>
            <w:tcW w:type="dxa" w:w="19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7"/>
                <w:szCs w:val="17"/>
              </w:rPr>
              <w:t xml:space="preserve">Elemento afectado</w:t>
            </w:r>
          </w:p>
        </w:tc>
        <w:tc>
          <w:tcPr>
            <w:tcW w:type="dxa" w:w="9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7"/>
                <w:szCs w:val="17"/>
              </w:rPr>
              <w:t xml:space="preserve">Probab.</w:t>
            </w:r>
          </w:p>
        </w:tc>
        <w:tc>
          <w:tcPr>
            <w:tcW w:type="dxa" w:w="9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7"/>
                <w:szCs w:val="17"/>
              </w:rPr>
              <w:t xml:space="preserve">Impacto</w:t>
            </w:r>
          </w:p>
        </w:tc>
        <w:tc>
          <w:tcPr>
            <w:tcW w:type="dxa" w:w="17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7"/>
                <w:szCs w:val="17"/>
              </w:rPr>
              <w:t xml:space="preserve">Tratamiento</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RR-01</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Un cambio en el inicio o cierre de sesión o en alguna ruta de App.jsx no sería detectado</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src/App.jsx</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Media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Medio</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Agregar prueba en la versión 2.1 (NC-01)</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RR-02</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Los callbacks del panel Admin podrían desconectarse sin que falle una prueba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src/pages/Admin.jsx</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Baja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Medio</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Agregar prueba de integración (NC-02)</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RR-03</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Los datos viven en localStorage y no hay pruebas contra un backend real</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src/data/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Media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Alto</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Se probarán al integrar el backend en la siguiente evaluación</w:t>
            </w:r>
          </w:p>
        </w:tc>
      </w:tr>
      <w:t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RR-04</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No se midió el diseño responsivo (solo comportamiento)</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src/components/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Baja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Bajo</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Revisión manual en móvil, tablet y escritorio</w:t>
            </w:r>
          </w:p>
        </w:tc>
      </w:tr>
    </w:tbl>
    <w:p>
      <w:pPr>
        <w:pStyle w:val="Heading1"/>
        <w:keepNext/>
        <w:spacing w:after="120" w:before="320"/>
      </w:pPr>
      <w:r>
        <w:rPr>
          <w:rFonts w:ascii="Arial" w:cs="Arial" w:eastAsia="Arial" w:hAnsi="Arial"/>
          <w:b/>
          <w:bCs/>
          <w:color w:val="5D4037"/>
          <w:sz w:val="30"/>
          <w:szCs w:val="30"/>
        </w:rPr>
        <w:t xml:space="preserve">8 Conclusiones y recomendaciones</w:t>
      </w:r>
    </w:p>
    <w:p>
      <w:pPr>
        <w:pStyle w:val="Heading2"/>
        <w:keepNext/>
        <w:spacing w:after="120" w:before="200"/>
      </w:pPr>
      <w:r>
        <w:rPr>
          <w:rFonts w:ascii="Arial" w:cs="Arial" w:eastAsia="Arial" w:hAnsi="Arial"/>
          <w:b/>
          <w:bCs/>
          <w:color w:val="5D4037"/>
          <w:sz w:val="26"/>
          <w:szCs w:val="26"/>
        </w:rPr>
        <w:t xml:space="preserve">8.1 Dictamen</w:t>
      </w:r>
    </w:p>
    <w:p>
      <w:pPr>
        <w:spacing w:after="120" w:line="276"/>
      </w:pPr>
      <w:r>
        <w:rPr>
          <w:rFonts w:ascii="Arial" w:cs="Arial" w:eastAsia="Arial" w:hAnsi="Arial"/>
          <w:sz w:val="22"/>
          <w:szCs w:val="22"/>
        </w:rPr>
        <w:t xml:space="preserve">☒ Se cumplen todos los criterios de completitud.</w:t>
      </w:r>
    </w:p>
    <w:p>
      <w:pPr>
        <w:spacing w:after="120" w:line="276"/>
      </w:pPr>
      <w:r>
        <w:rPr>
          <w:rFonts w:ascii="Arial" w:cs="Arial" w:eastAsia="Arial" w:hAnsi="Arial"/>
          <w:sz w:val="22"/>
          <w:szCs w:val="22"/>
        </w:rPr>
        <w:t xml:space="preserve">☐ Se cumplen con observaciones.</w:t>
      </w:r>
    </w:p>
    <w:p>
      <w:pPr>
        <w:spacing w:after="120" w:line="276"/>
      </w:pPr>
      <w:r>
        <w:rPr>
          <w:rFonts w:ascii="Arial" w:cs="Arial" w:eastAsia="Arial" w:hAnsi="Arial"/>
          <w:sz w:val="22"/>
          <w:szCs w:val="22"/>
        </w:rPr>
        <w:t xml:space="preserve">☐ No se cumplen; se requiere una nueva iteración de pruebas.</w:t>
      </w:r>
    </w:p>
    <w:p>
      <w:pPr>
        <w:pStyle w:val="Heading2"/>
        <w:keepNext/>
        <w:spacing w:after="120" w:before="200"/>
      </w:pPr>
      <w:r>
        <w:rPr>
          <w:rFonts w:ascii="Arial" w:cs="Arial" w:eastAsia="Arial" w:hAnsi="Arial"/>
          <w:b/>
          <w:bCs/>
          <w:color w:val="5D4037"/>
          <w:sz w:val="26"/>
          <w:szCs w:val="26"/>
        </w:rPr>
        <w:t xml:space="preserve">8.2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900"/>
        <w:gridCol w:w="1460"/>
      </w:tblGrid>
      <w:tr>
        <w:trPr>
          <w:tblHeader/>
        </w:trPr>
        <w:tc>
          <w:tcPr>
            <w:tcW w:type="dxa" w:w="6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N.°</w:t>
            </w:r>
          </w:p>
        </w:tc>
        <w:tc>
          <w:tcPr>
            <w:tcW w:type="dxa" w:w="54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Recomendación</w:t>
            </w:r>
          </w:p>
        </w:tc>
        <w:tc>
          <w:tcPr>
            <w:tcW w:type="dxa" w:w="19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Responsable</w:t>
            </w:r>
          </w:p>
        </w:tc>
        <w:tc>
          <w:tcPr>
            <w:tcW w:type="dxa" w:w="14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Plazo</w:t>
            </w:r>
          </w:p>
        </w:tc>
      </w:tr>
      <w:t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1</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Cubrir las rutas y la sesión de App.jsx (NC-01) y los callbacks de Admin.jsx (NC-02)</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Solange Valladares</w:t>
            </w:r>
          </w:p>
        </w:tc>
        <w:tc>
          <w:tcPr>
            <w:tcW w:type="dxa" w:w="1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05-11-2026</w:t>
            </w:r>
          </w:p>
        </w:tc>
      </w:tr>
      <w:t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2</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Agregar los casos límite NC-03, NC-04 y NC-05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Solange Valladares</w:t>
            </w:r>
          </w:p>
        </w:tc>
        <w:tc>
          <w:tcPr>
            <w:tcW w:type="dxa" w:w="1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05-11-2026</w:t>
            </w:r>
          </w:p>
        </w:tc>
      </w:tr>
      <w:t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3</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Mantener el umbral de 80 % y volver a medir antes de cada entrega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Solange Valladares</w:t>
            </w:r>
          </w:p>
        </w:tc>
        <w:tc>
          <w:tcPr>
            <w:tcW w:type="dxa" w:w="1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Cada entrega</w:t>
            </w:r>
          </w:p>
        </w:tc>
      </w:tr>
    </w:tbl>
    <w:p>
      <w:pPr>
        <w:pStyle w:val="Heading2"/>
        <w:keepNext/>
        <w:spacing w:after="120" w:before="200"/>
      </w:pPr>
      <w:r>
        <w:rPr>
          <w:rFonts w:ascii="Arial" w:cs="Arial" w:eastAsia="Arial" w:hAnsi="Arial"/>
          <w:b/>
          <w:bCs/>
          <w:color w:val="5D4037"/>
          <w:sz w:val="26"/>
          <w:szCs w:val="26"/>
        </w:rPr>
        <w:t xml:space="preserve">8.3 Lecciones aprendidas</w:t>
      </w:r>
    </w:p>
    <w:p>
      <w:pPr>
        <w:spacing w:after="120" w:line="276"/>
      </w:pPr>
      <w:r>
        <w:rPr>
          <w:rFonts w:ascii="Arial" w:cs="Arial" w:eastAsia="Arial" w:hAnsi="Arial"/>
          <w:sz w:val="22"/>
          <w:szCs w:val="22"/>
        </w:rPr>
        <w:t xml:space="preserve">Medir cargando todo src/ evita una cobertura inflada; limpiar localStorage antes de cada prueba evita fallas que dependen del orden; y confirmar que una prueba falla cuando se rompe el código demuestra que la prueba realmente verifica algo.</w:t>
      </w:r>
    </w:p>
    <w:p>
      <w:pPr>
        <w:pStyle w:val="Heading1"/>
        <w:keepNext/>
        <w:spacing w:after="120" w:before="320"/>
      </w:pPr>
      <w:r>
        <w:rPr>
          <w:rFonts w:ascii="Arial" w:cs="Arial" w:eastAsia="Arial" w:hAnsi="Arial"/>
          <w:b/>
          <w:bCs/>
          <w:color w:val="5D4037"/>
          <w:sz w:val="30"/>
          <w:szCs w:val="30"/>
        </w:rPr>
        <w:t xml:space="preserve">9 Entregables de prueba</w:t>
      </w:r>
    </w:p>
    <w:p>
      <w:pPr>
        <w:keepNext/>
        <w:spacing w:after="80" w:line="276"/>
      </w:pPr>
      <w:r>
        <w:rPr>
          <w:rFonts w:ascii="Arial" w:cs="Arial" w:eastAsia="Arial" w:hAnsi="Arial"/>
          <w:b/>
          <w:bCs/>
          <w:sz w:val="20"/>
          <w:szCs w:val="20"/>
        </w:rPr>
        <w:t xml:space="preserve">Tabla 15 — Entregables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Entregable</w:t>
            </w:r>
          </w:p>
        </w:tc>
        <w:tc>
          <w:tcPr>
            <w:tcW w:type="dxa" w:w="6160"/>
            <w:tcBorders>
              <w:top w:val="single" w:color="BFBFBF" w:sz="4"/>
              <w:left w:val="single" w:color="BFBFBF" w:sz="4"/>
              <w:bottom w:val="single" w:color="BFBFBF" w:sz="4"/>
              <w:right w:val="single" w:color="BFBFBF" w:sz="4"/>
            </w:tcBorders>
            <w:shd w:fill="F3E5D8" w:color="auto" w:val="clear"/>
            <w:tcMar>
              <w:top w:type="dxa" w:w="60"/>
              <w:left w:type="dxa" w:w="90"/>
              <w:bottom w:type="dxa" w:w="60"/>
              <w:right w:type="dxa" w:w="90"/>
            </w:tcMar>
          </w:tcPr>
          <w:p>
            <w:pPr>
              <w:spacing w:after="0"/>
            </w:pPr>
            <w:r>
              <w:rPr>
                <w:rFonts w:ascii="Arial" w:cs="Arial" w:eastAsia="Arial" w:hAnsi="Arial"/>
                <w:b/>
                <w:bCs/>
                <w:sz w:val="19"/>
                <w:szCs w:val="19"/>
              </w:rPr>
              <w:t xml:space="preserve">Ubicación</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Archivos de prueba</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src/test/*.test.js (23 archivos) y src/karma/*.spec.js (2 archivos)</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Configuración de pruebas</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karma.conf.cjs · src/test/configuracion.js</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Informe de cobertura HTML</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Carpeta cobertura/html (se regenera con npm run test:cobertura; no se versiona)</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Este informe</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9"/>
                <w:szCs w:val="19"/>
              </w:rPr>
              <w:t xml:space="preserve">DSY1104-004V-SVALLADARES-ICP-001_v1.0.docx</w:t>
            </w:r>
          </w:p>
        </w:tc>
      </w:tr>
    </w:tbl>
    <w:p>
      <w:r>
        <w:br w:type="page"/>
      </w:r>
    </w:p>
    <w:p>
      <w:pPr>
        <w:pStyle w:val="Heading1"/>
        <w:keepNext/>
        <w:spacing w:after="120" w:before="320"/>
      </w:pPr>
      <w:r>
        <w:rPr>
          <w:rFonts w:ascii="Arial" w:cs="Arial" w:eastAsia="Arial" w:hAnsi="Arial"/>
          <w:b/>
          <w:bCs/>
          <w:color w:val="5D4037"/>
          <w:sz w:val="30"/>
          <w:szCs w:val="30"/>
        </w:rPr>
        <w:t xml:space="preserve">Anexo A (normativo) — Evidencias</w:t>
      </w:r>
    </w:p>
    <w:p>
      <w:pPr>
        <w:pStyle w:val="Heading2"/>
        <w:keepNext/>
        <w:spacing w:after="120" w:before="200"/>
      </w:pPr>
      <w:r>
        <w:rPr>
          <w:rFonts w:ascii="Arial" w:cs="Arial" w:eastAsia="Arial" w:hAnsi="Arial"/>
          <w:b/>
          <w:bCs/>
          <w:color w:val="5D4037"/>
          <w:sz w:val="26"/>
          <w:szCs w:val="26"/>
        </w:rPr>
        <w:t xml:space="preserve">A.1 Salida de la terminal</w:t>
      </w:r>
    </w:p>
    <w:p>
      <w:pPr>
        <w:spacing w:after="60"/>
        <w:jc w:val="center"/>
      </w:pPr>
      <w:r>
        <w:drawing>
          <wp:inline distT="0" distB="0" distL="0" distR="0">
            <wp:extent cx="4476750" cy="4629150"/>
            <wp:effectExtent t="0" r="0" b="0" l="0"/>
            <wp:docPr id="1" name="/tmp/doc/A1.png" descr="/tmp/doc/A1.png" title="/tmp/doc/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629150"/>
                    </a:xfrm>
                    <a:prstGeom prst="rect">
                      <a:avLst/>
                    </a:prstGeom>
                  </pic:spPr>
                </pic:pic>
              </a:graphicData>
            </a:graphic>
          </wp:inline>
        </w:drawing>
      </w:r>
    </w:p>
    <w:p>
      <w:pPr>
        <w:spacing w:after="200" w:line="276"/>
        <w:jc w:val="center"/>
      </w:pPr>
      <w:r>
        <w:rPr>
          <w:rFonts w:ascii="Arial" w:cs="Arial" w:eastAsia="Arial" w:hAnsi="Arial"/>
          <w:i/>
          <w:iCs/>
          <w:sz w:val="19"/>
          <w:szCs w:val="19"/>
        </w:rPr>
        <w:t xml:space="preserve">Figura A.1 — Salida de la ejecución de pruebas con cobertura (198 de 198 aprobadas)</w:t>
      </w:r>
    </w:p>
    <w:p>
      <w:pPr>
        <w:pStyle w:val="Heading2"/>
        <w:keepNext/>
        <w:spacing w:after="120" w:before="200"/>
      </w:pPr>
      <w:r>
        <w:rPr>
          <w:rFonts w:ascii="Arial" w:cs="Arial" w:eastAsia="Arial" w:hAnsi="Arial"/>
          <w:b/>
          <w:bCs/>
          <w:color w:val="5D4037"/>
          <w:sz w:val="26"/>
          <w:szCs w:val="26"/>
        </w:rPr>
        <w:t xml:space="preserve">A.2 Informe HTML</w:t>
      </w:r>
    </w:p>
    <w:p>
      <w:pPr>
        <w:spacing w:after="60"/>
        <w:jc w:val="center"/>
      </w:pPr>
      <w:r>
        <w:drawing>
          <wp:inline distT="0" distB="0" distL="0" distR="0">
            <wp:extent cx="5334000" cy="3390900"/>
            <wp:effectExtent t="0" r="0" b="0" l="0"/>
            <wp:docPr id="2" name="/tmp/doc/A2.png" descr="/tmp/doc/A2.png" title="/tmp/doc/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90900"/>
                    </a:xfrm>
                    <a:prstGeom prst="rect">
                      <a:avLst/>
                    </a:prstGeom>
                  </pic:spPr>
                </pic:pic>
              </a:graphicData>
            </a:graphic>
          </wp:inline>
        </w:drawing>
      </w:r>
    </w:p>
    <w:p>
      <w:pPr>
        <w:spacing w:after="200" w:line="276"/>
        <w:jc w:val="center"/>
      </w:pPr>
      <w:r>
        <w:rPr>
          <w:rFonts w:ascii="Arial" w:cs="Arial" w:eastAsia="Arial" w:hAnsi="Arial"/>
          <w:i/>
          <w:iCs/>
          <w:sz w:val="19"/>
          <w:szCs w:val="19"/>
        </w:rPr>
        <w:t xml:space="preserve">Figura A.2 — Vista general de cobertura/html/index.html</w:t>
      </w:r>
    </w:p>
    <w:p>
      <w:pPr>
        <w:pStyle w:val="Heading2"/>
        <w:keepNext/>
        <w:spacing w:after="120" w:before="200"/>
      </w:pPr>
      <w:r>
        <w:rPr>
          <w:rFonts w:ascii="Arial" w:cs="Arial" w:eastAsia="Arial" w:hAnsi="Arial"/>
          <w:b/>
          <w:bCs/>
          <w:color w:val="5D4037"/>
          <w:sz w:val="26"/>
          <w:szCs w:val="26"/>
        </w:rPr>
        <w:t xml:space="preserve">A.3 Detalle de un elemento no cubierto</w:t>
      </w:r>
    </w:p>
    <w:p>
      <w:pPr>
        <w:spacing w:after="60"/>
        <w:jc w:val="center"/>
      </w:pPr>
      <w:r>
        <w:drawing>
          <wp:inline distT="0" distB="0" distL="0" distR="0">
            <wp:extent cx="5334000" cy="3390900"/>
            <wp:effectExtent t="0" r="0" b="0" l="0"/>
            <wp:docPr id="3" name="/tmp/doc/A3.png" descr="/tmp/doc/A3.png" title="/tmp/doc/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90900"/>
                    </a:xfrm>
                    <a:prstGeom prst="rect">
                      <a:avLst/>
                    </a:prstGeom>
                  </pic:spPr>
                </pic:pic>
              </a:graphicData>
            </a:graphic>
          </wp:inline>
        </w:drawing>
      </w:r>
    </w:p>
    <w:p>
      <w:pPr>
        <w:spacing w:after="200" w:line="276"/>
        <w:jc w:val="center"/>
      </w:pPr>
      <w:r>
        <w:rPr>
          <w:rFonts w:ascii="Arial" w:cs="Arial" w:eastAsia="Arial" w:hAnsi="Arial"/>
          <w:i/>
          <w:iCs/>
          <w:sz w:val="19"/>
          <w:szCs w:val="19"/>
        </w:rPr>
        <w:t xml:space="preserve">Figura A.3 — Detalle de src/App.jsx con las líneas no cubiertas en rojo (NC-01)</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Arial" w:cs="Arial" w:eastAsia="Arial" w:hAnsi="Arial"/>
        <w:color w:val="7F7F7F"/>
        <w:sz w:val="17"/>
        <w:szCs w:val="17"/>
      </w:rPr>
      <w:t xml:space="preserve">Pastelería Mil Sabores · DSY1104 · Sección 004V · DSY1104-004V-SVALLADARES-ICP-001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0c45aacf08e404f9bcc72edafa590d2b1a27802.png"/><Relationship Id="rId10" Type="http://schemas.openxmlformats.org/officeDocument/2006/relationships/image" Target="media/38b411dba077a19461aa92eeb39284ed05a2583d.png"/><Relationship Id="rId11" Type="http://schemas.openxmlformats.org/officeDocument/2006/relationships/image" Target="media/464c5416d9cb33befdd0dd2a21d9c1f5b39f728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2026-10-29T11:44:54.921Z</dcterms:created>
  <dcterms:modified xsi:type="dcterms:W3CDTF">2026-10-29T11:44:54.922Z</dcterms:modified>
</cp:coreProperties>
</file>

<file path=docProps/custom.xml><?xml version="1.0" encoding="utf-8"?>
<Properties xmlns="http://schemas.openxmlformats.org/officeDocument/2006/custom-properties" xmlns:vt="http://schemas.openxmlformats.org/officeDocument/2006/docPropsVTypes"/>
</file>