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Hybrid Storage Forecasting for Low-Carbon Grids</w:t>
      </w:r>
    </w:p>
    <w:p>
      <w:r>
        <w:t>Objective: pair solar forecasting with battery dispatch to shave peaks and firm renewable output.</w:t>
      </w:r>
    </w:p>
    <w:p>
      <w:r>
        <w:t>Approach: feature-engineered weather nowcasts, ensemble forecasting, and stochastic dispatch planning.</w:t>
      </w:r>
    </w:p>
    <w:p>
      <w:r>
        <w:t>Deliverables: baseline accuracy report, daily scheduler, and KPI dashboard for operators.</w:t>
      </w:r>
    </w:p>
    <w:p>
      <w:r>
        <w:t>Next milestone: integrate demand response signals and re-evaluate dispatch heuristics.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/>
    <w:pPr/>
  </w:style>
  <w:style w:type="paragraph" w:styleId="Heading1">
    <w:name w:val="heading 1"/>
    <w:basedOn w:val="Normal"/>
    <w:next w:val="Normal"/>
    <w:uiPriority w:val="9"/>
    <w:qFormat/>
    <w:pPr>
      <w:keepNext/>
      <w:keepLines/>
    </w:pPr>
    <w:rPr>
      <w:b/>
      <w:sz w:val="32"/>
    </w:rPr>
  </w:style>
</w:styles>
</file>

<file path=word/_rels/document.xml.rels><?xml version="1.0" encoding="UTF-8"?><Relationships xmlns="http://schemas.openxmlformats.org/package/2006/relationships" />
</file>