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Resilient Microgrid Controls for Critical Facilities</w:t>
      </w:r>
    </w:p>
    <w:p>
      <w:r>
        <w:t>Objective: coordinate battery, PV, and controllable loads to ride through outages with minimal diesel use.</w:t>
      </w:r>
    </w:p>
    <w:p>
      <w:r>
        <w:t>Approach: scenario-driven controller tuning, digital twin validation, and hardware-in-the-loop tests.</w:t>
      </w:r>
    </w:p>
    <w:p>
      <w:r>
        <w:t>Deliverables: dispatch algorithm, test reports, and site readiness checklist.</w:t>
      </w:r>
    </w:p>
    <w:p>
      <w:r>
        <w:t>Next milestone: connect EMS prototype to campus microgrid lab rack.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/>
    <w:pPr/>
  </w:style>
  <w:style w:type="paragraph" w:styleId="Heading1">
    <w:name w:val="heading 1"/>
    <w:basedOn w:val="Normal"/>
    <w:next w:val="Normal"/>
    <w:uiPriority w:val="9"/>
    <w:qFormat/>
    <w:pPr>
      <w:keepNext/>
      <w:keepLines/>
    </w:pPr>
    <w:rPr>
      <w:b/>
      <w:sz w:val="32"/>
    </w:rPr>
  </w:style>
</w:styles>
</file>

<file path=word/_rels/document.xml.rels><?xml version="1.0" encoding="UTF-8"?><Relationships xmlns="http://schemas.openxmlformats.org/package/2006/relationships" />
</file>