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9"/>
          <w:sz w:val="24"/>
        </w:rPr>
        <w:t>RADIO ATLAS / SOLARASPHERE</w:t>
      </w:r>
    </w:p>
    <w:p>
      <w:pPr>
        <w:pStyle w:val="Title"/>
        <w:jc w:val="center"/>
      </w:pPr>
      <w:r>
        <w:t>Reachability vs. Detectability</w:t>
      </w:r>
    </w:p>
    <w:p>
      <w:pPr>
        <w:jc w:val="center"/>
      </w:pPr>
      <w:r>
        <w:rPr>
          <w:b/>
          <w:color w:val="444444"/>
          <w:sz w:val="36"/>
        </w:rPr>
        <w:t>Backlog Addition Report &amp; Project Roadmap</w:t>
      </w:r>
    </w:p>
    <w:p>
      <w:pPr>
        <w:spacing w:before="320"/>
        <w:jc w:val="center"/>
      </w:pPr>
      <w:r>
        <w:rPr>
          <w:b/>
          <w:sz w:val="28"/>
        </w:rPr>
        <w:t>Story 6.17</w:t>
      </w:r>
    </w:p>
    <w:p>
      <w:pPr>
        <w:jc w:val="center"/>
      </w:pPr>
      <w:r>
        <w:rPr>
          <w:i/>
          <w:sz w:val="22"/>
        </w:rPr>
        <w:t>Distinguish geometric HF path reachability from expected receiver detectability</w:t>
      </w:r>
    </w:p>
    <w:p>
      <w:pPr>
        <w:spacing w:before="1700"/>
        <w:jc w:val="center"/>
      </w:pPr>
      <w:r>
        <w:rPr>
          <w:color w:val="646464"/>
          <w:sz w:val="20"/>
        </w:rPr>
        <w:t>Prepared for Radio Atlas / SolaraSphere</w:t>
        <w:br/>
        <w:t>October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Recommendation. </w:t>
      </w:r>
      <w:r>
        <w:t>Add Story 6.17 as a bounded extension of the existing PyRayHF + PSK Reporter propagation experiment. The feature should explicitly model two different questions: (1) does the ionosphere support a plausible ray path, and (2) would the resulting signal likely exceed the effective receiver detection threshold after propagation loss, absorption, noise, antenna/system effects, and modulation requirements are considered?</w:t>
      </w:r>
    </w:p>
    <w:p>
      <w:r>
        <w:t>Keeping these predictions separate prevents a scientifically important category error. A successful ray trace is evidence of geometric support, not proof that a receiver can decode the transmission. Likewise, a missing PSK Reporter spot is not automatically evidence of propagation failure.</w:t>
      </w:r>
    </w:p>
    <w:p>
      <w:r>
        <w:t>The recommended implementation is incremental: preserve the current binary reachability MVP, introduce nullable detectability fields and model interfaces, then add field-strength, absorption, and noise/reliability components in independently testable stages. This lets the experiment mature without forcing PyRayHF to become a full link-budget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output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prediction record that distinguishes ionospheric reachability, signal-level estimate, and receiver detectability.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Scientific benefit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Residuals become interpretable: ray-path error, loss/absorption error, or receiver/noise uncertainty can be analyzed separately.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Architecture benefit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Propagation engines, loss models, noise models, and receiver profiles remain swappable behind interfaces.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MVP boundary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Do not require receiver-specific thresholds or full absorption modeling to ship the first version; fields remain nullable until evidence supports them.</w:t>
            </w:r>
          </w:p>
        </w:tc>
      </w:tr>
    </w:tbl>
    <w:p>
      <w:pPr>
        <w:pStyle w:val="Heading1"/>
      </w:pPr>
      <w:r>
        <w:t>2. Research Rationale</w:t>
      </w:r>
    </w:p>
    <w:p>
      <w:r>
        <w:t>Recent work strongly supports treating HF path existence and practical reception as related but distinct quantities:</w:t>
      </w:r>
    </w:p>
    <w:p>
      <w:pPr>
        <w:pStyle w:val="ListBullet"/>
      </w:pPr>
      <w:r>
        <w:rPr>
          <w:b/>
        </w:rPr>
        <w:t xml:space="preserve">PyRayHF establishes the ray-geometry layer. </w:t>
      </w:r>
      <w:r>
        <w:t>Forsythe et al. validate fast HF ray-tracing forward operators against a 3-D reference tracer, making it a strong foundation for geometric reachability and path observables.</w:t>
      </w:r>
    </w:p>
    <w:p>
      <w:pPr>
        <w:pStyle w:val="ListBullet"/>
      </w:pPr>
      <w:r>
        <w:rPr>
          <w:b/>
        </w:rPr>
        <w:t xml:space="preserve">Received field strength needs its own model layer. </w:t>
      </w:r>
      <w:r>
        <w:t>Zhu et al. compare REC533, ICEPAC, and VOACAP against measured HF field-strength data and show material differences in bias and dispersion across propagation regimes.</w:t>
      </w:r>
    </w:p>
    <w:p>
      <w:pPr>
        <w:pStyle w:val="ListBullet"/>
      </w:pPr>
      <w:r>
        <w:rPr>
          <w:b/>
        </w:rPr>
        <w:t xml:space="preserve">Absorption can suppress an otherwise supported path. </w:t>
      </w:r>
      <w:r>
        <w:t>Verhulst et al. show that passive HF observations can detect enhanced absorption caused by solar X-rays and particle precipitation.</w:t>
      </w:r>
    </w:p>
    <w:p>
      <w:pPr>
        <w:pStyle w:val="ListBullet"/>
      </w:pPr>
      <w:r>
        <w:rPr>
          <w:b/>
        </w:rPr>
        <w:t xml:space="preserve">Noise sets the practical floor. </w:t>
      </w:r>
      <w:r>
        <w:t>ITU-R P.372 models atmospheric, galactic, and man-made radio noise, which directly affects whether a received signal is usable.</w:t>
      </w:r>
    </w:p>
    <w:p>
      <w:pPr>
        <w:pStyle w:val="ListBullet"/>
      </w:pPr>
      <w:r>
        <w:rPr>
          <w:b/>
        </w:rPr>
        <w:t xml:space="preserve">Reliability is a probabilistic system outcome. </w:t>
      </w:r>
      <w:r>
        <w:t>ITU-R P.842 combines predicted receiver signal power, noise, variability, and required SNR into HF reliability calculations.</w:t>
      </w:r>
    </w:p>
    <w:p>
      <w:pPr>
        <w:pStyle w:val="Heading1"/>
      </w:pPr>
      <w:r>
        <w:t>3. Target Conceptual Model</w:t>
      </w:r>
    </w:p>
    <w:p>
      <w:pPr>
        <w:pStyle w:val="CodeBlock"/>
        <w:keepLines/>
      </w:pPr>
      <w:r>
        <w:rPr>
          <w:rFonts w:ascii="Consolas" w:hAnsi="Consolas"/>
          <w:sz w:val="17"/>
        </w:rPr>
        <w:t>Ionosphere state</w:t>
        <w:br/>
        <w:t xml:space="preserve">      |</w:t>
        <w:br/>
        <w:t xml:space="preserve">      v</w:t>
        <w:br/>
        <w:t xml:space="preserve">  PyRayHF / ray model</w:t>
        <w:br/>
        <w:t xml:space="preserve">      |</w:t>
        <w:br/>
        <w:t xml:space="preserve">      +--&gt; predicted_reachable</w:t>
        <w:br/>
        <w:t xml:space="preserve">      |</w:t>
        <w:br/>
        <w:t xml:space="preserve">      v</w:t>
        <w:br/>
        <w:t>Field-strength / path-loss model</w:t>
        <w:br/>
        <w:t xml:space="preserve">      |</w:t>
        <w:br/>
        <w:t xml:space="preserve">      +--&gt; predicted_field_strength / path_loss</w:t>
        <w:br/>
        <w:t xml:space="preserve">      |</w:t>
        <w:br/>
        <w:t xml:space="preserve">      v</w:t>
        <w:br/>
        <w:t>Absorption model</w:t>
        <w:br/>
        <w:t xml:space="preserve">      |</w:t>
        <w:br/>
        <w:t xml:space="preserve">      +--&gt; estimated_absorption</w:t>
        <w:br/>
        <w:t xml:space="preserve">      |</w:t>
        <w:br/>
        <w:t xml:space="preserve">      v</w:t>
        <w:br/>
        <w:t>External + receiver noise model</w:t>
        <w:br/>
        <w:t xml:space="preserve">      |</w:t>
        <w:br/>
        <w:t xml:space="preserve">      v</w:t>
        <w:br/>
        <w:t>Receiver / mode threshold model</w:t>
        <w:br/>
        <w:t xml:space="preserve">      |</w:t>
        <w:br/>
        <w:t xml:space="preserve">      +--&gt; predicted_detectable + confidence</w:t>
        <w:br/>
        <w:t xml:space="preserve">      |</w:t>
        <w:br/>
        <w:t xml:space="preserve">      v</w:t>
        <w:br/>
        <w:t>PSK Reporter observation</w:t>
        <w:br/>
        <w:t xml:space="preserve">      |</w:t>
        <w:br/>
        <w:t xml:space="preserve">      v</w:t>
        <w:br/>
        <w:t>Residual + error taxonomy</w:t>
      </w:r>
    </w:p>
    <w:p>
      <w:r>
        <w:rPr>
          <w:b/>
        </w:rPr>
        <w:t xml:space="preserve">Design rule: </w:t>
      </w:r>
      <w:r>
        <w:t>No downstream layer should overwrite the upstream physical conclusion. A path may be geometrically reachable but predicted undetectable, and that distinction must remain visible in persisted data and evaluation metrics.</w:t>
      </w:r>
    </w:p>
    <w:p>
      <w:pPr>
        <w:pStyle w:val="Heading1"/>
      </w:pPr>
      <w:r>
        <w:t>4. Proposed Domain and Schema Changes</w:t>
      </w:r>
    </w:p>
    <w:p>
      <w:pPr>
        <w:pStyle w:val="CodeBlock"/>
        <w:keepLines/>
      </w:pPr>
      <w:r>
        <w:rPr>
          <w:rFonts w:ascii="Consolas" w:hAnsi="Consolas"/>
          <w:sz w:val="17"/>
        </w:rPr>
        <w:t>PropagationPrediction</w:t>
        <w:br/>
        <w:t xml:space="preserve">  predicted_reachable: bool | None</w:t>
        <w:br/>
        <w:t xml:space="preserve">  predicted_detectable: bool | None</w:t>
        <w:br/>
        <w:br/>
        <w:t xml:space="preserve">  predicted_field_strength_dbuv_m: float | None</w:t>
        <w:br/>
        <w:t xml:space="preserve">  predicted_receiver_power_dbm: float | None</w:t>
        <w:br/>
        <w:t xml:space="preserve">  estimated_path_loss_db: float | None</w:t>
        <w:br/>
        <w:t xml:space="preserve">  estimated_absorption_db: float | None</w:t>
        <w:br/>
        <w:t xml:space="preserve">  estimated_noise_floor_dbm: float | None</w:t>
        <w:br/>
        <w:t xml:space="preserve">  required_snr_db: float | None</w:t>
        <w:br/>
        <w:t xml:space="preserve">  receiver_threshold_dbm: float | None</w:t>
        <w:br/>
        <w:br/>
        <w:t xml:space="preserve">  reachability_model: str</w:t>
        <w:br/>
        <w:t xml:space="preserve">  signal_model: str | None</w:t>
        <w:br/>
        <w:t xml:space="preserve">  noise_model: str | None</w:t>
        <w:br/>
        <w:t xml:space="preserve">  receiver_profile_id: str | None</w:t>
        <w:br/>
        <w:br/>
        <w:t xml:space="preserve">  reachability_confidence: float | None</w:t>
        <w:br/>
        <w:t xml:space="preserve">  detectability_confidence: float | None</w:t>
        <w:br/>
        <w:t xml:space="preserve">  model_version: str</w:t>
      </w:r>
    </w:p>
    <w:p>
      <w:pPr>
        <w:pStyle w:val="Heading2"/>
      </w:pPr>
      <w:r>
        <w:t>Observation status</w:t>
      </w:r>
    </w:p>
    <w:p>
      <w:pPr>
        <w:pStyle w:val="CodeBlock"/>
        <w:keepLines/>
      </w:pPr>
      <w:r>
        <w:rPr>
          <w:rFonts w:ascii="Consolas" w:hAnsi="Consolas"/>
          <w:sz w:val="17"/>
        </w:rPr>
        <w:t>observation_status:</w:t>
        <w:br/>
        <w:t xml:space="preserve">  OBSERVED</w:t>
        <w:br/>
        <w:t xml:space="preserve">  CREDIBLE_NEGATIVE</w:t>
        <w:br/>
        <w:t xml:space="preserve">  UNKNOWN_RECEIVER_STATE</w:t>
        <w:br/>
        <w:t xml:space="preserve">  UNKNOWN_TRANSMITTER_STATE</w:t>
        <w:br/>
        <w:t xml:space="preserve">  OUT_OF_MONITORED_BAND</w:t>
        <w:br/>
        <w:t xml:space="preserve">  INSUFFICIENT_METADATA</w:t>
      </w:r>
    </w:p>
    <w:p>
      <w:r>
        <w:t>The evaluation layer should avoid coercing unknown observations into false negatives. Binary confusion-matrix metrics should only use observations that meet the experiment’s credibility rules.</w:t>
      </w:r>
    </w:p>
    <w:p>
      <w:pPr>
        <w:pStyle w:val="Heading1"/>
      </w:pPr>
      <w:r>
        <w:t>5. Project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4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4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deliverable</w:t>
            </w:r>
          </w:p>
        </w:tc>
        <w:tc>
          <w:tcPr>
            <w:tcW w:type="dxa" w:w="254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Story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Phase 0 - Contract and baseline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Define terminology, units, interfaces, nullability rules, and experiment versioning. Freeze the current reachability-only output as a regression baseline.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Schema + ADR + regression fixture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Story 6.17A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Phase 1 - Reachability layer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Keep PyRayHF focused on ray support, path geometry, hop count, apex, elevation/takeoff angle, and solver metadata.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Reachability predictor contract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Story 6.17B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Phase 2 - Field-strength benchmark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Add a model-independent signal prediction interface. Implement or wrap one field-strength baseline, preferably ITU-R P.533/REC533, while retaining VOACAP as a comparison candidate.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Signal-level predictor + benchmark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Story 6.17C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Phase 3 - Absorption context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Add an absorption component that can first ingest externally derived/event-based absorption indicators, then later graduate to a quantitative model.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Absorption provider contract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Story 6.17D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Phase 4 - Noise floor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Implement an external-noise provider using ITU-R P.372-compatible outputs. Keep location, frequency, time, and environment assumptions explicit.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Noise provider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Story 6.17E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Phase 5 - Detectability decision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Combine receiver power, noise, required SNR, and receiver/mode profile into a probabilistic or threshold-based detectability decision.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Detectability evaluator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Story 6.17F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Phase 6 - Evaluation and residual taxonomy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Classify disagreements by layer: geometry miss, field-strength miss, absorption/noise miss, or observation uncertainty. Add stratified metrics.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Residual taxonomy + metrics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Story 6.17G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Phase 7 - Visualization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Add timeline and map views that independently display reachable, detectable, observed, and unknown states.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Evaluation UI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Story 6.17H</w:t>
            </w:r>
          </w:p>
        </w:tc>
      </w:tr>
    </w:tbl>
    <w:p>
      <w:pPr>
        <w:pStyle w:val="Heading1"/>
      </w:pPr>
      <w:r>
        <w:t>6. Acceptance Criteria by Milestone</w:t>
      </w:r>
    </w:p>
    <w:p>
      <w:pPr>
        <w:pStyle w:val="ListBullet"/>
      </w:pPr>
      <w:r>
        <w:rPr>
          <w:b/>
        </w:rPr>
        <w:t xml:space="preserve">M1 - Reachability contract: </w:t>
      </w:r>
      <w:r>
        <w:t>Given TX/RX coordinates, timestamp, and frequency, return a versioned ray-path prediction without requiring receiver metadata.</w:t>
      </w:r>
    </w:p>
    <w:p>
      <w:pPr>
        <w:pStyle w:val="ListBullet"/>
      </w:pPr>
      <w:r>
        <w:rPr>
          <w:b/>
        </w:rPr>
        <w:t xml:space="preserve">M2 - Signal strength: </w:t>
      </w:r>
      <w:r>
        <w:t>For the same experiment record, compute a separately versioned field-strength or receiver-power estimate using a documented model and units.</w:t>
      </w:r>
    </w:p>
    <w:p>
      <w:pPr>
        <w:pStyle w:val="ListBullet"/>
      </w:pPr>
      <w:r>
        <w:rPr>
          <w:b/>
        </w:rPr>
        <w:t xml:space="preserve">M3 - Noise and threshold: </w:t>
      </w:r>
      <w:r>
        <w:t>Represent external noise and receiver/mode threshold independently; missing receiver data yields unknown detectability rather than false.</w:t>
      </w:r>
    </w:p>
    <w:p>
      <w:pPr>
        <w:pStyle w:val="ListBullet"/>
      </w:pPr>
      <w:r>
        <w:rPr>
          <w:b/>
        </w:rPr>
        <w:t xml:space="preserve">M4 - Detectability: </w:t>
      </w:r>
      <w:r>
        <w:t>Return predicted_detectable only when the minimum evidence contract is met; otherwise return null/unknown with a reason code.</w:t>
      </w:r>
    </w:p>
    <w:p>
      <w:pPr>
        <w:pStyle w:val="ListBullet"/>
      </w:pPr>
      <w:r>
        <w:rPr>
          <w:b/>
        </w:rPr>
        <w:t xml:space="preserve">M5 - Evaluation: </w:t>
      </w:r>
      <w:r>
        <w:t>Compare predictions with PSK Reporter observations without treating missing reports as negatives unless activity rules support a credible negative.</w:t>
      </w:r>
    </w:p>
    <w:p>
      <w:pPr>
        <w:pStyle w:val="ListBullet"/>
      </w:pPr>
      <w:r>
        <w:rPr>
          <w:b/>
        </w:rPr>
        <w:t xml:space="preserve">M6 - Reproducibility: </w:t>
      </w:r>
      <w:r>
        <w:t>Persist all model names, versions, inputs, assumptions, and units required to replay an experiment run.</w:t>
      </w:r>
    </w:p>
    <w:p>
      <w:pPr>
        <w:pStyle w:val="Heading1"/>
      </w:pPr>
      <w:r>
        <w:t>7. Evaluation Plan</w:t>
      </w:r>
    </w:p>
    <w:p>
      <w:pPr>
        <w:pStyle w:val="Heading2"/>
      </w:pPr>
      <w:r>
        <w:t>7.1 Unit and contract tests</w:t>
      </w:r>
    </w:p>
    <w:p>
      <w:pPr>
        <w:pStyle w:val="ListBullet"/>
      </w:pPr>
      <w:r>
        <w:t>Unit conversions are explicit and tested (dBµV/m, dBm, dB, Hz/MHz).</w:t>
      </w:r>
    </w:p>
    <w:p>
      <w:pPr>
        <w:pStyle w:val="ListBullet"/>
      </w:pPr>
      <w:r>
        <w:t>A reachable path may be undetectable without violating validation rules.</w:t>
      </w:r>
    </w:p>
    <w:p>
      <w:pPr>
        <w:pStyle w:val="ListBullet"/>
      </w:pPr>
      <w:r>
        <w:t>Unknown receiver threshold produces predicted_detectable = null, not false.</w:t>
      </w:r>
    </w:p>
    <w:p>
      <w:pPr>
        <w:pStyle w:val="ListBullet"/>
      </w:pPr>
      <w:r>
        <w:t>Each provider records model name/version and input assumptions.</w:t>
      </w:r>
    </w:p>
    <w:p>
      <w:pPr>
        <w:pStyle w:val="ListBullet"/>
      </w:pPr>
      <w:r>
        <w:t>A replay of identical inputs produces the same deterministic baseline result where the model itself is deterministic.</w:t>
      </w:r>
    </w:p>
    <w:p>
      <w:pPr>
        <w:pStyle w:val="Heading2"/>
      </w:pPr>
      <w:r>
        <w:t>7.2 Scientific evaluation</w:t>
      </w:r>
    </w:p>
    <w:p>
      <w:pPr>
        <w:pStyle w:val="ListBullet"/>
      </w:pPr>
      <w:r>
        <w:t>Stratify residuals by frequency/band, distance, path azimuth, day/night, season, solar activity, and geomagnetic disturbance.</w:t>
      </w:r>
    </w:p>
    <w:p>
      <w:pPr>
        <w:pStyle w:val="ListBullet"/>
      </w:pPr>
      <w:r>
        <w:t>Report reachability metrics separately from detectability metrics.</w:t>
      </w:r>
    </w:p>
    <w:p>
      <w:pPr>
        <w:pStyle w:val="ListBullet"/>
      </w:pPr>
      <w:r>
        <w:t>Measure calibration if detectability becomes probabilistic (reliability curve / Brier score), not only accuracy.</w:t>
      </w:r>
    </w:p>
    <w:p>
      <w:pPr>
        <w:pStyle w:val="ListBullet"/>
      </w:pPr>
      <w:r>
        <w:t>Maintain an UNKNOWN bucket and report its rate; a shrinking unknown rate is a data-quality metric, not merely a nuisance.</w:t>
      </w:r>
    </w:p>
    <w:p>
      <w:pPr>
        <w:pStyle w:val="ListBullet"/>
      </w:pPr>
      <w:r>
        <w:t>Benchmark at least one classical received-field-strength model before training a learned correction model.</w:t>
      </w:r>
    </w:p>
    <w:p>
      <w:pPr>
        <w:pStyle w:val="Heading1"/>
      </w:pPr>
      <w:r>
        <w:t>8. Major Risks and Guardrails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89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389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Guardrail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Receiver metadata scarcity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PSK Reporter generally does not provide complete antenna gain, receiver NF, local noise environment, or decoder threshold.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Treat receiver profiles as optional and confidence-scored; do not fabricate a station-specific threshold.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Observation bias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Reporting stations are not uniformly distributed and may change band/mode availability over time.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Maintain receiver-activity inference and cohort-based evaluation.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Model mismatch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P.533/VOACAP-like models predict statistical/median behavior, while an individual FT8 observation is instantaneous.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Keep timescale semantics in metadata and compare like with like.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Noise uncertainty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Local man-made noise can dominate generic global noise models.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Expose assumed environment class and uncertainty instead of presenting a single precise threshold.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Feature creep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 full link budget, antenna database, decoder model, absorption model, and receiver calibration program can balloon the experiment.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Ship interfaces first, one baseline implementation per layer, and preserve nullability.</w:t>
            </w:r>
          </w:p>
        </w:tc>
      </w:tr>
    </w:tbl>
    <w:p>
      <w:pPr>
        <w:pStyle w:val="Heading1"/>
      </w:pPr>
      <w:r>
        <w:t>9. Research Library Recommendations</w:t>
      </w:r>
    </w:p>
    <w:p>
      <w:r>
        <w:rPr>
          <w:b/>
        </w:rPr>
        <w:t xml:space="preserve">Recommended policy: </w:t>
      </w:r>
      <w:r>
        <w:t>Add the first five items to the core Radio Atlas/SolaraSphere research library now. Add the signal-classification papers to the SolaraSignal branch. Keep the storm-composition and plasma-bubble papers as secondary context rather than core backlog references.</w:t>
      </w:r>
    </w:p>
    <w:p>
      <w:pPr>
        <w:pStyle w:val="Heading2"/>
      </w:pPr>
      <w:r>
        <w:t>9.1 Core: add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4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Identifier</w:t>
            </w:r>
          </w:p>
        </w:tc>
        <w:tc>
          <w:tcPr>
            <w:tcW w:type="dxa" w:w="254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Why add it</w:t>
            </w:r>
          </w:p>
        </w:tc>
        <w:tc>
          <w:tcPr>
            <w:tcW w:type="dxa" w:w="254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PyRayHF: An Open Source Ray-Tracing Forward Operator for Assimilating Oblique Ionograms</w:t>
              <w:br/>
              <w:t>Forsythe et al., Radio Science (2026)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10.1029/2026RS008702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Foundation for the reachability layer and model-interface design.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Exploring the Applicability of Three Popular Models for Predicting the Received Field Strength of HF Sky-Wave Propagation and Communication</w:t>
              <w:br/>
              <w:t>Zhu et al., Space Weather (2026)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10.1029/2025SW004907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Direct evidence for separating ray support from received field-strength prediction; strong benchmark-design reference.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Radio-Quiet Ionosonde Observations for Monitoring Absorption in the HF Band</w:t>
              <w:br/>
              <w:t>Verhulst et al., Radio Science (2026)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10.1029/2026RS008688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Supports an explicit absorption layer and shows passive HF signals can reveal absorption events.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Recommendation ITU-R P.533-14: Method for the prediction of the performance of HF circuits</w:t>
              <w:br/>
              <w:t>ITU-R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P.533-14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Primary classical reference for HF frequencies, field strength, and circuit performance; candidate baseline implementation.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Recommendation ITU-R P.372-18: Radio noise</w:t>
              <w:br/>
              <w:t>ITU-R (2026)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P.372-18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Defines external radio-noise modeling needed to convert received signal estimates into a usable SNR context.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Recommendation ITU-R P.842-2: Computation of reliability and compatibility of HF radio systems</w:t>
              <w:br/>
              <w:t>ITU-R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P.842-2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Useful system-level bridge from signal power and noise to reliability; valuable for future probabilistic detectability.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CORE</w:t>
            </w:r>
          </w:p>
        </w:tc>
      </w:tr>
    </w:tbl>
    <w:p>
      <w:pPr>
        <w:pStyle w:val="Heading2"/>
      </w:pPr>
      <w:r>
        <w:t>9.2 SolaraSphere context: useful, but not required for Story 6.17</w:t>
      </w:r>
    </w:p>
    <w:p>
      <w:pPr>
        <w:pStyle w:val="ListBullet"/>
      </w:pPr>
      <w:r>
        <w:rPr>
          <w:b/>
        </w:rPr>
        <w:t xml:space="preserve">Iono-PhyTAU: A Lightweight Global Ionospheric TEC Prediction Model Based on Temporal Attention Unit and Physical Condition Constraints of the Ionosphere. </w:t>
      </w:r>
      <w:r>
        <w:t xml:space="preserve">Useful for future physics-informed SolaraSphere forecasting and storm-period evaluation, but not needed to implement detectability. </w:t>
      </w:r>
      <w:hyperlink r:id="rId11">
        <w:r>
          <w:rPr>
            <w:color w:val="1F4E79"/>
            <w:u w:val="single"/>
          </w:rPr>
          <w:t>Source</w:t>
        </w:r>
      </w:hyperlink>
    </w:p>
    <w:p>
      <w:pPr>
        <w:pStyle w:val="ListBullet"/>
      </w:pPr>
      <w:r>
        <w:rPr>
          <w:b/>
        </w:rPr>
        <w:t xml:space="preserve">Localized ΣO/N₂ Enhancements During Non-Superstorms: Tongue, Vortex, and the Tongue-to-Vortex Transition. </w:t>
      </w:r>
      <w:r>
        <w:t xml:space="preserve">Supports the case that storm-time composition is spatially structured; useful when interpreting regional residuals. </w:t>
      </w:r>
      <w:hyperlink r:id="rId12">
        <w:r>
          <w:rPr>
            <w:color w:val="1F4E79"/>
            <w:u w:val="single"/>
          </w:rPr>
          <w:t>Source</w:t>
        </w:r>
      </w:hyperlink>
    </w:p>
    <w:p>
      <w:pPr>
        <w:pStyle w:val="ListBullet"/>
      </w:pPr>
      <w:r>
        <w:rPr>
          <w:b/>
        </w:rPr>
        <w:t xml:space="preserve">Equatorial Plasma Bubbles Modulate the Directional Coherence of the Ionosphere. </w:t>
      </w:r>
      <w:r>
        <w:t xml:space="preserve">Useful for azimuth- and latitude-stratified error analysis, especially at low latitudes. </w:t>
      </w:r>
      <w:hyperlink r:id="rId13">
        <w:r>
          <w:rPr>
            <w:color w:val="1F4E79"/>
            <w:u w:val="single"/>
          </w:rPr>
          <w:t>Source</w:t>
        </w:r>
      </w:hyperlink>
    </w:p>
    <w:p>
      <w:pPr>
        <w:pStyle w:val="Heading2"/>
      </w:pPr>
      <w:r>
        <w:t>9.3 SolaraSignal branch: add to the signal-classification library</w:t>
      </w:r>
    </w:p>
    <w:p>
      <w:pPr>
        <w:pStyle w:val="ListBullet"/>
      </w:pPr>
      <w:r>
        <w:rPr>
          <w:b/>
        </w:rPr>
        <w:t xml:space="preserve">BR-FiLM: Bounded Residual Channel-Quality Conditioning for Automatic Modulation Recognition. </w:t>
      </w:r>
      <w:r>
        <w:t xml:space="preserve">Strong reference for SNR-conditioned classification and low-SNR evaluation. </w:t>
      </w:r>
      <w:hyperlink r:id="rId14">
        <w:r>
          <w:rPr>
            <w:color w:val="1F4E79"/>
            <w:u w:val="single"/>
          </w:rPr>
          <w:t>Source</w:t>
        </w:r>
      </w:hyperlink>
    </w:p>
    <w:p>
      <w:pPr>
        <w:pStyle w:val="ListBullet"/>
      </w:pPr>
      <w:r>
        <w:rPr>
          <w:b/>
        </w:rPr>
        <w:t xml:space="preserve">Sub-6 GHz Over-the-Air AMC via Curriculum Fine-Tuned CNN-Transformers. </w:t>
      </w:r>
      <w:r>
        <w:t xml:space="preserve">Strong methodological reference for validating classifiers on real RF links rather than only synthetic or cabled data. </w:t>
      </w:r>
      <w:hyperlink r:id="rId15">
        <w:r>
          <w:rPr>
            <w:color w:val="1F4E79"/>
            <w:u w:val="single"/>
          </w:rPr>
          <w:t>Source</w:t>
        </w:r>
      </w:hyperlink>
    </w:p>
    <w:p>
      <w:pPr>
        <w:pStyle w:val="Heading1"/>
      </w:pPr>
      <w:r>
        <w:t>10. Suggested Library Metadata</w:t>
      </w:r>
    </w:p>
    <w:p>
      <w:pPr>
        <w:pStyle w:val="CodeBlock"/>
        <w:keepLines/>
      </w:pPr>
      <w:r>
        <w:rPr>
          <w:rFonts w:ascii="Consolas" w:hAnsi="Consolas"/>
          <w:sz w:val="17"/>
        </w:rPr>
        <w:t>title</w:t>
        <w:br/>
        <w:t>authors</w:t>
        <w:br/>
        <w:t>year</w:t>
        <w:br/>
        <w:t>venue</w:t>
        <w:br/>
        <w:t>doi_or_standard_id</w:t>
        <w:br/>
        <w:t>source_url</w:t>
        <w:br/>
        <w:t>accessed_at</w:t>
        <w:br/>
        <w:t>project_tags[]</w:t>
        <w:br/>
        <w:t xml:space="preserve">  - radio-atlas</w:t>
        <w:br/>
        <w:t xml:space="preserve">  - solarasphere</w:t>
        <w:br/>
        <w:t xml:space="preserve">  - propagation-validation</w:t>
        <w:br/>
        <w:t xml:space="preserve">  - reachability</w:t>
        <w:br/>
        <w:t xml:space="preserve">  - field-strength</w:t>
        <w:br/>
        <w:t xml:space="preserve">  - absorption</w:t>
        <w:br/>
        <w:t xml:space="preserve">  - radio-noise</w:t>
        <w:br/>
        <w:t xml:space="preserve">  - detectability</w:t>
        <w:br/>
        <w:t>priority: core | supporting | solara-signal</w:t>
        <w:br/>
        <w:t>implementation_notes</w:t>
        <w:br/>
        <w:t>related_story_ids[]</w:t>
      </w:r>
    </w:p>
    <w:p>
      <w:r>
        <w:t>For standards, store the recommendation number and revision explicitly. For papers, store DOI plus a stable publisher or arXiv URL. This will make later agent-assisted architecture work much less brittle than relying on filenames alone.</w:t>
      </w:r>
    </w:p>
    <w:p>
      <w:pPr>
        <w:pStyle w:val="Heading1"/>
      </w:pPr>
      <w:r>
        <w:t>11. Backlog Addition: Ready-to-Paste Story</w:t>
      </w:r>
    </w:p>
    <w:p>
      <w:r>
        <w:rPr>
          <w:b/>
        </w:rPr>
        <w:t>Story 6.17 - Distinguish Geometric Reachability from Signal Detectability</w:t>
      </w:r>
    </w:p>
    <w:p>
      <w:r>
        <w:t>As a Radio Atlas researcher, I want the propagation experiment to distinguish whether an HF ray path is physically supported from whether the resulting signal is likely to be detectable by a receiving system, so that prediction residuals can be interpreted correctly and future models can be evaluated against real observations without conflating ray geometry, attenuation, noise, and receiver performance.</w:t>
      </w:r>
    </w:p>
    <w:p>
      <w:r>
        <w:t>Acceptance criteria:</w:t>
      </w:r>
    </w:p>
    <w:p>
      <w:pPr>
        <w:pStyle w:val="ListBullet"/>
      </w:pPr>
      <w:r>
        <w:t>Reachability remains a first-class, independently persisted prediction.</w:t>
      </w:r>
    </w:p>
    <w:p>
      <w:pPr>
        <w:pStyle w:val="ListBullet"/>
      </w:pPr>
      <w:r>
        <w:t>Detectability is independently represented and may be unknown when signal/noise/receiver inputs are insufficient.</w:t>
      </w:r>
    </w:p>
    <w:p>
      <w:pPr>
        <w:pStyle w:val="ListBullet"/>
      </w:pPr>
      <w:r>
        <w:t>Field strength, path loss, absorption, external noise, receiver threshold, and required SNR are separately represented with explicit units.</w:t>
      </w:r>
    </w:p>
    <w:p>
      <w:pPr>
        <w:pStyle w:val="ListBullet"/>
      </w:pPr>
      <w:r>
        <w:t>Provider/model name and version are persisted for every computed layer.</w:t>
      </w:r>
    </w:p>
    <w:p>
      <w:pPr>
        <w:pStyle w:val="ListBullet"/>
      </w:pPr>
      <w:r>
        <w:t>Evaluation code does not treat missing PSK Reporter records as negatives unless the observation satisfies credible-negative rules.</w:t>
      </w:r>
    </w:p>
    <w:p>
      <w:pPr>
        <w:pStyle w:val="ListBullet"/>
      </w:pPr>
      <w:r>
        <w:t>Metrics can be reported separately for reachability and detectability.</w:t>
      </w:r>
    </w:p>
    <w:p>
      <w:pPr>
        <w:pStyle w:val="Heading1"/>
      </w:pPr>
      <w:r>
        <w:t>12. Source Links</w:t>
      </w:r>
    </w:p>
    <w:p>
      <w:pPr>
        <w:pStyle w:val="ListBullet"/>
      </w:pPr>
      <w:r>
        <w:t xml:space="preserve">Forsythe et al. (2026), PyRayHF: </w:t>
      </w:r>
      <w:hyperlink r:id="rId16">
        <w:r>
          <w:rPr>
            <w:color w:val="1F4E79"/>
            <w:u w:val="single"/>
          </w:rPr>
          <w:t>https://agupubs.onlinelibrary.wiley.com/doi/10.1029/2026RS008702</w:t>
        </w:r>
      </w:hyperlink>
    </w:p>
    <w:p>
      <w:pPr>
        <w:pStyle w:val="ListBullet"/>
      </w:pPr>
      <w:r>
        <w:t xml:space="preserve">Zhu et al. (2026), HF field-strength model comparison: </w:t>
      </w:r>
      <w:hyperlink r:id="rId17">
        <w:r>
          <w:rPr>
            <w:color w:val="1F4E79"/>
            <w:u w:val="single"/>
          </w:rPr>
          <w:t>https://agupubs.onlinelibrary.wiley.com/doi/10.1029/2025SW004907</w:t>
        </w:r>
      </w:hyperlink>
    </w:p>
    <w:p>
      <w:pPr>
        <w:pStyle w:val="ListBullet"/>
      </w:pPr>
      <w:r>
        <w:t xml:space="preserve">Verhulst et al. (2026), HF absorption monitoring: </w:t>
      </w:r>
      <w:hyperlink r:id="rId18">
        <w:r>
          <w:rPr>
            <w:color w:val="1F4E79"/>
            <w:u w:val="single"/>
          </w:rPr>
          <w:t>https://agupubs.onlinelibrary.wiley.com/doi/10.1029/2026RS008688</w:t>
        </w:r>
      </w:hyperlink>
    </w:p>
    <w:p>
      <w:pPr>
        <w:pStyle w:val="ListBullet"/>
      </w:pPr>
      <w:r>
        <w:t xml:space="preserve">ITU-R P.533-14: </w:t>
      </w:r>
      <w:hyperlink r:id="rId19">
        <w:r>
          <w:rPr>
            <w:color w:val="1F4E79"/>
            <w:u w:val="single"/>
          </w:rPr>
          <w:t>https://www.itu.int/dms_pubrec/itu-r/rec/p/R-REC-P.533-14-201908-I!!TOC-HTM-E.htm</w:t>
        </w:r>
      </w:hyperlink>
    </w:p>
    <w:p>
      <w:pPr>
        <w:pStyle w:val="ListBullet"/>
      </w:pPr>
      <w:r>
        <w:t xml:space="preserve">ITU-R P.372-18: </w:t>
      </w:r>
      <w:hyperlink r:id="rId20">
        <w:r>
          <w:rPr>
            <w:color w:val="1F4E79"/>
            <w:u w:val="single"/>
          </w:rPr>
          <w:t>https://www.itu.int/dms_pubrec/itu-r/rec/p/R-REC-P.372-18-202609-I!!SUM-HTM-E.htm</w:t>
        </w:r>
      </w:hyperlink>
    </w:p>
    <w:p>
      <w:pPr>
        <w:pStyle w:val="ListBullet"/>
      </w:pPr>
      <w:r>
        <w:t xml:space="preserve">ITU-R P.842-2: </w:t>
      </w:r>
      <w:hyperlink r:id="rId21">
        <w:r>
          <w:rPr>
            <w:color w:val="1F4E79"/>
            <w:u w:val="single"/>
          </w:rPr>
          <w:t>https://www.itu.int/dms_pubrec/itu-r/rec/p/R-REC-P.842-2-199907-S!!PDF-E.pdf</w:t>
        </w:r>
      </w:hyperlink>
    </w:p>
    <w:p>
      <w:pPr>
        <w:pStyle w:val="ListBullet"/>
      </w:pPr>
      <w:r>
        <w:t xml:space="preserve">Iono-PhyTAU: </w:t>
      </w:r>
      <w:hyperlink r:id="rId11">
        <w:r>
          <w:rPr>
            <w:color w:val="1F4E79"/>
            <w:u w:val="single"/>
          </w:rPr>
          <w:t>https://agupubs.onlinelibrary.wiley.com/doi/10.1029/2026SW005211</w:t>
        </w:r>
      </w:hyperlink>
    </w:p>
    <w:p>
      <w:pPr>
        <w:pStyle w:val="ListBullet"/>
      </w:pPr>
      <w:r>
        <w:t xml:space="preserve">Yu et al. (2026), ΣO/N₂ storm structures: </w:t>
      </w:r>
      <w:hyperlink r:id="rId12">
        <w:r>
          <w:rPr>
            <w:color w:val="1F4E79"/>
            <w:u w:val="single"/>
          </w:rPr>
          <w:t>https://agupubs.onlinelibrary.wiley.com/doi/10.1029/2026JA036029</w:t>
        </w:r>
      </w:hyperlink>
    </w:p>
    <w:p>
      <w:pPr>
        <w:pStyle w:val="ListBullet"/>
      </w:pPr>
      <w:r>
        <w:t xml:space="preserve">Liu et al. (2026), equatorial plasma bubble coherence: </w:t>
      </w:r>
      <w:hyperlink r:id="rId13">
        <w:r>
          <w:rPr>
            <w:color w:val="1F4E79"/>
            <w:u w:val="single"/>
          </w:rPr>
          <w:t>https://agupubs.onlinelibrary.wiley.com/doi/10.1029/2026JA035960</w:t>
        </w:r>
      </w:hyperlink>
    </w:p>
    <w:p>
      <w:pPr>
        <w:pStyle w:val="ListBullet"/>
      </w:pPr>
      <w:r>
        <w:t xml:space="preserve">BR-FiLM: </w:t>
      </w:r>
      <w:hyperlink r:id="rId14">
        <w:r>
          <w:rPr>
            <w:color w:val="1F4E79"/>
            <w:u w:val="single"/>
          </w:rPr>
          <w:t>https://arxiv.org/abs/2608.18395</w:t>
        </w:r>
      </w:hyperlink>
    </w:p>
    <w:p>
      <w:pPr>
        <w:pStyle w:val="ListBullet"/>
      </w:pPr>
      <w:r>
        <w:t xml:space="preserve">Sub-6 GHz Over-the-Air AMC: </w:t>
      </w:r>
      <w:hyperlink r:id="rId15">
        <w:r>
          <w:rPr>
            <w:color w:val="1F4E79"/>
            <w:u w:val="single"/>
          </w:rPr>
          <w:t>https://arxiv.org/abs/2609.07726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373"/>
        <w:sz w:val="16"/>
      </w:rPr>
      <w:t>Reachability vs. Detectability • Project Report and Roadmap •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RADIO ATLAS / SOLARASPHERE  |  PROPAGATION EXPERIMENT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0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04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gupubs.onlinelibrary.wiley.com/doi/10.1029/2026SW005211" TargetMode="External"/><Relationship Id="rId12" Type="http://schemas.openxmlformats.org/officeDocument/2006/relationships/hyperlink" Target="https://agupubs.onlinelibrary.wiley.com/doi/10.1029/2026JA036029" TargetMode="External"/><Relationship Id="rId13" Type="http://schemas.openxmlformats.org/officeDocument/2006/relationships/hyperlink" Target="https://agupubs.onlinelibrary.wiley.com/doi/10.1029/2026JA035960" TargetMode="External"/><Relationship Id="rId14" Type="http://schemas.openxmlformats.org/officeDocument/2006/relationships/hyperlink" Target="https://arxiv.org/abs/2608.18395" TargetMode="External"/><Relationship Id="rId15" Type="http://schemas.openxmlformats.org/officeDocument/2006/relationships/hyperlink" Target="https://arxiv.org/abs/2609.07726" TargetMode="External"/><Relationship Id="rId16" Type="http://schemas.openxmlformats.org/officeDocument/2006/relationships/hyperlink" Target="https://agupubs.onlinelibrary.wiley.com/doi/10.1029/2026RS008702" TargetMode="External"/><Relationship Id="rId17" Type="http://schemas.openxmlformats.org/officeDocument/2006/relationships/hyperlink" Target="https://agupubs.onlinelibrary.wiley.com/doi/10.1029/2025SW004907" TargetMode="External"/><Relationship Id="rId18" Type="http://schemas.openxmlformats.org/officeDocument/2006/relationships/hyperlink" Target="https://agupubs.onlinelibrary.wiley.com/doi/10.1029/2026RS008688" TargetMode="External"/><Relationship Id="rId19" Type="http://schemas.openxmlformats.org/officeDocument/2006/relationships/hyperlink" Target="https://www.itu.int/dms_pubrec/itu-r/rec/p/R-REC-P.533-14-201908-I!!TOC-HTM-E.htm" TargetMode="External"/><Relationship Id="rId20" Type="http://schemas.openxmlformats.org/officeDocument/2006/relationships/hyperlink" Target="https://www.itu.int/dms_pubrec/itu-r/rec/p/R-REC-P.372-18-202609-I!!SUM-HTM-E.htm" TargetMode="External"/><Relationship Id="rId21" Type="http://schemas.openxmlformats.org/officeDocument/2006/relationships/hyperlink" Target="https://www.itu.int/dms_pubrec/itu-r/rec/p/R-REC-P.842-2-199907-S!!PDF-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