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Propagation Model Validation Roadmap</w:t>
      </w:r>
    </w:p>
    <w:p>
      <w:pPr>
        <w:jc w:val="center"/>
      </w:pPr>
      <w:r>
        <w:rPr>
          <w:b/>
          <w:color w:val="505050"/>
          <w:sz w:val="26"/>
        </w:rPr>
        <w:t>PyRayHF + PSK Reporter for Radio Atlas / SolaraSphere</w:t>
      </w:r>
    </w:p>
    <w:p>
      <w:pPr>
        <w:jc w:val="center"/>
      </w:pPr>
      <w:r>
        <w:rPr>
          <w:i/>
          <w:color w:val="6E6E6E"/>
          <w:sz w:val="18"/>
        </w:rPr>
        <w:t>Experiment roadmap | October 2026</w:t>
      </w:r>
    </w:p>
    <w:p>
      <w:pPr>
        <w:pStyle w:val="Heading1"/>
      </w:pPr>
      <w:r>
        <w:t>Executive Summary</w:t>
      </w:r>
    </w:p>
    <w:p>
      <w:r>
        <w:t>This roadmap defines an experimental track for validating HF propagation predictions against real PSK Reporter observations. The first milestone is deliberately narrow: for a known transmitter/receiver pair and operating frequency, generate a predicted path from an ionospheric model through PyRayHF, compare that prediction with observed reception, and persist the result in a replayable evaluation corpus. The framework is designed so PyRayHF is the first prediction engine, not a hard-wired dependency, allowing later comparison of ionospheric models and eventual SolaraSphere machine-learning models.</w:t>
      </w:r>
    </w:p>
    <w:p>
      <w:pPr>
        <w:pStyle w:val="Heading1"/>
      </w:pPr>
      <w:r>
        <w:t>Core Research Question</w:t>
      </w:r>
    </w:p>
    <w:p>
      <w:r>
        <w:rPr>
          <w:b/>
        </w:rPr>
        <w:t>Given an ionospheric state at time t, can Radio Atlas predict whether an HF signal at frequency f should propagate between transmitter A and receiver B, and how well do those predictions agree with real PSK Reporter observations?</w:t>
      </w:r>
    </w:p>
    <w:p>
      <w:pPr>
        <w:pStyle w:val="Heading1"/>
      </w:pPr>
      <w:r>
        <w:t>Target Experiment Record</w:t>
      </w:r>
    </w:p>
    <w:p>
      <w:pPr>
        <w:pStyle w:val="CodeBlock"/>
      </w:pPr>
      <w:r>
        <w:rPr>
          <w:rFonts w:ascii="Liberation Mono" w:hAnsi="Liberation Mono"/>
          <w:sz w:val="17"/>
        </w:rPr>
        <w:t>timestamp | TX | RX | MHz | predicted_reachable | observed | path_geometry | solar_state | residual</w:t>
      </w:r>
    </w:p>
    <w:p>
      <w:r>
        <w:t>The initial experiment should favor explicit, inspectable fields over a single opaque residual score. Prediction, observation, activity evidence, and evaluation outcome should remain separable so the same observation corpus can be replayed against different models.</w:t>
      </w:r>
    </w:p>
    <w:p>
      <w:pPr>
        <w:pStyle w:val="Heading1"/>
      </w:pPr>
      <w:r>
        <w:t>Roadmap</w:t>
      </w:r>
    </w:p>
    <w:p>
      <w:pPr>
        <w:pStyle w:val="Heading2"/>
      </w:pPr>
      <w:r>
        <w:t>Epic 1 - Define the experimental observation model</w:t>
      </w:r>
    </w:p>
    <w:p>
      <w:r>
        <w:rPr>
          <w:b/>
        </w:rPr>
        <w:t xml:space="preserve">Goal: </w:t>
      </w:r>
      <w:r>
        <w:t>Lock down exactly what constitutes a prediction, an observation, and a comparable experiment sample.</w:t>
      </w:r>
    </w:p>
    <w:p>
      <w:r>
        <w:rPr>
          <w:b/>
        </w:rPr>
        <w:t xml:space="preserve">Key design: </w:t>
      </w:r>
      <w:r>
        <w:t>Keep raw PSK spots separate from experiment-domain records. A missing PSK Reporter record is not automatically a failed reception.</w:t>
      </w:r>
    </w:p>
    <w:p>
      <w:r>
        <w:rPr>
          <w:b/>
        </w:rPr>
        <w:t xml:space="preserve">Deliverables: </w:t>
      </w:r>
      <w:r>
        <w:t>PropagationObservation, PropagationPrediction, and PropagationEvaluation domain models.</w:t>
      </w:r>
    </w:p>
    <w:p>
      <w:r>
        <w:rPr>
          <w:b/>
        </w:rPr>
        <w:t xml:space="preserve">Acceptance criterion: </w:t>
      </w:r>
      <w:r>
        <w:t>The schema can represent positive observations, credible negative observations, unknowns, model metadata, path geometry, solar/geomagnetic context, and experiment identifiers.</w:t>
      </w:r>
    </w:p>
    <w:p>
      <w:pPr>
        <w:pStyle w:val="Heading2"/>
      </w:pPr>
      <w:r>
        <w:t>Epic 2 - Establish the ionosphere baseline</w:t>
      </w:r>
    </w:p>
    <w:p>
      <w:r>
        <w:rPr>
          <w:b/>
        </w:rPr>
        <w:t xml:space="preserve">Goal: </w:t>
      </w:r>
      <w:r>
        <w:t>Create a versioned ionosphere-provider abstraction and use IRI as the first baseline.</w:t>
      </w:r>
    </w:p>
    <w:p>
      <w:r>
        <w:rPr>
          <w:b/>
        </w:rPr>
        <w:t xml:space="preserve">Key design: </w:t>
      </w:r>
      <w:r>
        <w:t>Persist the exact electron-density state and model metadata used for each experiment so results are reproducible.</w:t>
      </w:r>
    </w:p>
    <w:p>
      <w:r>
        <w:rPr>
          <w:b/>
        </w:rPr>
        <w:t xml:space="preserve">Deliverables: </w:t>
      </w:r>
      <w:r>
        <w:t>IonosphereProvider protocol; IRI provider implementation; persisted ionosphere snapshot containing altitude/electron density and relevant model inputs.</w:t>
      </w:r>
    </w:p>
    <w:p>
      <w:r>
        <w:rPr>
          <w:b/>
        </w:rPr>
        <w:t xml:space="preserve">Acceptance criterion: </w:t>
      </w:r>
      <w:r>
        <w:t>Given timestamp, latitude, and longitude, Radio Atlas deterministically generates and stores the ionospheric state used by a run.</w:t>
      </w:r>
    </w:p>
    <w:p>
      <w:pPr>
        <w:pStyle w:val="Heading2"/>
      </w:pPr>
      <w:r>
        <w:t>Epic 3 - Wrap PyRayHF behind a propagation interface</w:t>
      </w:r>
    </w:p>
    <w:p>
      <w:r>
        <w:rPr>
          <w:b/>
        </w:rPr>
        <w:t xml:space="preserve">Goal: </w:t>
      </w:r>
      <w:r>
        <w:t>Create a predictor abstraction so PyRayHF does not leak throughout the application.</w:t>
      </w:r>
    </w:p>
    <w:p>
      <w:r>
        <w:rPr>
          <w:b/>
        </w:rPr>
        <w:t xml:space="preserve">Key design: </w:t>
      </w:r>
      <w:r>
        <w:t>Begin with the fastest physically suitable solver and a minimal prediction object.</w:t>
      </w:r>
    </w:p>
    <w:p>
      <w:r>
        <w:rPr>
          <w:b/>
        </w:rPr>
        <w:t xml:space="preserve">Deliverables: </w:t>
      </w:r>
      <w:r>
        <w:t>PropagationPredictor protocol and PyRayHFPredictor implementation.</w:t>
      </w:r>
    </w:p>
    <w:p>
      <w:r>
        <w:rPr>
          <w:b/>
        </w:rPr>
        <w:t xml:space="preserve">Acceptance criterion: </w:t>
      </w:r>
      <w:r>
        <w:t>Given TX/RX coordinates, timestamp, frequency, and ionosphere state, the service returns a reproducible prediction including reachability and basic path geometry.</w:t>
      </w:r>
    </w:p>
    <w:p>
      <w:pPr>
        <w:pStyle w:val="Heading2"/>
      </w:pPr>
      <w:r>
        <w:t>Epic 4 - Run a single-path validation experiment</w:t>
      </w:r>
    </w:p>
    <w:p>
      <w:r>
        <w:rPr>
          <w:b/>
        </w:rPr>
        <w:t xml:space="preserve">Goal: </w:t>
      </w:r>
      <w:r>
        <w:t>Prove the end-to-end experiment on one stable path before scaling.</w:t>
      </w:r>
    </w:p>
    <w:p>
      <w:r>
        <w:rPr>
          <w:b/>
        </w:rPr>
        <w:t xml:space="preserve">Scope: </w:t>
      </w:r>
      <w:r>
        <w:t>One transmitter, one consistently reporting receiver, one band/mode, and a 24-hour window sampled at regular intervals.</w:t>
      </w:r>
    </w:p>
    <w:p>
      <w:r>
        <w:rPr>
          <w:b/>
        </w:rPr>
        <w:t xml:space="preserve">Deliverables: </w:t>
      </w:r>
      <w:r>
        <w:t>Time-aligned predicted and observed reachability records.</w:t>
      </w:r>
    </w:p>
    <w:p>
      <w:r>
        <w:rPr>
          <w:b/>
        </w:rPr>
        <w:t xml:space="preserve">Acceptance criterion: </w:t>
      </w:r>
      <w:r>
        <w:t>A full day produces a comparable timeline of predicted vs observed reception with no manual joins.</w:t>
      </w:r>
    </w:p>
    <w:p>
      <w:pPr>
        <w:pStyle w:val="Heading2"/>
      </w:pPr>
      <w:r>
        <w:t>Epic 5 - Solve the negative-observation problem</w:t>
      </w:r>
    </w:p>
    <w:p>
      <w:r>
        <w:rPr>
          <w:b/>
        </w:rPr>
        <w:t xml:space="preserve">Goal: </w:t>
      </w:r>
      <w:r>
        <w:t>Distinguish true non-reception from missing data.</w:t>
      </w:r>
    </w:p>
    <w:p>
      <w:r>
        <w:rPr>
          <w:b/>
        </w:rPr>
        <w:t xml:space="preserve">Key design: </w:t>
      </w:r>
      <w:r>
        <w:t>Only treat observed=false as credible when receiver activity, transmitter activity, compatible band/mode monitoring, and absence of the target reception can all be demonstrated.</w:t>
      </w:r>
    </w:p>
    <w:p>
      <w:r>
        <w:rPr>
          <w:b/>
        </w:rPr>
        <w:t xml:space="preserve">Deliverables: </w:t>
      </w:r>
      <w:r>
        <w:t>Receiver/transmitter activity detector and observation-confidence logic.</w:t>
      </w:r>
    </w:p>
    <w:p>
      <w:r>
        <w:rPr>
          <w:b/>
        </w:rPr>
        <w:t xml:space="preserve">Acceptance criterion: </w:t>
      </w:r>
      <w:r>
        <w:t>Every negative sample is either supported by activity evidence or marked UNKNOWN.</w:t>
      </w:r>
    </w:p>
    <w:p>
      <w:pPr>
        <w:pStyle w:val="Heading2"/>
      </w:pPr>
      <w:r>
        <w:t>Epic 6 - Define the residual and evaluation classes</w:t>
      </w:r>
    </w:p>
    <w:p>
      <w:r>
        <w:rPr>
          <w:b/>
        </w:rPr>
        <w:t xml:space="preserve">Goal: </w:t>
      </w:r>
      <w:r>
        <w:t>Start with explicit outcomes before introducing continuous residuals.</w:t>
      </w:r>
    </w:p>
    <w:p>
      <w:r>
        <w:rPr>
          <w:b/>
        </w:rPr>
        <w:t xml:space="preserve">Initial classes: </w:t>
      </w:r>
      <w:r>
        <w:t>TRUE_POSITIVE, TRUE_NEGATIVE, FALSE_POSITIVE, FALSE_NEGATIVE, UNKNOWN.</w:t>
      </w:r>
    </w:p>
    <w:p>
      <w:r>
        <w:rPr>
          <w:b/>
        </w:rPr>
        <w:t xml:space="preserve">Metrics: </w:t>
      </w:r>
      <w:r>
        <w:t>Accuracy, precision, recall, false-positive rate, false-negative rate, and balanced accuracy, excluding UNKNOWN samples.</w:t>
      </w:r>
    </w:p>
    <w:p>
      <w:r>
        <w:rPr>
          <w:b/>
        </w:rPr>
        <w:t xml:space="preserve">Later residuals: </w:t>
      </w:r>
      <w:r>
        <w:t>MUF margin, path-length error, predicted-vs-observed SNR, group-delay error, or other continuous physics-based discrepancies.</w:t>
      </w:r>
    </w:p>
    <w:p>
      <w:pPr>
        <w:pStyle w:val="Heading2"/>
      </w:pPr>
      <w:r>
        <w:t>Epic 7 - Persist replayable experiment runs</w:t>
      </w:r>
    </w:p>
    <w:p>
      <w:r>
        <w:rPr>
          <w:b/>
        </w:rPr>
        <w:t xml:space="preserve">Goal: </w:t>
      </w:r>
      <w:r>
        <w:t>Make every experiment rerunnable against new model versions.</w:t>
      </w:r>
    </w:p>
    <w:p>
      <w:r>
        <w:rPr>
          <w:b/>
        </w:rPr>
        <w:t xml:space="preserve">Key design: </w:t>
      </w:r>
      <w:r>
        <w:t>Use experiment_id plus immutable observation data; store model name/version/configuration separately from observations.</w:t>
      </w:r>
    </w:p>
    <w:p>
      <w:r>
        <w:rPr>
          <w:b/>
        </w:rPr>
        <w:t xml:space="preserve">Deliverables: </w:t>
      </w:r>
      <w:r>
        <w:t>propagation_experiment, propagation_prediction, propagation_observation, and propagation_evaluation persistence.</w:t>
      </w:r>
    </w:p>
    <w:p>
      <w:r>
        <w:rPr>
          <w:b/>
        </w:rPr>
        <w:t xml:space="preserve">Acceptance criterion: </w:t>
      </w:r>
      <w:r>
        <w:t>The same observation corpus can be replayed through multiple ionosphere/predictor configurations without rewriting observations.</w:t>
      </w:r>
    </w:p>
    <w:p>
      <w:pPr>
        <w:pStyle w:val="Heading2"/>
      </w:pPr>
      <w:r>
        <w:t>Epic 8 - Build the first evaluation dashboard</w:t>
      </w:r>
    </w:p>
    <w:p>
      <w:r>
        <w:rPr>
          <w:b/>
        </w:rPr>
        <w:t xml:space="preserve">Goal: </w:t>
      </w:r>
      <w:r>
        <w:t>Expose model behavior rather than only aggregate scores.</w:t>
      </w:r>
    </w:p>
    <w:p>
      <w:r>
        <w:rPr>
          <w:b/>
        </w:rPr>
        <w:t xml:space="preserve">Views: </w:t>
      </w:r>
      <w:r>
        <w:t>Path timeline, confusion matrix, error vs frequency, and geographic residual layer.</w:t>
      </w:r>
    </w:p>
    <w:p>
      <w:r>
        <w:rPr>
          <w:b/>
        </w:rPr>
        <w:t xml:space="preserve">Acceptance criterion: </w:t>
      </w:r>
      <w:r>
        <w:t>A researcher can identify when, where, and under what frequency conditions predictions diverge from observations.</w:t>
      </w:r>
    </w:p>
    <w:p>
      <w:pPr>
        <w:pStyle w:val="Heading2"/>
      </w:pPr>
      <w:r>
        <w:t>Epic 9 - Scale from one path to path cohorts</w:t>
      </w:r>
    </w:p>
    <w:p>
      <w:r>
        <w:rPr>
          <w:b/>
        </w:rPr>
        <w:t xml:space="preserve">Goal: </w:t>
      </w:r>
      <w:r>
        <w:t>Expand deliberately from a single link to regional and global cohorts.</w:t>
      </w:r>
    </w:p>
    <w:p>
      <w:r>
        <w:rPr>
          <w:b/>
        </w:rPr>
        <w:t xml:space="preserve">Scale sequence: </w:t>
      </w:r>
      <w:r>
        <w:t>1 TX x 1 RX -&gt; 1 TX x ~20 RX -&gt; multi-TX/multi-RX -&gt; regional network -&gt; global historical replay.</w:t>
      </w:r>
    </w:p>
    <w:p>
      <w:r>
        <w:rPr>
          <w:b/>
        </w:rPr>
        <w:t xml:space="preserve">Stratification: </w:t>
      </w:r>
      <w:r>
        <w:t>Distance, azimuth, latitude, day/night, band, season, and geomagnetic state.</w:t>
      </w:r>
    </w:p>
    <w:p>
      <w:r>
        <w:rPr>
          <w:b/>
        </w:rPr>
        <w:t xml:space="preserve">Acceptance criterion: </w:t>
      </w:r>
      <w:r>
        <w:t>Metrics can be grouped by path cohort and physical context rather than reported as one global accuracy number.</w:t>
      </w:r>
    </w:p>
    <w:p>
      <w:pPr>
        <w:pStyle w:val="Heading2"/>
      </w:pPr>
      <w:r>
        <w:t>Epic 10 - Add space-weather stratification</w:t>
      </w:r>
    </w:p>
    <w:p>
      <w:r>
        <w:rPr>
          <w:b/>
        </w:rPr>
        <w:t xml:space="preserve">Goal: </w:t>
      </w:r>
      <w:r>
        <w:t>Connect model error to the NOAA/SolaraSphere space-weather pipeline.</w:t>
      </w:r>
    </w:p>
    <w:p>
      <w:r>
        <w:rPr>
          <w:b/>
        </w:rPr>
        <w:t xml:space="preserve">Context fields: </w:t>
      </w:r>
      <w:r>
        <w:t>F10.7, Kp, solar-wind speed, IMF Bz, sunspot number, local solar time, solar zenith angle, and terminator distance.</w:t>
      </w:r>
    </w:p>
    <w:p>
      <w:r>
        <w:rPr>
          <w:b/>
        </w:rPr>
        <w:t xml:space="preserve">Acceptance criterion: </w:t>
      </w:r>
      <w:r>
        <w:t>Evaluation results can be compared across quiet, moderate, and disturbed geomagnetic conditions.</w:t>
      </w:r>
    </w:p>
    <w:p>
      <w:pPr>
        <w:pStyle w:val="Heading2"/>
      </w:pPr>
      <w:r>
        <w:t>Epic 11 - Compare ionospheric models</w:t>
      </w:r>
    </w:p>
    <w:p>
      <w:r>
        <w:rPr>
          <w:b/>
        </w:rPr>
        <w:t xml:space="preserve">Goal: </w:t>
      </w:r>
      <w:r>
        <w:t>Turn the framework into a controlled benchmarking system.</w:t>
      </w:r>
    </w:p>
    <w:p>
      <w:r>
        <w:rPr>
          <w:b/>
        </w:rPr>
        <w:t xml:space="preserve">Candidate sequence: </w:t>
      </w:r>
      <w:r>
        <w:t>IRI climatology -&gt; IRI with measured drivers -&gt; assimilative ionosphere -&gt; SolaraSphere ML state estimate.</w:t>
      </w:r>
    </w:p>
    <w:p>
      <w:r>
        <w:rPr>
          <w:b/>
        </w:rPr>
        <w:t xml:space="preserve">Control: </w:t>
      </w:r>
      <w:r>
        <w:t>Hold stations, frequencies, timestamps, predictor, and evaluation logic constant.</w:t>
      </w:r>
    </w:p>
    <w:p>
      <w:r>
        <w:rPr>
          <w:b/>
        </w:rPr>
        <w:t xml:space="preserve">Acceptance criterion: </w:t>
      </w:r>
      <w:r>
        <w:t>Model-to-model comparisons use identical observations and experiment conditions.</w:t>
      </w:r>
    </w:p>
    <w:p>
      <w:pPr>
        <w:pStyle w:val="Heading2"/>
      </w:pPr>
      <w:r>
        <w:t>Epic 12 - Turn residuals into SolaraSphere training data</w:t>
      </w:r>
    </w:p>
    <w:p>
      <w:r>
        <w:rPr>
          <w:b/>
        </w:rPr>
        <w:t xml:space="preserve">Goal: </w:t>
      </w:r>
      <w:r>
        <w:t>Create a supervised corpus for probabilistic reception modeling.</w:t>
      </w:r>
    </w:p>
    <w:p>
      <w:r>
        <w:rPr>
          <w:b/>
        </w:rPr>
        <w:t xml:space="preserve">Feature families: </w:t>
      </w:r>
      <w:r>
        <w:t>Ionospheric state, solar/geomagnetic state, path geometry, frequency, local time, season, and PyRayHF prediction.</w:t>
      </w:r>
    </w:p>
    <w:p>
      <w:r>
        <w:rPr>
          <w:b/>
        </w:rPr>
        <w:t xml:space="preserve">Target: </w:t>
      </w:r>
      <w:r>
        <w:t>Observed reception or calibrated reception probability.</w:t>
      </w:r>
    </w:p>
    <w:p>
      <w:r>
        <w:rPr>
          <w:b/>
        </w:rPr>
        <w:t xml:space="preserve">Long-term output: </w:t>
      </w:r>
      <w:r>
        <w:t>P(reception | ionosphere, path, frequency, solar_state) with model confidence and explainable context.</w:t>
      </w:r>
    </w:p>
    <w:p>
      <w:pPr>
        <w:pStyle w:val="Heading1"/>
      </w:pPr>
      <w:r>
        <w:t>Proposed Story Sequence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A565B"/>
          </w:tcPr>
          <w:p>
            <w:r/>
            <w:r>
              <w:rPr>
                <w:b/>
                <w:color w:val="FFFFFF"/>
                <w:sz w:val="18"/>
              </w:rPr>
              <w:t>Story</w:t>
            </w:r>
          </w:p>
        </w:tc>
        <w:tc>
          <w:tcPr>
            <w:tcW w:type="dxa" w:w="5040"/>
            <w:vAlign w:val="center"/>
            <w:shd w:fill="2A565B"/>
          </w:tcPr>
          <w:p>
            <w:r/>
            <w:r>
              <w:rPr>
                <w:b/>
                <w:color w:val="FFFFFF"/>
                <w:sz w:val="18"/>
              </w:rPr>
              <w:t>Goal</w:t>
            </w:r>
          </w:p>
        </w:tc>
      </w:tr>
      <w:tr>
        <w:tc>
          <w:tcPr>
            <w:tcW w:type="dxa" w:w="5040"/>
            <w:vAlign w:val="center"/>
          </w:tcPr>
          <w:p>
            <w:r/>
            <w:r>
              <w:rPr>
                <w:b/>
                <w:sz w:val="17"/>
              </w:rPr>
              <w:t>6.1</w:t>
            </w:r>
          </w:p>
        </w:tc>
        <w:tc>
          <w:tcPr>
            <w:tcW w:type="dxa" w:w="5040"/>
            <w:vAlign w:val="center"/>
          </w:tcPr>
          <w:p>
            <w:r/>
            <w:r>
              <w:rPr>
                <w:b w:val="0"/>
                <w:sz w:val="17"/>
              </w:rPr>
              <w:t>Define propagation experiment domain model</w:t>
            </w:r>
          </w:p>
        </w:tc>
      </w:tr>
      <w:tr>
        <w:tc>
          <w:tcPr>
            <w:tcW w:type="dxa" w:w="5040"/>
            <w:vAlign w:val="center"/>
            <w:shd w:fill="F3F6F6"/>
          </w:tcPr>
          <w:p>
            <w:r/>
            <w:r>
              <w:rPr>
                <w:b/>
                <w:sz w:val="17"/>
              </w:rPr>
              <w:t>6.2</w:t>
            </w:r>
          </w:p>
        </w:tc>
        <w:tc>
          <w:tcPr>
            <w:tcW w:type="dxa" w:w="5040"/>
            <w:vAlign w:val="center"/>
            <w:shd w:fill="F3F6F6"/>
          </w:tcPr>
          <w:p>
            <w:r/>
            <w:r>
              <w:rPr>
                <w:b w:val="0"/>
                <w:sz w:val="17"/>
              </w:rPr>
              <w:t>Implement versioned ionosphere-provider interface</w:t>
            </w:r>
          </w:p>
        </w:tc>
      </w:tr>
      <w:tr>
        <w:tc>
          <w:tcPr>
            <w:tcW w:type="dxa" w:w="5040"/>
            <w:vAlign w:val="center"/>
          </w:tcPr>
          <w:p>
            <w:r/>
            <w:r>
              <w:rPr>
                <w:b/>
                <w:sz w:val="17"/>
              </w:rPr>
              <w:t>6.3</w:t>
            </w:r>
          </w:p>
        </w:tc>
        <w:tc>
          <w:tcPr>
            <w:tcW w:type="dxa" w:w="5040"/>
            <w:vAlign w:val="center"/>
          </w:tcPr>
          <w:p>
            <w:r/>
            <w:r>
              <w:rPr>
                <w:b w:val="0"/>
                <w:sz w:val="17"/>
              </w:rPr>
              <w:t>Integrate IRI baseline</w:t>
            </w:r>
          </w:p>
        </w:tc>
      </w:tr>
      <w:tr>
        <w:tc>
          <w:tcPr>
            <w:tcW w:type="dxa" w:w="5040"/>
            <w:vAlign w:val="center"/>
            <w:shd w:fill="F3F6F6"/>
          </w:tcPr>
          <w:p>
            <w:r/>
            <w:r>
              <w:rPr>
                <w:b/>
                <w:sz w:val="17"/>
              </w:rPr>
              <w:t>6.4</w:t>
            </w:r>
          </w:p>
        </w:tc>
        <w:tc>
          <w:tcPr>
            <w:tcW w:type="dxa" w:w="5040"/>
            <w:vAlign w:val="center"/>
            <w:shd w:fill="F3F6F6"/>
          </w:tcPr>
          <w:p>
            <w:r/>
            <w:r>
              <w:rPr>
                <w:b w:val="0"/>
                <w:sz w:val="17"/>
              </w:rPr>
              <w:t>Create PyRayHF propagation-provider interface</w:t>
            </w:r>
          </w:p>
        </w:tc>
      </w:tr>
      <w:tr>
        <w:tc>
          <w:tcPr>
            <w:tcW w:type="dxa" w:w="5040"/>
            <w:vAlign w:val="center"/>
          </w:tcPr>
          <w:p>
            <w:r/>
            <w:r>
              <w:rPr>
                <w:b/>
                <w:sz w:val="17"/>
              </w:rPr>
              <w:t>6.5</w:t>
            </w:r>
          </w:p>
        </w:tc>
        <w:tc>
          <w:tcPr>
            <w:tcW w:type="dxa" w:w="5040"/>
            <w:vAlign w:val="center"/>
          </w:tcPr>
          <w:p>
            <w:r/>
            <w:r>
              <w:rPr>
                <w:b w:val="0"/>
                <w:sz w:val="17"/>
              </w:rPr>
              <w:t>Implement single-path ray prediction</w:t>
            </w:r>
          </w:p>
        </w:tc>
      </w:tr>
      <w:tr>
        <w:tc>
          <w:tcPr>
            <w:tcW w:type="dxa" w:w="5040"/>
            <w:vAlign w:val="center"/>
            <w:shd w:fill="F3F6F6"/>
          </w:tcPr>
          <w:p>
            <w:r/>
            <w:r>
              <w:rPr>
                <w:b/>
                <w:sz w:val="17"/>
              </w:rPr>
              <w:t>6.6</w:t>
            </w:r>
          </w:p>
        </w:tc>
        <w:tc>
          <w:tcPr>
            <w:tcW w:type="dxa" w:w="5040"/>
            <w:vAlign w:val="center"/>
            <w:shd w:fill="F3F6F6"/>
          </w:tcPr>
          <w:p>
            <w:r/>
            <w:r>
              <w:rPr>
                <w:b w:val="0"/>
                <w:sz w:val="17"/>
              </w:rPr>
              <w:t>Normalize PSK observations for experiment use</w:t>
            </w:r>
          </w:p>
        </w:tc>
      </w:tr>
      <w:tr>
        <w:tc>
          <w:tcPr>
            <w:tcW w:type="dxa" w:w="5040"/>
            <w:vAlign w:val="center"/>
          </w:tcPr>
          <w:p>
            <w:r/>
            <w:r>
              <w:rPr>
                <w:b/>
                <w:sz w:val="17"/>
              </w:rPr>
              <w:t>6.7</w:t>
            </w:r>
          </w:p>
        </w:tc>
        <w:tc>
          <w:tcPr>
            <w:tcW w:type="dxa" w:w="5040"/>
            <w:vAlign w:val="center"/>
          </w:tcPr>
          <w:p>
            <w:r/>
            <w:r>
              <w:rPr>
                <w:b w:val="0"/>
                <w:sz w:val="17"/>
              </w:rPr>
              <w:t>Implement receiver/transmitter activity detection</w:t>
            </w:r>
          </w:p>
        </w:tc>
      </w:tr>
      <w:tr>
        <w:tc>
          <w:tcPr>
            <w:tcW w:type="dxa" w:w="5040"/>
            <w:vAlign w:val="center"/>
            <w:shd w:fill="F3F6F6"/>
          </w:tcPr>
          <w:p>
            <w:r/>
            <w:r>
              <w:rPr>
                <w:b/>
                <w:sz w:val="17"/>
              </w:rPr>
              <w:t>6.8</w:t>
            </w:r>
          </w:p>
        </w:tc>
        <w:tc>
          <w:tcPr>
            <w:tcW w:type="dxa" w:w="5040"/>
            <w:vAlign w:val="center"/>
            <w:shd w:fill="F3F6F6"/>
          </w:tcPr>
          <w:p>
            <w:r/>
            <w:r>
              <w:rPr>
                <w:b w:val="0"/>
                <w:sz w:val="17"/>
              </w:rPr>
              <w:t>Match predictions with observations</w:t>
            </w:r>
          </w:p>
        </w:tc>
      </w:tr>
      <w:tr>
        <w:tc>
          <w:tcPr>
            <w:tcW w:type="dxa" w:w="5040"/>
            <w:vAlign w:val="center"/>
          </w:tcPr>
          <w:p>
            <w:r/>
            <w:r>
              <w:rPr>
                <w:b/>
                <w:sz w:val="17"/>
              </w:rPr>
              <w:t>6.9</w:t>
            </w:r>
          </w:p>
        </w:tc>
        <w:tc>
          <w:tcPr>
            <w:tcW w:type="dxa" w:w="5040"/>
            <w:vAlign w:val="center"/>
          </w:tcPr>
          <w:p>
            <w:r/>
            <w:r>
              <w:rPr>
                <w:b w:val="0"/>
                <w:sz w:val="17"/>
              </w:rPr>
              <w:t>Implement TP/TN/FP/FN/UNKNOWN classification</w:t>
            </w:r>
          </w:p>
        </w:tc>
      </w:tr>
      <w:tr>
        <w:tc>
          <w:tcPr>
            <w:tcW w:type="dxa" w:w="5040"/>
            <w:vAlign w:val="center"/>
            <w:shd w:fill="F3F6F6"/>
          </w:tcPr>
          <w:p>
            <w:r/>
            <w:r>
              <w:rPr>
                <w:b/>
                <w:sz w:val="17"/>
              </w:rPr>
              <w:t>6.10</w:t>
            </w:r>
          </w:p>
        </w:tc>
        <w:tc>
          <w:tcPr>
            <w:tcW w:type="dxa" w:w="5040"/>
            <w:vAlign w:val="center"/>
            <w:shd w:fill="F3F6F6"/>
          </w:tcPr>
          <w:p>
            <w:r/>
            <w:r>
              <w:rPr>
                <w:b w:val="0"/>
                <w:sz w:val="17"/>
              </w:rPr>
              <w:t>Persist replayable experiment runs</w:t>
            </w:r>
          </w:p>
        </w:tc>
      </w:tr>
      <w:tr>
        <w:tc>
          <w:tcPr>
            <w:tcW w:type="dxa" w:w="5040"/>
            <w:vAlign w:val="center"/>
          </w:tcPr>
          <w:p>
            <w:r/>
            <w:r>
              <w:rPr>
                <w:b/>
                <w:sz w:val="17"/>
              </w:rPr>
              <w:t>6.11</w:t>
            </w:r>
          </w:p>
        </w:tc>
        <w:tc>
          <w:tcPr>
            <w:tcW w:type="dxa" w:w="5040"/>
            <w:vAlign w:val="center"/>
          </w:tcPr>
          <w:p>
            <w:r/>
            <w:r>
              <w:rPr>
                <w:b w:val="0"/>
                <w:sz w:val="17"/>
              </w:rPr>
              <w:t>Build path-level evaluation metrics</w:t>
            </w:r>
          </w:p>
        </w:tc>
      </w:tr>
      <w:tr>
        <w:tc>
          <w:tcPr>
            <w:tcW w:type="dxa" w:w="5040"/>
            <w:vAlign w:val="center"/>
            <w:shd w:fill="F3F6F6"/>
          </w:tcPr>
          <w:p>
            <w:r/>
            <w:r>
              <w:rPr>
                <w:b/>
                <w:sz w:val="17"/>
              </w:rPr>
              <w:t>6.12</w:t>
            </w:r>
          </w:p>
        </w:tc>
        <w:tc>
          <w:tcPr>
            <w:tcW w:type="dxa" w:w="5040"/>
            <w:vAlign w:val="center"/>
            <w:shd w:fill="F3F6F6"/>
          </w:tcPr>
          <w:p>
            <w:r/>
            <w:r>
              <w:rPr>
                <w:b w:val="0"/>
                <w:sz w:val="17"/>
              </w:rPr>
              <w:t>Add solar/geomagnetic stratification</w:t>
            </w:r>
          </w:p>
        </w:tc>
      </w:tr>
      <w:tr>
        <w:tc>
          <w:tcPr>
            <w:tcW w:type="dxa" w:w="5040"/>
            <w:vAlign w:val="center"/>
          </w:tcPr>
          <w:p>
            <w:r/>
            <w:r>
              <w:rPr>
                <w:b/>
                <w:sz w:val="17"/>
              </w:rPr>
              <w:t>6.13</w:t>
            </w:r>
          </w:p>
        </w:tc>
        <w:tc>
          <w:tcPr>
            <w:tcW w:type="dxa" w:w="5040"/>
            <w:vAlign w:val="center"/>
          </w:tcPr>
          <w:p>
            <w:r/>
            <w:r>
              <w:rPr>
                <w:b w:val="0"/>
                <w:sz w:val="17"/>
              </w:rPr>
              <w:t>Scale from single path to path cohorts</w:t>
            </w:r>
          </w:p>
        </w:tc>
      </w:tr>
      <w:tr>
        <w:tc>
          <w:tcPr>
            <w:tcW w:type="dxa" w:w="5040"/>
            <w:vAlign w:val="center"/>
            <w:shd w:fill="F3F6F6"/>
          </w:tcPr>
          <w:p>
            <w:r/>
            <w:r>
              <w:rPr>
                <w:b/>
                <w:sz w:val="17"/>
              </w:rPr>
              <w:t>6.14</w:t>
            </w:r>
          </w:p>
        </w:tc>
        <w:tc>
          <w:tcPr>
            <w:tcW w:type="dxa" w:w="5040"/>
            <w:vAlign w:val="center"/>
            <w:shd w:fill="F3F6F6"/>
          </w:tcPr>
          <w:p>
            <w:r/>
            <w:r>
              <w:rPr>
                <w:b w:val="0"/>
                <w:sz w:val="17"/>
              </w:rPr>
              <w:t>Add geographic residual visualization</w:t>
            </w:r>
          </w:p>
        </w:tc>
      </w:tr>
      <w:tr>
        <w:tc>
          <w:tcPr>
            <w:tcW w:type="dxa" w:w="5040"/>
            <w:vAlign w:val="center"/>
          </w:tcPr>
          <w:p>
            <w:r/>
            <w:r>
              <w:rPr>
                <w:b/>
                <w:sz w:val="17"/>
              </w:rPr>
              <w:t>6.15</w:t>
            </w:r>
          </w:p>
        </w:tc>
        <w:tc>
          <w:tcPr>
            <w:tcW w:type="dxa" w:w="5040"/>
            <w:vAlign w:val="center"/>
          </w:tcPr>
          <w:p>
            <w:r/>
            <w:r>
              <w:rPr>
                <w:b w:val="0"/>
                <w:sz w:val="17"/>
              </w:rPr>
              <w:t>Compare ionosphere-model versions</w:t>
            </w:r>
          </w:p>
        </w:tc>
      </w:tr>
      <w:tr>
        <w:tc>
          <w:tcPr>
            <w:tcW w:type="dxa" w:w="5040"/>
            <w:vAlign w:val="center"/>
            <w:shd w:fill="F3F6F6"/>
          </w:tcPr>
          <w:p>
            <w:r/>
            <w:r>
              <w:rPr>
                <w:b/>
                <w:sz w:val="17"/>
              </w:rPr>
              <w:t>6.16</w:t>
            </w:r>
          </w:p>
        </w:tc>
        <w:tc>
          <w:tcPr>
            <w:tcW w:type="dxa" w:w="5040"/>
            <w:vAlign w:val="center"/>
            <w:shd w:fill="F3F6F6"/>
          </w:tcPr>
          <w:p>
            <w:r/>
            <w:r>
              <w:rPr>
                <w:b w:val="0"/>
                <w:sz w:val="17"/>
              </w:rPr>
              <w:t>Export residual corpus for SolaraSphere ML</w:t>
            </w:r>
          </w:p>
        </w:tc>
      </w:tr>
    </w:tbl>
    <w:p>
      <w:pPr>
        <w:pStyle w:val="Heading1"/>
      </w:pPr>
      <w:r>
        <w:t>MVP Architecture</w:t>
      </w:r>
    </w:p>
    <w:p>
      <w:pPr>
        <w:pStyle w:val="CodeBlock"/>
      </w:pPr>
      <w:r>
        <w:rPr>
          <w:rFonts w:ascii="Liberation Mono" w:hAnsi="Liberation Mono"/>
          <w:sz w:val="17"/>
        </w:rPr>
        <w:t>PSK Reporter</w:t>
        <w:br/>
        <w:t xml:space="preserve">     |</w:t>
        <w:br/>
        <w:t xml:space="preserve">     v</w:t>
        <w:br/>
        <w:t>Observed reception</w:t>
        <w:br/>
        <w:t xml:space="preserve">     |</w:t>
        <w:br/>
        <w:t xml:space="preserve">     |</w:t>
        <w:br/>
        <w:t>IRI--+--&gt; PyRayHF</w:t>
        <w:br/>
        <w:t xml:space="preserve">          |</w:t>
        <w:br/>
        <w:t xml:space="preserve">          v</w:t>
        <w:br/>
        <w:t xml:space="preserve">    Predicted reception</w:t>
        <w:br/>
        <w:t xml:space="preserve">          |</w:t>
        <w:br/>
        <w:t xml:space="preserve">          v</w:t>
        <w:br/>
        <w:t xml:space="preserve">       Compare</w:t>
        <w:br/>
        <w:t xml:space="preserve">          |</w:t>
        <w:br/>
        <w:t xml:space="preserve">          v</w:t>
        <w:br/>
        <w:t>TP / TN / FP / FN / UNKNOWN</w:t>
      </w:r>
    </w:p>
    <w:p>
      <w:pPr>
        <w:pStyle w:val="Heading1"/>
      </w:pPr>
      <w:r>
        <w:t>Target Research Platform Architecture</w:t>
      </w:r>
    </w:p>
    <w:p>
      <w:pPr>
        <w:pStyle w:val="CodeBlock"/>
      </w:pPr>
      <w:r>
        <w:rPr>
          <w:rFonts w:ascii="Liberation Mono" w:hAnsi="Liberation Mono"/>
          <w:sz w:val="17"/>
        </w:rPr>
        <w:t xml:space="preserve">                       +-- IRI</w:t>
        <w:br/>
        <w:t xml:space="preserve">Solar / NOAA --------&gt;| </w:t>
        <w:br/>
        <w:t xml:space="preserve">                       +-- Assimilative model</w:t>
        <w:br/>
        <w:t xml:space="preserve">                       |</w:t>
        <w:br/>
        <w:t xml:space="preserve">                       +-- SolaraSphere ML</w:t>
        <w:br/>
        <w:t xml:space="preserve">                                |</w:t>
        <w:br/>
        <w:t xml:space="preserve">                                v</w:t>
        <w:br/>
        <w:t xml:space="preserve">                            PyRayHF</w:t>
        <w:br/>
        <w:t xml:space="preserve">                                |</w:t>
        <w:br/>
        <w:t>PSK Reporter -------+           |</w:t>
        <w:br/>
        <w:t xml:space="preserve">                    v           v</w:t>
        <w:br/>
        <w:t xml:space="preserve">                 OBSERVED    PREDICTED</w:t>
        <w:br/>
        <w:t xml:space="preserve">                    |           |</w:t>
        <w:br/>
        <w:t xml:space="preserve">                    +-----+-----+</w:t>
        <w:br/>
        <w:t xml:space="preserve">                          v</w:t>
        <w:br/>
        <w:t xml:space="preserve">                       RESIDUAL</w:t>
        <w:br/>
        <w:t xml:space="preserve">                          |</w:t>
        <w:br/>
        <w:t xml:space="preserve">              +-----------+-----------+</w:t>
        <w:br/>
        <w:t xml:space="preserve">              v           v           v</w:t>
        <w:br/>
        <w:t xml:space="preserve">           Metrics     Globe       Training</w:t>
        <w:br/>
        <w:t xml:space="preserve">                       layers       corpus</w:t>
      </w:r>
    </w:p>
    <w:p>
      <w:pPr>
        <w:pStyle w:val="Heading1"/>
      </w:pPr>
      <w:r>
        <w:t>Recommended MVP Experiment</w:t>
      </w:r>
    </w:p>
    <w:p>
      <w:pPr>
        <w:pStyle w:val="ListBullet"/>
      </w:pPr>
      <w:r>
        <w:t>Choose one transmitter/receiver pair with reliable historical activity and a path length that is well within the chosen solver assumptions.</w:t>
      </w:r>
    </w:p>
    <w:p>
      <w:pPr>
        <w:pStyle w:val="ListBullet"/>
      </w:pPr>
      <w:r>
        <w:t>Use one mode and one HF band initially, preferably FT8 because timestamps/frequencies are highly structured and PSK Reporter coverage is dense.</w:t>
      </w:r>
    </w:p>
    <w:p>
      <w:pPr>
        <w:pStyle w:val="ListBullet"/>
      </w:pPr>
      <w:r>
        <w:t>Sample predictions at a fixed cadence such as 15 minutes for a 24-hour period.</w:t>
      </w:r>
    </w:p>
    <w:p>
      <w:pPr>
        <w:pStyle w:val="ListBullet"/>
      </w:pPr>
      <w:r>
        <w:t>Require positive activity evidence before labeling any non-reception as a true negative.</w:t>
      </w:r>
    </w:p>
    <w:p>
      <w:pPr>
        <w:pStyle w:val="ListBullet"/>
      </w:pPr>
      <w:r>
        <w:t>Persist the exact ionosphere model inputs, PyRayHF configuration, and model versions used for each run.</w:t>
      </w:r>
    </w:p>
    <w:p>
      <w:pPr>
        <w:pStyle w:val="ListBullet"/>
      </w:pPr>
      <w:r>
        <w:t>Treat UNKNOWN as a first-class outcome and exclude it from performance metrics.</w:t>
      </w:r>
    </w:p>
    <w:p>
      <w:pPr>
        <w:pStyle w:val="Heading1"/>
      </w:pPr>
      <w:r>
        <w:t>Success Criteria for Phase 1 of the Experiment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A565B"/>
          </w:tcPr>
          <w:p>
            <w:r/>
            <w:r>
              <w:rPr>
                <w:b/>
                <w:color w:val="FFFFFF"/>
                <w:sz w:val="18"/>
              </w:rPr>
              <w:t>Criterion</w:t>
            </w:r>
          </w:p>
        </w:tc>
        <w:tc>
          <w:tcPr>
            <w:tcW w:type="dxa" w:w="5040"/>
            <w:vAlign w:val="center"/>
            <w:shd w:fill="2A565B"/>
          </w:tcPr>
          <w:p>
            <w:r/>
            <w:r>
              <w:rPr>
                <w:b/>
                <w:color w:val="FFFFFF"/>
                <w:sz w:val="18"/>
              </w:rPr>
              <w:t>Definition</w:t>
            </w:r>
          </w:p>
        </w:tc>
      </w:tr>
      <w:tr>
        <w:tc>
          <w:tcPr>
            <w:tcW w:type="dxa" w:w="5040"/>
            <w:vAlign w:val="center"/>
          </w:tcPr>
          <w:p>
            <w:r/>
            <w:r>
              <w:rPr>
                <w:b/>
                <w:sz w:val="17"/>
              </w:rPr>
              <w:t>Reproducibility</w:t>
            </w:r>
          </w:p>
        </w:tc>
        <w:tc>
          <w:tcPr>
            <w:tcW w:type="dxa" w:w="5040"/>
            <w:vAlign w:val="center"/>
          </w:tcPr>
          <w:p>
            <w:r/>
            <w:r>
              <w:rPr>
                <w:b w:val="0"/>
                <w:sz w:val="17"/>
              </w:rPr>
              <w:t>The same experiment configuration produces the same model inputs and prediction records.</w:t>
            </w:r>
          </w:p>
        </w:tc>
      </w:tr>
      <w:tr>
        <w:tc>
          <w:tcPr>
            <w:tcW w:type="dxa" w:w="5040"/>
            <w:vAlign w:val="center"/>
            <w:shd w:fill="F3F6F6"/>
          </w:tcPr>
          <w:p>
            <w:r/>
            <w:r>
              <w:rPr>
                <w:b/>
                <w:sz w:val="17"/>
              </w:rPr>
              <w:t>Data integrity</w:t>
            </w:r>
          </w:p>
        </w:tc>
        <w:tc>
          <w:tcPr>
            <w:tcW w:type="dxa" w:w="5040"/>
            <w:vAlign w:val="center"/>
            <w:shd w:fill="F3F6F6"/>
          </w:tcPr>
          <w:p>
            <w:r/>
            <w:r>
              <w:rPr>
                <w:b w:val="0"/>
                <w:sz w:val="17"/>
              </w:rPr>
              <w:t>Negative observations require explicit station-activity evidence.</w:t>
            </w:r>
          </w:p>
        </w:tc>
      </w:tr>
      <w:tr>
        <w:tc>
          <w:tcPr>
            <w:tcW w:type="dxa" w:w="5040"/>
            <w:vAlign w:val="center"/>
          </w:tcPr>
          <w:p>
            <w:r/>
            <w:r>
              <w:rPr>
                <w:b/>
                <w:sz w:val="17"/>
              </w:rPr>
              <w:t>Traceability</w:t>
            </w:r>
          </w:p>
        </w:tc>
        <w:tc>
          <w:tcPr>
            <w:tcW w:type="dxa" w:w="5040"/>
            <w:vAlign w:val="center"/>
          </w:tcPr>
          <w:p>
            <w:r/>
            <w:r>
              <w:rPr>
                <w:b w:val="0"/>
                <w:sz w:val="17"/>
              </w:rPr>
              <w:t>Every evaluation can be traced to raw PSK observations, an ionosphere snapshot, and predictor configuration.</w:t>
            </w:r>
          </w:p>
        </w:tc>
      </w:tr>
      <w:tr>
        <w:tc>
          <w:tcPr>
            <w:tcW w:type="dxa" w:w="5040"/>
            <w:vAlign w:val="center"/>
            <w:shd w:fill="F3F6F6"/>
          </w:tcPr>
          <w:p>
            <w:r/>
            <w:r>
              <w:rPr>
                <w:b/>
                <w:sz w:val="17"/>
              </w:rPr>
              <w:t>Replayability</w:t>
            </w:r>
          </w:p>
        </w:tc>
        <w:tc>
          <w:tcPr>
            <w:tcW w:type="dxa" w:w="5040"/>
            <w:vAlign w:val="center"/>
            <w:shd w:fill="F3F6F6"/>
          </w:tcPr>
          <w:p>
            <w:r/>
            <w:r>
              <w:rPr>
                <w:b w:val="0"/>
                <w:sz w:val="17"/>
              </w:rPr>
              <w:t>A saved observation corpus can be re-evaluated against a new model version.</w:t>
            </w:r>
          </w:p>
        </w:tc>
      </w:tr>
      <w:tr>
        <w:tc>
          <w:tcPr>
            <w:tcW w:type="dxa" w:w="5040"/>
            <w:vAlign w:val="center"/>
          </w:tcPr>
          <w:p>
            <w:r/>
            <w:r>
              <w:rPr>
                <w:b/>
                <w:sz w:val="17"/>
              </w:rPr>
              <w:t>Interpretability</w:t>
            </w:r>
          </w:p>
        </w:tc>
        <w:tc>
          <w:tcPr>
            <w:tcW w:type="dxa" w:w="5040"/>
            <w:vAlign w:val="center"/>
          </w:tcPr>
          <w:p>
            <w:r/>
            <w:r>
              <w:rPr>
                <w:b w:val="0"/>
                <w:sz w:val="17"/>
              </w:rPr>
              <w:t>Errors can be inspected by path, time, frequency, and space-weather state.</w:t>
            </w:r>
          </w:p>
        </w:tc>
      </w:tr>
      <w:tr>
        <w:tc>
          <w:tcPr>
            <w:tcW w:type="dxa" w:w="5040"/>
            <w:vAlign w:val="center"/>
            <w:shd w:fill="F3F6F6"/>
          </w:tcPr>
          <w:p>
            <w:r/>
            <w:r>
              <w:rPr>
                <w:b/>
                <w:sz w:val="17"/>
              </w:rPr>
              <w:t>Scalability</w:t>
            </w:r>
          </w:p>
        </w:tc>
        <w:tc>
          <w:tcPr>
            <w:tcW w:type="dxa" w:w="5040"/>
            <w:vAlign w:val="center"/>
            <w:shd w:fill="F3F6F6"/>
          </w:tcPr>
          <w:p>
            <w:r/>
            <w:r>
              <w:rPr>
                <w:b w:val="0"/>
                <w:sz w:val="17"/>
              </w:rPr>
              <w:t>The interfaces support later regional/global cohorts without redesigning the domain model.</w:t>
            </w:r>
          </w:p>
        </w:tc>
      </w:tr>
    </w:tbl>
    <w:p>
      <w:pPr>
        <w:pStyle w:val="Heading1"/>
      </w:pPr>
      <w:r>
        <w:t>Key Architectural Principle</w:t>
      </w:r>
    </w:p>
    <w:p>
      <w:r>
        <w:rPr>
          <w:b/>
        </w:rPr>
        <w:t xml:space="preserve">Build a Propagation Experiment Framework, not a PyRayHF feature. </w:t>
      </w:r>
      <w:r>
        <w:t>PyRayHF should be the first prediction engine plugged into a broader experiment abstraction. This makes it possible for Radio Atlas to evolve from visualizing propagation into empirically evaluating which ionospheric model best explains what the distributed HF receiving network actually observed, under which physical conditions, and where each model breaks down.</w:t>
      </w:r>
    </w:p>
    <w:p>
      <w:pPr>
        <w:pStyle w:val="Heading1"/>
      </w:pPr>
      <w:r>
        <w:t>Long-Term Research Questions Enabled</w:t>
      </w:r>
    </w:p>
    <w:p>
      <w:pPr>
        <w:pStyle w:val="ListBullet"/>
      </w:pPr>
      <w:r>
        <w:t>Does IRI systematically over- or under-predict reachability by band, latitude, season, or local solar time?</w:t>
      </w:r>
    </w:p>
    <w:p>
      <w:pPr>
        <w:pStyle w:val="ListBullet"/>
      </w:pPr>
      <w:r>
        <w:t>Do false negatives cluster near the modeled MUF, terminator, or during disturbed geomagnetic conditions?</w:t>
      </w:r>
    </w:p>
    <w:p>
      <w:pPr>
        <w:pStyle w:val="ListBullet"/>
      </w:pPr>
      <w:r>
        <w:t>Which physical drivers explain the largest prediction residuals?</w:t>
      </w:r>
    </w:p>
    <w:p>
      <w:pPr>
        <w:pStyle w:val="ListBullet"/>
      </w:pPr>
      <w:r>
        <w:t>Does a real-time or assimilative ionosphere materially outperform climatology for observed HF reception?</w:t>
      </w:r>
    </w:p>
    <w:p>
      <w:pPr>
        <w:pStyle w:val="ListBullet"/>
      </w:pPr>
      <w:r>
        <w:t>Can SolaraSphere learn a calibrated probability of reception that outperforms binary ray reachability while retaining physical interpretability?</w:t>
      </w:r>
    </w:p>
    <w:p>
      <w:pPr>
        <w:pStyle w:val="Heading1"/>
      </w:pPr>
      <w:r>
        <w:t>Suggested Sources for Implementation Research</w:t>
      </w:r>
    </w:p>
    <w:p>
      <w:r>
        <w:t>PyRayHF paper: “PyRayHF: An Open Source Ray-Tracing Forward Operator for Assimilating Oblique Ionograms,” Radio Science (2026).</w:t>
      </w:r>
    </w:p>
    <w:p>
      <w:r>
        <w:t>International Reference Ionosphere (IRI): official model resources and version documentation.</w:t>
      </w:r>
    </w:p>
    <w:p>
      <w:r>
        <w:t>PSK Reporter developer/API documentation: reception fields, filters, and reporting semantics.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PyRayHF + PSK Reporter Propagation Model Validation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86B"/>
        <w:sz w:val="16"/>
      </w:rPr>
      <w:t>RADIO ATLAS / SOLARASPHERE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A5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A5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A56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F2F5F5"/>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