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rFonts w:ascii="Aptos" w:hAnsi="Aptos"/>
          <w:b/>
          <w:color w:val="275B91"/>
          <w:sz w:val="20"/>
        </w:rPr>
        <w:t>SOLARA INTELLIGENCE</w:t>
      </w:r>
    </w:p>
    <w:p>
      <w:pPr>
        <w:pStyle w:val="Title"/>
      </w:pPr>
      <w:r>
        <w:t>Implementation Plan</w:t>
      </w:r>
    </w:p>
    <w:p>
      <w:pPr>
        <w:pStyle w:val="Subtitle"/>
      </w:pPr>
      <w:r>
        <w:t>AI-powered propagation explanation, exploration, and decision support for SolaraSphere: Radio Atlas</w:t>
      </w:r>
    </w:p>
    <w:p>
      <w:pPr>
        <w:spacing w:before="320"/>
      </w:pPr>
      <w:r>
        <w:rPr>
          <w:rFonts w:ascii="Aptos" w:hAnsi="Aptos"/>
          <w:b/>
          <w:color w:val="1C3758"/>
        </w:rPr>
        <w:t xml:space="preserve">Primary MVP: </w:t>
      </w:r>
      <w:r>
        <w:rPr>
          <w:rFonts w:ascii="Aptos" w:hAnsi="Aptos"/>
          <w:color w:val="232323"/>
        </w:rPr>
        <w:t>Explain This Opening</w:t>
      </w:r>
    </w:p>
    <w:p>
      <w:r>
        <w:rPr>
          <w:rFonts w:ascii="Aptos" w:hAnsi="Aptos"/>
          <w:b/>
          <w:color w:val="1C3758"/>
        </w:rPr>
        <w:t xml:space="preserve">Expansion path: </w:t>
      </w:r>
      <w:r>
        <w:rPr>
          <w:rFonts w:ascii="Aptos" w:hAnsi="Aptos"/>
          <w:color w:val="232323"/>
        </w:rPr>
        <w:t>Ask Radio Atlas → anomaly discovery → personalized propagation intelligence → Radio Atlas MCP</w:t>
      </w:r>
    </w:p>
    <w:tbl>
      <w:tblPr>
        <w:tblW w:type="auto" w:w="0"/>
        <w:jc w:val="left"/>
        <w:tblLayout w:type="autofit"/>
        <w:tblLook w:firstColumn="1" w:firstRow="1" w:lastColumn="0" w:lastRow="0" w:noHBand="0" w:noVBand="1" w:val="04A0"/>
      </w:tblPr>
      <w:tblGrid>
        <w:gridCol w:w="10166"/>
      </w:tblGrid>
      <w:tr>
        <w:trPr>
          <w:tblHeader w:val="true"/>
          <w:cantSplit/>
        </w:trPr>
        <w:tc>
          <w:tcPr>
            <w:tcW w:type="dxa" w:w="10166"/>
            <w:shd w:fill="E8EFF7"/>
            <w:tcMar>
              <w:top w:w="180" w:type="dxa"/>
              <w:start w:w="200" w:type="dxa"/>
              <w:bottom w:w="180" w:type="dxa"/>
              <w:end w:w="200" w:type="dxa"/>
            </w:tcMar>
            <w:vAlign w:val="center"/>
          </w:tcPr>
          <w:p>
            <w:pPr>
              <w:pStyle w:val="Callout"/>
              <w:spacing w:after="40"/>
            </w:pPr>
            <w:r>
              <w:rPr>
                <w:rFonts w:ascii="Aptos" w:hAnsi="Aptos"/>
                <w:b/>
                <w:color w:val="2D2D2D"/>
                <w:sz w:val="17"/>
              </w:rPr>
              <w:t xml:space="preserve">Design principle: </w:t>
            </w:r>
            <w:r>
              <w:rPr>
                <w:rFonts w:ascii="Aptos" w:hAnsi="Aptos"/>
                <w:color w:val="1C3758"/>
                <w:sz w:val="20"/>
              </w:rPr>
              <w:t>The LLM does not invent propagation conditions. Radio Atlas computes and retrieves the evidence; the LLM selects tools, synthesizes the evidence, explains uncertainty, and presents it in language an operator can act on.</w:t>
            </w:r>
          </w:p>
        </w:tc>
      </w:tr>
    </w:tbl>
    <w:p>
      <w:pPr>
        <w:pStyle w:val="Heading2"/>
      </w:pPr>
      <w:r>
        <w:t>Document purpose</w:t>
      </w:r>
    </w:p>
    <w:p>
      <w:r>
        <w:t>Provide a buildable engineering roadmap that can be converted directly into epics, stories, tasks, API contracts, and acceptance criteria. The plan assumes the existing Radio Atlas backend is already establishing NOAA and PSK Reporter ingestion, normalized observations, PostgreSQL, and FastAPI.</w:t>
      </w:r>
    </w:p>
    <w:p>
      <w:pPr>
        <w:pStyle w:val="Heading1"/>
      </w:pPr>
      <w:r>
        <w:t>1. Product Objective</w:t>
      </w:r>
    </w:p>
    <w:p>
      <w:r>
        <w:t>Build a reasoning layer over Radio Atlas that converts real-time and historical radio observations into evidence-backed explanations and recommendations. The first release should answer a narrow but high-value question: “What is happening in this propagation opening, and why?”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C3758"/>
            <w:vAlign w:val="center"/>
          </w:tcPr>
          <w:p>
            <w:pPr>
              <w:spacing w:after="40"/>
            </w:pPr>
            <w:r>
              <w:rPr>
                <w:rFonts w:ascii="Aptos" w:hAnsi="Aptos"/>
                <w:b/>
                <w:color w:val="FFFFFF"/>
                <w:sz w:val="18"/>
              </w:rPr>
              <w:t>Principle</w:t>
            </w:r>
          </w:p>
        </w:tc>
        <w:tc>
          <w:tcPr>
            <w:tcW w:type="dxa" w:w="5083"/>
            <w:shd w:fill="1C3758"/>
            <w:vAlign w:val="center"/>
          </w:tcPr>
          <w:p>
            <w:pPr>
              <w:spacing w:after="40"/>
            </w:pPr>
            <w:r>
              <w:rPr>
                <w:rFonts w:ascii="Aptos" w:hAnsi="Aptos"/>
                <w:b/>
                <w:color w:val="FFFFFF"/>
                <w:sz w:val="18"/>
              </w:rPr>
              <w:t>Implementation consequence</w:t>
            </w:r>
          </w:p>
        </w:tc>
      </w:tr>
      <w:tr>
        <w:trPr>
          <w:cantSplit/>
        </w:trPr>
        <w:tc>
          <w:tcPr>
            <w:tcW w:type="dxa" w:w="5083"/>
            <w:tcMar>
              <w:top w:w="80" w:type="dxa"/>
              <w:start w:w="100" w:type="dxa"/>
              <w:bottom w:w="80" w:type="dxa"/>
              <w:end w:w="100" w:type="dxa"/>
            </w:tcMar>
            <w:vAlign w:val="center"/>
          </w:tcPr>
          <w:p>
            <w:pPr>
              <w:spacing w:after="40"/>
            </w:pPr>
            <w:r>
              <w:rPr>
                <w:rFonts w:ascii="Aptos" w:hAnsi="Aptos"/>
                <w:color w:val="2D2D2D"/>
                <w:sz w:val="17"/>
              </w:rPr>
              <w:t>Evidence first</w:t>
            </w:r>
          </w:p>
        </w:tc>
        <w:tc>
          <w:tcPr>
            <w:tcW w:type="dxa" w:w="5083"/>
            <w:tcMar>
              <w:top w:w="80" w:type="dxa"/>
              <w:start w:w="100" w:type="dxa"/>
              <w:bottom w:w="80" w:type="dxa"/>
              <w:end w:w="100" w:type="dxa"/>
            </w:tcMar>
            <w:vAlign w:val="center"/>
          </w:tcPr>
          <w:p>
            <w:pPr>
              <w:spacing w:after="40"/>
            </w:pPr>
            <w:r>
              <w:rPr>
                <w:rFonts w:ascii="Aptos" w:hAnsi="Aptos"/>
                <w:color w:val="2D2D2D"/>
                <w:sz w:val="17"/>
              </w:rPr>
              <w:t>Responses must be grounded in Radio Atlas observations and NOAA data, with explicit evidence windows and counts.</w:t>
            </w:r>
          </w:p>
        </w:tc>
      </w:tr>
      <w:tr>
        <w:trPr>
          <w:cantSplit/>
        </w:trPr>
        <w:tc>
          <w:tcPr>
            <w:tcW w:type="dxa" w:w="5083"/>
            <w:tcMar>
              <w:top w:w="80" w:type="dxa"/>
              <w:start w:w="100" w:type="dxa"/>
              <w:bottom w:w="80" w:type="dxa"/>
              <w:end w:w="100" w:type="dxa"/>
            </w:tcMar>
            <w:vAlign w:val="center"/>
          </w:tcPr>
          <w:p>
            <w:pPr>
              <w:spacing w:after="40"/>
            </w:pPr>
            <w:r>
              <w:rPr>
                <w:rFonts w:ascii="Aptos" w:hAnsi="Aptos"/>
                <w:color w:val="2D2D2D"/>
                <w:sz w:val="17"/>
              </w:rPr>
              <w:t>Operator useful</w:t>
            </w:r>
          </w:p>
        </w:tc>
        <w:tc>
          <w:tcPr>
            <w:tcW w:type="dxa" w:w="5083"/>
            <w:tcMar>
              <w:top w:w="80" w:type="dxa"/>
              <w:start w:w="100" w:type="dxa"/>
              <w:bottom w:w="80" w:type="dxa"/>
              <w:end w:w="100" w:type="dxa"/>
            </w:tcMar>
            <w:vAlign w:val="center"/>
          </w:tcPr>
          <w:p>
            <w:pPr>
              <w:spacing w:after="40"/>
            </w:pPr>
            <w:r>
              <w:rPr>
                <w:rFonts w:ascii="Aptos" w:hAnsi="Aptos"/>
                <w:color w:val="2D2D2D"/>
                <w:sz w:val="17"/>
              </w:rPr>
              <w:t>Return actionable interpretation: band, path, direction, duration, opportunity, and confidence.</w:t>
            </w:r>
          </w:p>
        </w:tc>
      </w:tr>
      <w:tr>
        <w:trPr>
          <w:cantSplit/>
        </w:trPr>
        <w:tc>
          <w:tcPr>
            <w:tcW w:type="dxa" w:w="5083"/>
            <w:tcMar>
              <w:top w:w="80" w:type="dxa"/>
              <w:start w:w="100" w:type="dxa"/>
              <w:bottom w:w="80" w:type="dxa"/>
              <w:end w:w="100" w:type="dxa"/>
            </w:tcMar>
            <w:vAlign w:val="center"/>
          </w:tcPr>
          <w:p>
            <w:pPr>
              <w:spacing w:after="40"/>
            </w:pPr>
            <w:r>
              <w:rPr>
                <w:rFonts w:ascii="Aptos" w:hAnsi="Aptos"/>
                <w:color w:val="2D2D2D"/>
                <w:sz w:val="17"/>
              </w:rPr>
              <w:t>Inspectable</w:t>
            </w:r>
          </w:p>
        </w:tc>
        <w:tc>
          <w:tcPr>
            <w:tcW w:type="dxa" w:w="5083"/>
            <w:tcMar>
              <w:top w:w="80" w:type="dxa"/>
              <w:start w:w="100" w:type="dxa"/>
              <w:bottom w:w="80" w:type="dxa"/>
              <w:end w:w="100" w:type="dxa"/>
            </w:tcMar>
            <w:vAlign w:val="center"/>
          </w:tcPr>
          <w:p>
            <w:pPr>
              <w:spacing w:after="40"/>
            </w:pPr>
            <w:r>
              <w:rPr>
                <w:rFonts w:ascii="Aptos" w:hAnsi="Aptos"/>
                <w:color w:val="2D2D2D"/>
                <w:sz w:val="17"/>
              </w:rPr>
              <w:t>Every AI conclusion should expose the observations and calculations that drove it.</w:t>
            </w:r>
          </w:p>
        </w:tc>
      </w:tr>
      <w:tr>
        <w:trPr>
          <w:cantSplit/>
        </w:trPr>
        <w:tc>
          <w:tcPr>
            <w:tcW w:type="dxa" w:w="5083"/>
            <w:tcMar>
              <w:top w:w="80" w:type="dxa"/>
              <w:start w:w="100" w:type="dxa"/>
              <w:bottom w:w="80" w:type="dxa"/>
              <w:end w:w="100" w:type="dxa"/>
            </w:tcMar>
            <w:vAlign w:val="center"/>
          </w:tcPr>
          <w:p>
            <w:pPr>
              <w:spacing w:after="40"/>
            </w:pPr>
            <w:r>
              <w:rPr>
                <w:rFonts w:ascii="Aptos" w:hAnsi="Aptos"/>
                <w:color w:val="2D2D2D"/>
                <w:sz w:val="17"/>
              </w:rPr>
              <w:t>Composable</w:t>
            </w:r>
          </w:p>
        </w:tc>
        <w:tc>
          <w:tcPr>
            <w:tcW w:type="dxa" w:w="5083"/>
            <w:tcMar>
              <w:top w:w="80" w:type="dxa"/>
              <w:start w:w="100" w:type="dxa"/>
              <w:bottom w:w="80" w:type="dxa"/>
              <w:end w:w="100" w:type="dxa"/>
            </w:tcMar>
            <w:vAlign w:val="center"/>
          </w:tcPr>
          <w:p>
            <w:pPr>
              <w:spacing w:after="40"/>
            </w:pPr>
            <w:r>
              <w:rPr>
                <w:rFonts w:ascii="Aptos" w:hAnsi="Aptos"/>
                <w:color w:val="2D2D2D"/>
                <w:sz w:val="17"/>
              </w:rPr>
              <w:t>The same tools and contracts should later power Ask Radio Atlas, anomaly discovery, forecasts, and MCP.</w:t>
            </w:r>
          </w:p>
        </w:tc>
      </w:tr>
      <w:tr>
        <w:trPr>
          <w:cantSplit/>
        </w:trPr>
        <w:tc>
          <w:tcPr>
            <w:tcW w:type="dxa" w:w="5083"/>
            <w:tcMar>
              <w:top w:w="80" w:type="dxa"/>
              <w:start w:w="100" w:type="dxa"/>
              <w:bottom w:w="80" w:type="dxa"/>
              <w:end w:w="100" w:type="dxa"/>
            </w:tcMar>
            <w:vAlign w:val="center"/>
          </w:tcPr>
          <w:p>
            <w:pPr>
              <w:spacing w:after="40"/>
            </w:pPr>
            <w:r>
              <w:rPr>
                <w:rFonts w:ascii="Aptos" w:hAnsi="Aptos"/>
                <w:color w:val="2D2D2D"/>
                <w:sz w:val="17"/>
              </w:rPr>
              <w:t>Fail safely</w:t>
            </w:r>
          </w:p>
        </w:tc>
        <w:tc>
          <w:tcPr>
            <w:tcW w:type="dxa" w:w="5083"/>
            <w:tcMar>
              <w:top w:w="80" w:type="dxa"/>
              <w:start w:w="100" w:type="dxa"/>
              <w:bottom w:w="80" w:type="dxa"/>
              <w:end w:w="100" w:type="dxa"/>
            </w:tcMar>
            <w:vAlign w:val="center"/>
          </w:tcPr>
          <w:p>
            <w:pPr>
              <w:spacing w:after="40"/>
            </w:pPr>
            <w:r>
              <w:rPr>
                <w:rFonts w:ascii="Aptos" w:hAnsi="Aptos"/>
                <w:color w:val="2D2D2D"/>
                <w:sz w:val="17"/>
              </w:rPr>
              <w:t>When evidence is insufficient or contradictory, the system should say so rather than manufacture a narrative.</w:t>
            </w:r>
          </w:p>
        </w:tc>
      </w:tr>
    </w:tbl>
    <w:p>
      <w:pPr>
        <w:pStyle w:val="Heading1"/>
      </w:pPr>
      <w:r>
        <w:t>2. MVP Definition</w:t>
      </w:r>
    </w:p>
    <w:p>
      <w:pPr>
        <w:pStyle w:val="Heading2"/>
      </w:pPr>
      <w:r>
        <w:t>Feature: Explain This Opening</w:t>
      </w:r>
    </w:p>
    <w:p>
      <w:r>
        <w:t>From a band/path visualization, the user selects a propagation opening and requests an explanation. Radio Atlas analyzes a bounded time window, retrieves relevant PSK Reporter observations and space-weather context, computes comparative metrics, and asks the LLM to synthesize a concise explanation.</w:t>
      </w:r>
    </w:p>
    <w:p>
      <w:pPr>
        <w:pStyle w:val="ListBullet"/>
      </w:pPr>
      <w:r>
        <w:t>Input context: selected band, mode (when available), geographic region/path, current map viewport or selected path, and observation time window.</w:t>
      </w:r>
    </w:p>
    <w:p>
      <w:pPr>
        <w:pStyle w:val="ListBullet"/>
      </w:pPr>
      <w:r>
        <w:t>Computed evidence: path count, unique transmitting and receiving stations, geographic concentration, signal-report statistics when available, change versus baseline, and persistence.</w:t>
      </w:r>
    </w:p>
    <w:p>
      <w:pPr>
        <w:pStyle w:val="ListBullet"/>
      </w:pPr>
      <w:r>
        <w:t>Space-weather evidence: currently normalized NOAA metrics relevant to the observation window, with no direct dependence on free-form LLM interpretation of raw feeds.</w:t>
      </w:r>
    </w:p>
    <w:p>
      <w:pPr>
        <w:pStyle w:val="ListBullet"/>
      </w:pPr>
      <w:r>
        <w:t>Output: headline, 2–4 sentence explanation, evidence bullets, confidence level, suggested operator action, and links/controls to inspect the supporting observations.</w:t>
      </w:r>
    </w:p>
    <w:p>
      <w:pPr>
        <w:pStyle w:val="ListBullet"/>
      </w:pPr>
      <w:r>
        <w:t>Fallback: “Insufficient evidence to explain this opening confidently” with the missing or conflicting evidence called out.</w:t>
      </w:r>
    </w:p>
    <w:p>
      <w:pPr>
        <w:pStyle w:val="Heading2"/>
      </w:pPr>
      <w:r>
        <w:t>Out of scope for MVP</w:t>
      </w:r>
    </w:p>
    <w:p>
      <w:pPr>
        <w:pStyle w:val="ListBullet"/>
      </w:pPr>
      <w:r>
        <w:t>Autonomous transmission or radio control.</w:t>
      </w:r>
    </w:p>
    <w:p>
      <w:pPr>
        <w:pStyle w:val="ListBullet"/>
      </w:pPr>
      <w:r>
        <w:t>Claiming causal relationships solely from correlation.</w:t>
      </w:r>
    </w:p>
    <w:p>
      <w:pPr>
        <w:pStyle w:val="ListBullet"/>
      </w:pPr>
      <w:r>
        <w:t>Long-range deterministic propagation forecasting.</w:t>
      </w:r>
    </w:p>
    <w:p>
      <w:pPr>
        <w:pStyle w:val="ListBullet"/>
      </w:pPr>
      <w:r>
        <w:t>Personalized station-success probabilities.</w:t>
      </w:r>
    </w:p>
    <w:p>
      <w:pPr>
        <w:pStyle w:val="ListBullet"/>
      </w:pPr>
      <w:r>
        <w:t>Open-ended RAG over general amateur-radio literature.</w:t>
      </w:r>
    </w:p>
    <w:p>
      <w:pPr>
        <w:pStyle w:val="ListBullet"/>
      </w:pPr>
      <w:r>
        <w:t>Automatic write access to logs or station configuration.</w:t>
      </w:r>
    </w:p>
    <w:p>
      <w:pPr>
        <w:pStyle w:val="Heading1"/>
      </w:pPr>
      <w:r>
        <w:t>3. Target User Experience</w:t>
      </w:r>
    </w:p>
    <w:p>
      <w:r>
        <w:t>The first release should feel native to Radio Atlas, not like a chatbot bolted onto the side. The AI entry point belongs next to the visualization being interpreted.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C3758"/>
            <w:vAlign w:val="center"/>
          </w:tcPr>
          <w:p>
            <w:pPr>
              <w:spacing w:after="40"/>
            </w:pPr>
            <w:r>
              <w:rPr>
                <w:rFonts w:ascii="Aptos" w:hAnsi="Aptos"/>
                <w:b/>
                <w:color w:val="FFFFFF"/>
                <w:sz w:val="18"/>
              </w:rPr>
              <w:t>Step</w:t>
            </w:r>
          </w:p>
        </w:tc>
        <w:tc>
          <w:tcPr>
            <w:tcW w:type="dxa" w:w="3389"/>
            <w:shd w:fill="1C3758"/>
            <w:vAlign w:val="center"/>
          </w:tcPr>
          <w:p>
            <w:pPr>
              <w:spacing w:after="40"/>
            </w:pPr>
            <w:r>
              <w:rPr>
                <w:rFonts w:ascii="Aptos" w:hAnsi="Aptos"/>
                <w:b/>
                <w:color w:val="FFFFFF"/>
                <w:sz w:val="18"/>
              </w:rPr>
              <w:t>Interaction</w:t>
            </w:r>
          </w:p>
        </w:tc>
        <w:tc>
          <w:tcPr>
            <w:tcW w:type="dxa" w:w="3389"/>
            <w:shd w:fill="1C3758"/>
            <w:vAlign w:val="center"/>
          </w:tcPr>
          <w:p>
            <w:pPr>
              <w:spacing w:after="40"/>
            </w:pPr>
            <w:r>
              <w:rPr>
                <w:rFonts w:ascii="Aptos" w:hAnsi="Aptos"/>
                <w:b/>
                <w:color w:val="FFFFFF"/>
                <w:sz w:val="18"/>
              </w:rPr>
              <w:t>System behavior</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1</w:t>
            </w:r>
          </w:p>
        </w:tc>
        <w:tc>
          <w:tcPr>
            <w:tcW w:type="dxa" w:w="3389"/>
            <w:tcMar>
              <w:top w:w="80" w:type="dxa"/>
              <w:start w:w="100" w:type="dxa"/>
              <w:bottom w:w="80" w:type="dxa"/>
              <w:end w:w="100" w:type="dxa"/>
            </w:tcMar>
            <w:vAlign w:val="center"/>
          </w:tcPr>
          <w:p>
            <w:pPr>
              <w:spacing w:after="40"/>
            </w:pPr>
            <w:r>
              <w:rPr>
                <w:rFonts w:ascii="Aptos" w:hAnsi="Aptos"/>
                <w:color w:val="2D2D2D"/>
                <w:sz w:val="17"/>
              </w:rPr>
              <w:t>User notices an opening</w:t>
            </w:r>
          </w:p>
        </w:tc>
        <w:tc>
          <w:tcPr>
            <w:tcW w:type="dxa" w:w="3389"/>
            <w:tcMar>
              <w:top w:w="80" w:type="dxa"/>
              <w:start w:w="100" w:type="dxa"/>
              <w:bottom w:w="80" w:type="dxa"/>
              <w:end w:w="100" w:type="dxa"/>
            </w:tcMar>
            <w:vAlign w:val="center"/>
          </w:tcPr>
          <w:p>
            <w:pPr>
              <w:spacing w:after="40"/>
            </w:pPr>
            <w:r>
              <w:rPr>
                <w:rFonts w:ascii="Aptos" w:hAnsi="Aptos"/>
                <w:color w:val="2D2D2D"/>
                <w:sz w:val="17"/>
              </w:rPr>
              <w:t>Map or band view shows a dense or unusual cluster of paths.</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2</w:t>
            </w:r>
          </w:p>
        </w:tc>
        <w:tc>
          <w:tcPr>
            <w:tcW w:type="dxa" w:w="3389"/>
            <w:tcMar>
              <w:top w:w="80" w:type="dxa"/>
              <w:start w:w="100" w:type="dxa"/>
              <w:bottom w:w="80" w:type="dxa"/>
              <w:end w:w="100" w:type="dxa"/>
            </w:tcMar>
            <w:vAlign w:val="center"/>
          </w:tcPr>
          <w:p>
            <w:pPr>
              <w:spacing w:after="40"/>
            </w:pPr>
            <w:r>
              <w:rPr>
                <w:rFonts w:ascii="Aptos" w:hAnsi="Aptos"/>
                <w:color w:val="2D2D2D"/>
                <w:sz w:val="17"/>
              </w:rPr>
              <w:t>User chooses “Explain this opening”</w:t>
            </w:r>
          </w:p>
        </w:tc>
        <w:tc>
          <w:tcPr>
            <w:tcW w:type="dxa" w:w="3389"/>
            <w:tcMar>
              <w:top w:w="80" w:type="dxa"/>
              <w:start w:w="100" w:type="dxa"/>
              <w:bottom w:w="80" w:type="dxa"/>
              <w:end w:w="100" w:type="dxa"/>
            </w:tcMar>
            <w:vAlign w:val="center"/>
          </w:tcPr>
          <w:p>
            <w:pPr>
              <w:spacing w:after="40"/>
            </w:pPr>
            <w:r>
              <w:rPr>
                <w:rFonts w:ascii="Aptos" w:hAnsi="Aptos"/>
                <w:color w:val="2D2D2D"/>
                <w:sz w:val="17"/>
              </w:rPr>
              <w:t>Frontend captures the current analysis context.</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3</w:t>
            </w:r>
          </w:p>
        </w:tc>
        <w:tc>
          <w:tcPr>
            <w:tcW w:type="dxa" w:w="3389"/>
            <w:tcMar>
              <w:top w:w="80" w:type="dxa"/>
              <w:start w:w="100" w:type="dxa"/>
              <w:bottom w:w="80" w:type="dxa"/>
              <w:end w:w="100" w:type="dxa"/>
            </w:tcMar>
            <w:vAlign w:val="center"/>
          </w:tcPr>
          <w:p>
            <w:pPr>
              <w:spacing w:after="40"/>
            </w:pPr>
            <w:r>
              <w:rPr>
                <w:rFonts w:ascii="Aptos" w:hAnsi="Aptos"/>
                <w:color w:val="2D2D2D"/>
                <w:sz w:val="17"/>
              </w:rPr>
              <w:t>Backend builds an evidence packet</w:t>
            </w:r>
          </w:p>
        </w:tc>
        <w:tc>
          <w:tcPr>
            <w:tcW w:type="dxa" w:w="3389"/>
            <w:tcMar>
              <w:top w:w="80" w:type="dxa"/>
              <w:start w:w="100" w:type="dxa"/>
              <w:bottom w:w="80" w:type="dxa"/>
              <w:end w:w="100" w:type="dxa"/>
            </w:tcMar>
            <w:vAlign w:val="center"/>
          </w:tcPr>
          <w:p>
            <w:pPr>
              <w:spacing w:after="40"/>
            </w:pPr>
            <w:r>
              <w:rPr>
                <w:rFonts w:ascii="Aptos" w:hAnsi="Aptos"/>
                <w:color w:val="2D2D2D"/>
                <w:sz w:val="17"/>
              </w:rPr>
              <w:t>Deterministic queries and calculations run before the LLM is invoked.</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4</w:t>
            </w:r>
          </w:p>
        </w:tc>
        <w:tc>
          <w:tcPr>
            <w:tcW w:type="dxa" w:w="3389"/>
            <w:tcMar>
              <w:top w:w="80" w:type="dxa"/>
              <w:start w:w="100" w:type="dxa"/>
              <w:bottom w:w="80" w:type="dxa"/>
              <w:end w:w="100" w:type="dxa"/>
            </w:tcMar>
            <w:vAlign w:val="center"/>
          </w:tcPr>
          <w:p>
            <w:pPr>
              <w:spacing w:after="40"/>
            </w:pPr>
            <w:r>
              <w:rPr>
                <w:rFonts w:ascii="Aptos" w:hAnsi="Aptos"/>
                <w:color w:val="2D2D2D"/>
                <w:sz w:val="17"/>
              </w:rPr>
              <w:t>LLM synthesizes explanation</w:t>
            </w:r>
          </w:p>
        </w:tc>
        <w:tc>
          <w:tcPr>
            <w:tcW w:type="dxa" w:w="3389"/>
            <w:tcMar>
              <w:top w:w="80" w:type="dxa"/>
              <w:start w:w="100" w:type="dxa"/>
              <w:bottom w:w="80" w:type="dxa"/>
              <w:end w:w="100" w:type="dxa"/>
            </w:tcMar>
            <w:vAlign w:val="center"/>
          </w:tcPr>
          <w:p>
            <w:pPr>
              <w:spacing w:after="40"/>
            </w:pPr>
            <w:r>
              <w:rPr>
                <w:rFonts w:ascii="Aptos" w:hAnsi="Aptos"/>
                <w:color w:val="2D2D2D"/>
                <w:sz w:val="17"/>
              </w:rPr>
              <w:t>The model receives structured evidence plus strict response instructions.</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5</w:t>
            </w:r>
          </w:p>
        </w:tc>
        <w:tc>
          <w:tcPr>
            <w:tcW w:type="dxa" w:w="3389"/>
            <w:tcMar>
              <w:top w:w="80" w:type="dxa"/>
              <w:start w:w="100" w:type="dxa"/>
              <w:bottom w:w="80" w:type="dxa"/>
              <w:end w:w="100" w:type="dxa"/>
            </w:tcMar>
            <w:vAlign w:val="center"/>
          </w:tcPr>
          <w:p>
            <w:pPr>
              <w:spacing w:after="40"/>
            </w:pPr>
            <w:r>
              <w:rPr>
                <w:rFonts w:ascii="Aptos" w:hAnsi="Aptos"/>
                <w:color w:val="2D2D2D"/>
                <w:sz w:val="17"/>
              </w:rPr>
              <w:t>UI renders explanation + provenance</w:t>
            </w:r>
          </w:p>
        </w:tc>
        <w:tc>
          <w:tcPr>
            <w:tcW w:type="dxa" w:w="3389"/>
            <w:tcMar>
              <w:top w:w="80" w:type="dxa"/>
              <w:start w:w="100" w:type="dxa"/>
              <w:bottom w:w="80" w:type="dxa"/>
              <w:end w:w="100" w:type="dxa"/>
            </w:tcMar>
            <w:vAlign w:val="center"/>
          </w:tcPr>
          <w:p>
            <w:pPr>
              <w:spacing w:after="40"/>
            </w:pPr>
            <w:r>
              <w:rPr>
                <w:rFonts w:ascii="Aptos" w:hAnsi="Aptos"/>
                <w:color w:val="2D2D2D"/>
                <w:sz w:val="17"/>
              </w:rPr>
              <w:t>The user can inspect the time window, sample size, comparison baseline, and contributing observations.</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6</w:t>
            </w:r>
          </w:p>
        </w:tc>
        <w:tc>
          <w:tcPr>
            <w:tcW w:type="dxa" w:w="3389"/>
            <w:tcMar>
              <w:top w:w="80" w:type="dxa"/>
              <w:start w:w="100" w:type="dxa"/>
              <w:bottom w:w="80" w:type="dxa"/>
              <w:end w:w="100" w:type="dxa"/>
            </w:tcMar>
            <w:vAlign w:val="center"/>
          </w:tcPr>
          <w:p>
            <w:pPr>
              <w:spacing w:after="40"/>
            </w:pPr>
            <w:r>
              <w:rPr>
                <w:rFonts w:ascii="Aptos" w:hAnsi="Aptos"/>
                <w:color w:val="2D2D2D"/>
                <w:sz w:val="17"/>
              </w:rPr>
              <w:t>User continues exploration</w:t>
            </w:r>
          </w:p>
        </w:tc>
        <w:tc>
          <w:tcPr>
            <w:tcW w:type="dxa" w:w="3389"/>
            <w:tcMar>
              <w:top w:w="80" w:type="dxa"/>
              <w:start w:w="100" w:type="dxa"/>
              <w:bottom w:w="80" w:type="dxa"/>
              <w:end w:w="100" w:type="dxa"/>
            </w:tcMar>
            <w:vAlign w:val="center"/>
          </w:tcPr>
          <w:p>
            <w:pPr>
              <w:spacing w:after="40"/>
            </w:pPr>
            <w:r>
              <w:rPr>
                <w:rFonts w:ascii="Aptos" w:hAnsi="Aptos"/>
                <w:color w:val="2D2D2D"/>
                <w:sz w:val="17"/>
              </w:rPr>
              <w:t>Optional follow-ups: compare with previous hour, show similar historical openings, or ask a bounded question.</w:t>
            </w:r>
          </w:p>
        </w:tc>
      </w:tr>
    </w:tbl>
    <w:p>
      <w:pPr>
        <w:pStyle w:val="Heading1"/>
      </w:pPr>
      <w:r>
        <w:t>4. System Architecture</w:t>
      </w:r>
    </w:p>
    <w:p>
      <w:r>
        <w:t>Recommended architecture: deterministic radio intelligence underneath, LLM orchestration and explanation above it.</w:t>
      </w:r>
    </w:p>
    <w:p>
      <w:pPr>
        <w:pStyle w:val="CodeLike"/>
        <w:spacing w:before="80" w:after="160"/>
        <w:ind w:left="360"/>
      </w:pPr>
      <w:r>
        <w:rPr>
          <w:rFonts w:ascii="Liberation Mono" w:hAnsi="Liberation Mono"/>
          <w:color w:val="2D3037"/>
          <w:sz w:val="16"/>
        </w:rPr>
        <w:t>Radio Atlas UI</w:t>
        <w:br/>
        <w:t xml:space="preserve">   │</w:t>
        <w:br/>
        <w:t xml:space="preserve">   ├── selected opening / band / map context</w:t>
        <w:br/>
        <w:t xml:space="preserve">   ▼</w:t>
        <w:br/>
        <w:t>FastAPI: /v1/intelligence/explain-opening</w:t>
        <w:br/>
        <w:t xml:space="preserve">   │</w:t>
        <w:br/>
        <w:t xml:space="preserve">   ├── Evidence Builder</w:t>
        <w:br/>
        <w:t xml:space="preserve">   │     ├── PSK observation queries</w:t>
        <w:br/>
        <w:t xml:space="preserve">   │     ├── NOAA context queries</w:t>
        <w:br/>
        <w:t xml:space="preserve">   │     ├── baseline/comparison calculations</w:t>
        <w:br/>
        <w:t xml:space="preserve">   │     └── confidence feature calculation</w:t>
        <w:br/>
        <w:t xml:space="preserve">   │</w:t>
        <w:br/>
        <w:t xml:space="preserve">   ├── Intelligence Tool Layer</w:t>
        <w:br/>
        <w:t xml:space="preserve">   │     ├── get_band_activity</w:t>
        <w:br/>
        <w:t xml:space="preserve">   │     ├── get_path_activity</w:t>
        <w:br/>
        <w:t xml:space="preserve">   │     ├── get_space_weather</w:t>
        <w:br/>
        <w:t xml:space="preserve">   │     ├── compare_time_windows</w:t>
        <w:br/>
        <w:t xml:space="preserve">   │     └── summarize_evidence</w:t>
        <w:br/>
        <w:t xml:space="preserve">   │</w:t>
        <w:br/>
        <w:t xml:space="preserve">   ├── LLM Orchestrator</w:t>
        <w:br/>
        <w:t xml:space="preserve">   │     ├── tool selection (later/open-ended mode)</w:t>
        <w:br/>
        <w:t xml:space="preserve">   │     ├── structured response generation</w:t>
        <w:br/>
        <w:t xml:space="preserve">   │     └── citation/provenance binding</w:t>
        <w:br/>
        <w:t xml:space="preserve">   ▼</w:t>
        <w:br/>
        <w:t>Structured IntelligenceResponse</w:t>
        <w:br/>
        <w:t xml:space="preserve">   │</w:t>
        <w:br/>
        <w:t xml:space="preserve">   ▼</w:t>
        <w:br/>
        <w:t>Radio Atlas explanation panel + evidence inspector</w:t>
      </w:r>
    </w:p>
    <w:p>
      <w:pPr>
        <w:pStyle w:val="Heading2"/>
      </w:pPr>
      <w:r>
        <w:t>Architecture rule</w:t>
      </w:r>
    </w:p>
    <w:p>
      <w:r>
        <w:t>For Explain This Opening, prefer a deterministic evidence builder over a fully autonomous agent. The request is narrow enough that the backend already knows which queries to run. Introduce model-driven tool selection later for Ask Radio Atlas, where user questions are open-ended.</w:t>
      </w:r>
    </w:p>
    <w:p>
      <w:pPr>
        <w:pStyle w:val="Heading1"/>
      </w:pPr>
      <w:r>
        <w:t>5. Data &amp; Domain Model</w:t>
      </w:r>
    </w:p>
    <w:p>
      <w:r>
        <w:t>Keep the AI feature downstream of normalized domain models. Do not pass raw third-party payloads directly into prompts.</w:t>
      </w:r>
    </w:p>
    <w:p>
      <w:r>
        <w:rPr>
          <w:rFonts w:ascii="Aptos" w:hAnsi="Aptos"/>
          <w:b/>
          <w:color w:val="1C3758"/>
        </w:rPr>
        <w:t xml:space="preserve">PropagationObservation: </w:t>
      </w:r>
      <w:r>
        <w:t>Normalized PSK Reporter reception event: timestamp, band, frequency, mode, sender/receiver callsign and grid/location, signal report when available, source.</w:t>
      </w:r>
    </w:p>
    <w:p>
      <w:r>
        <w:rPr>
          <w:rFonts w:ascii="Aptos" w:hAnsi="Aptos"/>
          <w:b/>
          <w:color w:val="1C3758"/>
        </w:rPr>
        <w:t xml:space="preserve">SpaceWeatherSnapshot: </w:t>
      </w:r>
      <w:r>
        <w:t>Normalized NOAA metrics associated with a timestamp/window: solar wind, IMF/Bz, geomagnetic indices, solar flux and other Phase 1 metrics actually ingested.</w:t>
      </w:r>
    </w:p>
    <w:p>
      <w:r>
        <w:rPr>
          <w:rFonts w:ascii="Aptos" w:hAnsi="Aptos"/>
          <w:b/>
          <w:color w:val="1C3758"/>
        </w:rPr>
        <w:t xml:space="preserve">OpeningContext: </w:t>
      </w:r>
      <w:r>
        <w:t>User-selected band, mode, path/region geometry, analysis window, optional station context.</w:t>
      </w:r>
    </w:p>
    <w:p>
      <w:r>
        <w:rPr>
          <w:rFonts w:ascii="Aptos" w:hAnsi="Aptos"/>
          <w:b/>
          <w:color w:val="1C3758"/>
        </w:rPr>
        <w:t xml:space="preserve">OpeningEvidence: </w:t>
      </w:r>
      <w:r>
        <w:t>Deterministic aggregate packet: counts, unique stations, path geometry, directionality, signal distribution, baseline deltas, NOAA context, data-quality flags.</w:t>
      </w:r>
    </w:p>
    <w:p>
      <w:r>
        <w:rPr>
          <w:rFonts w:ascii="Aptos" w:hAnsi="Aptos"/>
          <w:b/>
          <w:color w:val="1C3758"/>
        </w:rPr>
        <w:t xml:space="preserve">IntelligenceResponse: </w:t>
      </w:r>
      <w:r>
        <w:t>Structured AI output: headline, summary, evidence statements, confidence, suggested action, caveats, provenance IDs, model metadata.</w:t>
      </w:r>
    </w:p>
    <w:p>
      <w:pPr>
        <w:pStyle w:val="Heading2"/>
      </w:pPr>
      <w:r>
        <w:t>Recommended new tables</w:t>
      </w:r>
    </w:p>
    <w:p>
      <w:pPr>
        <w:pStyle w:val="ListBullet"/>
      </w:pPr>
      <w:r>
        <w:t>intelligence_runs — one row per AI analysis request, including request fingerprint, model/provider, latency, token/cost metrics, status, and prompt version.</w:t>
      </w:r>
    </w:p>
    <w:p>
      <w:pPr>
        <w:pStyle w:val="ListBullet"/>
      </w:pPr>
      <w:r>
        <w:t>intelligence_evidence — persisted or referenceable evidence packets used for reproducibility and evaluation.</w:t>
      </w:r>
    </w:p>
    <w:p>
      <w:pPr>
        <w:pStyle w:val="ListBullet"/>
      </w:pPr>
      <w:r>
        <w:t>intelligence_feedback — optional user rating / correction / usefulness signal.</w:t>
      </w:r>
    </w:p>
    <w:p>
      <w:pPr>
        <w:pStyle w:val="ListBullet"/>
      </w:pPr>
      <w:r>
        <w:t>propagation_baselines — precomputed band/region/time-of-day baselines if live comparison queries become expensive.</w:t>
      </w:r>
    </w:p>
    <w:p>
      <w:pPr>
        <w:pStyle w:val="ListBullet"/>
      </w:pPr>
      <w:r>
        <w:t>propagation_anomalies — later: detected departures from expected activity for “Find Something Interesting.”</w:t>
      </w:r>
    </w:p>
    <w:p>
      <w:pPr>
        <w:pStyle w:val="Heading1"/>
      </w:pPr>
      <w:r>
        <w:t>6. Backend Implementation</w:t>
      </w:r>
    </w:p>
    <w:p>
      <w:pPr>
        <w:pStyle w:val="Heading2"/>
      </w:pPr>
      <w:r>
        <w:t>6.1 Add a dedicated intelligence package</w:t>
      </w:r>
    </w:p>
    <w:p>
      <w:pPr>
        <w:pStyle w:val="CodeLike"/>
      </w:pPr>
      <w:r>
        <w:rPr>
          <w:rFonts w:ascii="Liberation Mono" w:hAnsi="Liberation Mono"/>
          <w:sz w:val="16"/>
        </w:rPr>
        <w:t>backend/app/intelligence/</w:t>
        <w:br/>
        <w:t xml:space="preserve">  __init__.py</w:t>
        <w:br/>
        <w:t xml:space="preserve">  models.py</w:t>
        <w:br/>
        <w:t xml:space="preserve">  service.py</w:t>
        <w:br/>
        <w:t xml:space="preserve">  evidence.py</w:t>
        <w:br/>
        <w:t xml:space="preserve">  confidence.py</w:t>
        <w:br/>
        <w:t xml:space="preserve">  prompts.py</w:t>
        <w:br/>
        <w:t xml:space="preserve">  orchestrator.py</w:t>
        <w:br/>
        <w:t xml:space="preserve">  providers/</w:t>
        <w:br/>
        <w:t xml:space="preserve">    base.py</w:t>
        <w:br/>
        <w:t xml:space="preserve">    openai.py        # or selected LLM provider abstraction</w:t>
        <w:br/>
        <w:t xml:space="preserve">  tools/</w:t>
        <w:br/>
        <w:t xml:space="preserve">    band_activity.py</w:t>
        <w:br/>
        <w:t xml:space="preserve">    path_activity.py</w:t>
        <w:br/>
        <w:t xml:space="preserve">    space_weather.py</w:t>
        <w:br/>
        <w:t xml:space="preserve">    comparisons.py</w:t>
        <w:br/>
        <w:t xml:space="preserve">  evals/</w:t>
        <w:br/>
        <w:t xml:space="preserve">    fixtures/</w:t>
        <w:br/>
        <w:t xml:space="preserve">    scorers.py</w:t>
      </w:r>
    </w:p>
    <w:p>
      <w:pPr>
        <w:pStyle w:val="Heading2"/>
      </w:pPr>
      <w:r>
        <w:t>6.2 Define the service boundary</w:t>
      </w:r>
    </w:p>
    <w:p>
      <w:r>
        <w:t>Create an IntelligenceService that accepts domain context, builds evidence, invokes an LLM provider through an interface, validates the structured response, persists metadata, and returns a stable API model. This prevents model-provider details from leaking into API routes or domain query code.</w:t>
      </w:r>
    </w:p>
    <w:p>
      <w:pPr>
        <w:pStyle w:val="Heading2"/>
      </w:pPr>
      <w:r>
        <w:t>6.3 Implement the evidence builder</w:t>
      </w:r>
    </w:p>
    <w:p>
      <w:pPr>
        <w:pStyle w:val="ListNumber"/>
      </w:pPr>
      <w:r>
        <w:t>Choose an analysis window, initially 15–30 minutes ending at the selected/current timestamp.</w:t>
      </w:r>
    </w:p>
    <w:p>
      <w:pPr>
        <w:pStyle w:val="ListNumber"/>
      </w:pPr>
      <w:r>
        <w:t>Query matching observations for the selected band/mode/path geometry.</w:t>
      </w:r>
    </w:p>
    <w:p>
      <w:pPr>
        <w:pStyle w:val="ListNumber"/>
      </w:pPr>
      <w:r>
        <w:t>Calculate unique sender/receiver counts, path density, strongest geographic clusters, and available signal statistics.</w:t>
      </w:r>
    </w:p>
    <w:p>
      <w:pPr>
        <w:pStyle w:val="ListNumber"/>
      </w:pPr>
      <w:r>
        <w:t>Calculate a comparison baseline, initially the immediately preceding equal-duration window; later add historical same-time baselines.</w:t>
      </w:r>
    </w:p>
    <w:p>
      <w:pPr>
        <w:pStyle w:val="ListNumber"/>
      </w:pPr>
      <w:r>
        <w:t>Retrieve NOAA snapshots overlapping the analysis window and calculate changes/trends in normalized metrics.</w:t>
      </w:r>
    </w:p>
    <w:p>
      <w:pPr>
        <w:pStyle w:val="ListNumber"/>
      </w:pPr>
      <w:r>
        <w:t>Generate explicit data-quality flags: low sample size, location precision issues, missing signal reports, feed gaps, stale NOAA data.</w:t>
      </w:r>
    </w:p>
    <w:p>
      <w:pPr>
        <w:pStyle w:val="ListNumber"/>
      </w:pPr>
      <w:r>
        <w:t>Create an immutable OpeningEvidence payload with IDs/references to the observations or aggregates used.</w:t>
      </w:r>
    </w:p>
    <w:p>
      <w:pPr>
        <w:pStyle w:val="Heading2"/>
      </w:pPr>
      <w:r>
        <w:t>6.4 API endpoints</w:t>
      </w:r>
    </w:p>
    <w:tbl>
      <w:tblPr>
        <w:tblStyle w:val="TableGrid"/>
        <w:tblW w:type="auto" w:w="0"/>
        <w:tblLook w:firstColumn="1" w:firstRow="1" w:lastColumn="0" w:lastRow="0" w:noHBand="0" w:noVBand="1" w:val="04A0"/>
      </w:tblPr>
      <w:tblGrid>
        <w:gridCol w:w="5083"/>
        <w:gridCol w:w="5083"/>
      </w:tblGrid>
      <w:tr>
        <w:trPr>
          <w:tblHeader w:val="true"/>
          <w:cantSplit/>
        </w:trPr>
        <w:tc>
          <w:tcPr>
            <w:tcW w:type="dxa" w:w="5083"/>
            <w:shd w:fill="1C3758"/>
            <w:vAlign w:val="center"/>
          </w:tcPr>
          <w:p>
            <w:pPr>
              <w:spacing w:after="40"/>
            </w:pPr>
            <w:r>
              <w:rPr>
                <w:rFonts w:ascii="Aptos" w:hAnsi="Aptos"/>
                <w:b/>
                <w:color w:val="FFFFFF"/>
                <w:sz w:val="18"/>
              </w:rPr>
              <w:t>Endpoint</w:t>
            </w:r>
          </w:p>
        </w:tc>
        <w:tc>
          <w:tcPr>
            <w:tcW w:type="dxa" w:w="5083"/>
            <w:shd w:fill="1C3758"/>
            <w:vAlign w:val="center"/>
          </w:tcPr>
          <w:p>
            <w:pPr>
              <w:spacing w:after="40"/>
            </w:pPr>
            <w:r>
              <w:rPr>
                <w:rFonts w:ascii="Aptos" w:hAnsi="Aptos"/>
                <w:b/>
                <w:color w:val="FFFFFF"/>
                <w:sz w:val="18"/>
              </w:rPr>
              <w:t>Purpose</w:t>
            </w:r>
          </w:p>
        </w:tc>
      </w:tr>
      <w:tr>
        <w:trPr>
          <w:cantSplit/>
        </w:trPr>
        <w:tc>
          <w:tcPr>
            <w:tcW w:type="dxa" w:w="5083"/>
            <w:vAlign w:val="center"/>
          </w:tcPr>
          <w:p>
            <w:pPr>
              <w:spacing w:after="40"/>
            </w:pPr>
            <w:r>
              <w:rPr>
                <w:rFonts w:ascii="Aptos" w:hAnsi="Aptos"/>
                <w:color w:val="2D2D2D"/>
                <w:sz w:val="17"/>
              </w:rPr>
              <w:t>POST /v1/intelligence/explain-opening</w:t>
            </w:r>
          </w:p>
        </w:tc>
        <w:tc>
          <w:tcPr>
            <w:tcW w:type="dxa" w:w="5083"/>
            <w:vAlign w:val="center"/>
          </w:tcPr>
          <w:p>
            <w:pPr>
              <w:spacing w:after="40"/>
            </w:pPr>
            <w:r>
              <w:rPr>
                <w:rFonts w:ascii="Aptos" w:hAnsi="Aptos"/>
                <w:color w:val="2D2D2D"/>
                <w:sz w:val="17"/>
              </w:rPr>
              <w:t>Generate an explanation for supplied opening context.</w:t>
            </w:r>
          </w:p>
        </w:tc>
      </w:tr>
      <w:tr>
        <w:trPr>
          <w:cantSplit/>
        </w:trPr>
        <w:tc>
          <w:tcPr>
            <w:tcW w:type="dxa" w:w="5083"/>
            <w:vAlign w:val="center"/>
          </w:tcPr>
          <w:p>
            <w:pPr>
              <w:spacing w:after="40"/>
            </w:pPr>
            <w:r>
              <w:rPr>
                <w:rFonts w:ascii="Aptos" w:hAnsi="Aptos"/>
                <w:color w:val="2D2D2D"/>
                <w:sz w:val="17"/>
              </w:rPr>
              <w:t>GET /v1/intelligence/runs/{id}</w:t>
            </w:r>
          </w:p>
        </w:tc>
        <w:tc>
          <w:tcPr>
            <w:tcW w:type="dxa" w:w="5083"/>
            <w:vAlign w:val="center"/>
          </w:tcPr>
          <w:p>
            <w:pPr>
              <w:spacing w:after="40"/>
            </w:pPr>
            <w:r>
              <w:rPr>
                <w:rFonts w:ascii="Aptos" w:hAnsi="Aptos"/>
                <w:color w:val="2D2D2D"/>
                <w:sz w:val="17"/>
              </w:rPr>
              <w:t>Retrieve a prior run and evidence/provenance metadata.</w:t>
            </w:r>
          </w:p>
        </w:tc>
      </w:tr>
      <w:tr>
        <w:trPr>
          <w:cantSplit/>
        </w:trPr>
        <w:tc>
          <w:tcPr>
            <w:tcW w:type="dxa" w:w="5083"/>
            <w:vAlign w:val="center"/>
          </w:tcPr>
          <w:p>
            <w:pPr>
              <w:spacing w:after="40"/>
            </w:pPr>
            <w:r>
              <w:rPr>
                <w:rFonts w:ascii="Aptos" w:hAnsi="Aptos"/>
                <w:color w:val="2D2D2D"/>
                <w:sz w:val="17"/>
              </w:rPr>
              <w:t>POST /v1/intelligence/runs/{id}/feedback</w:t>
            </w:r>
          </w:p>
        </w:tc>
        <w:tc>
          <w:tcPr>
            <w:tcW w:type="dxa" w:w="5083"/>
            <w:vAlign w:val="center"/>
          </w:tcPr>
          <w:p>
            <w:pPr>
              <w:spacing w:after="40"/>
            </w:pPr>
            <w:r>
              <w:rPr>
                <w:rFonts w:ascii="Aptos" w:hAnsi="Aptos"/>
                <w:color w:val="2D2D2D"/>
                <w:sz w:val="17"/>
              </w:rPr>
              <w:t>Record usefulness/correctness feedback.</w:t>
            </w:r>
          </w:p>
        </w:tc>
      </w:tr>
      <w:tr>
        <w:trPr>
          <w:cantSplit/>
        </w:trPr>
        <w:tc>
          <w:tcPr>
            <w:tcW w:type="dxa" w:w="5083"/>
            <w:vAlign w:val="center"/>
          </w:tcPr>
          <w:p>
            <w:pPr>
              <w:spacing w:after="40"/>
            </w:pPr>
            <w:r>
              <w:rPr>
                <w:rFonts w:ascii="Aptos" w:hAnsi="Aptos"/>
                <w:color w:val="2D2D2D"/>
                <w:sz w:val="17"/>
              </w:rPr>
              <w:t>GET /v1/intelligence/capabilities</w:t>
            </w:r>
          </w:p>
        </w:tc>
        <w:tc>
          <w:tcPr>
            <w:tcW w:type="dxa" w:w="5083"/>
            <w:vAlign w:val="center"/>
          </w:tcPr>
          <w:p>
            <w:pPr>
              <w:spacing w:after="40"/>
            </w:pPr>
            <w:r>
              <w:rPr>
                <w:rFonts w:ascii="Aptos" w:hAnsi="Aptos"/>
                <w:color w:val="2D2D2D"/>
                <w:sz w:val="17"/>
              </w:rPr>
              <w:t>Expose enabled models/features for the frontend.</w:t>
            </w:r>
          </w:p>
        </w:tc>
      </w:tr>
      <w:tr>
        <w:trPr>
          <w:cantSplit/>
        </w:trPr>
        <w:tc>
          <w:tcPr>
            <w:tcW w:type="dxa" w:w="5083"/>
            <w:vAlign w:val="center"/>
          </w:tcPr>
          <w:p>
            <w:pPr>
              <w:spacing w:after="40"/>
            </w:pPr>
            <w:r>
              <w:rPr>
                <w:rFonts w:ascii="Aptos" w:hAnsi="Aptos"/>
                <w:color w:val="2D2D2D"/>
                <w:sz w:val="17"/>
              </w:rPr>
              <w:t>POST /v1/intelligence/query</w:t>
            </w:r>
          </w:p>
        </w:tc>
        <w:tc>
          <w:tcPr>
            <w:tcW w:type="dxa" w:w="5083"/>
            <w:vAlign w:val="center"/>
          </w:tcPr>
          <w:p>
            <w:pPr>
              <w:spacing w:after="40"/>
            </w:pPr>
            <w:r>
              <w:rPr>
                <w:rFonts w:ascii="Aptos" w:hAnsi="Aptos"/>
                <w:color w:val="2D2D2D"/>
                <w:sz w:val="17"/>
              </w:rPr>
              <w:t>Later: natural-language Ask Radio Atlas endpoint with model-driven tool calls.</w:t>
            </w:r>
          </w:p>
        </w:tc>
      </w:tr>
    </w:tbl>
    <w:p>
      <w:pPr>
        <w:pStyle w:val="Heading2"/>
      </w:pPr>
      <w:r>
        <w:t>6.5 Suggested response contract</w:t>
      </w:r>
    </w:p>
    <w:p>
      <w:pPr>
        <w:pStyle w:val="CodeLike"/>
      </w:pPr>
      <w:r>
        <w:rPr>
          <w:rFonts w:ascii="Liberation Mono" w:hAnsi="Liberation Mono"/>
          <w:sz w:val="15"/>
        </w:rPr>
        <w:t>{</w:t>
        <w:br/>
        <w:t xml:space="preserve">  "run_id": "...",</w:t>
        <w:br/>
        <w:t xml:space="preserve">  "headline": "Strong trans-Pacific 20m opening",</w:t>
        <w:br/>
        <w:t xml:space="preserve">  "summary": "...",</w:t>
        <w:br/>
        <w:t xml:space="preserve">  "confidence": "high",</w:t>
        <w:br/>
        <w:t xml:space="preserve">  "confidence_score": 0.84,</w:t>
        <w:br/>
        <w:t xml:space="preserve">  "operator_action": "20m FT8 toward 305–320° is currently favorable.",</w:t>
        <w:br/>
        <w:t xml:space="preserve">  "evidence": [</w:t>
        <w:br/>
        <w:t xml:space="preserve">    {"claim": "Activity is 3.1× the prior window", "metric_id": "path_rate_delta"},</w:t>
        <w:br/>
        <w:t xml:space="preserve">    {"claim": "412 receptions across 96 receivers", "metric_id": "sample_size"}</w:t>
        <w:br/>
        <w:t xml:space="preserve">  ],</w:t>
        <w:br/>
        <w:t xml:space="preserve">  "caveats": [],</w:t>
        <w:br/>
        <w:t xml:space="preserve">  "analysis_window": {"start": "...", "end": "..."},</w:t>
        <w:br/>
        <w:t xml:space="preserve">  "provenance": {"evidence_id": "...", "observation_count": 412},</w:t>
        <w:br/>
        <w:t xml:space="preserve">  "model": {"provider": "...", "model": "...", "prompt_version": "explain-opening-v1"}</w:t>
        <w:br/>
        <w:t>}</w:t>
      </w:r>
    </w:p>
    <w:p>
      <w:pPr>
        <w:pStyle w:val="Heading1"/>
      </w:pPr>
      <w:r>
        <w:t>7. LLM / Agent Layer</w:t>
      </w:r>
    </w:p>
    <w:p>
      <w:pPr>
        <w:pStyle w:val="Heading2"/>
      </w:pPr>
      <w:r>
        <w:t>7.1 Start with structured generation, not free-form chat</w:t>
      </w:r>
    </w:p>
    <w:p>
      <w:r>
        <w:t>For the MVP, the model receives a single compact evidence packet and must return schema-valid structured output. Avoid asking the model to calculate counts or compare raw observation arrays. All arithmetic should already be present in the evidence packet.</w:t>
      </w:r>
    </w:p>
    <w:p>
      <w:pPr>
        <w:pStyle w:val="Heading2"/>
      </w:pPr>
      <w:r>
        <w:t>7.2 Provider abstraction</w:t>
      </w:r>
    </w:p>
    <w:p>
      <w:pPr>
        <w:pStyle w:val="ListBullet"/>
      </w:pPr>
      <w:r>
        <w:t>Define an LLMProvider protocol/interface with generate_structured(...).</w:t>
      </w:r>
    </w:p>
    <w:p>
      <w:pPr>
        <w:pStyle w:val="ListBullet"/>
      </w:pPr>
      <w:r>
        <w:t>Keep model name, timeout, temperature, max tokens, and API key in environment/settings.</w:t>
      </w:r>
    </w:p>
    <w:p>
      <w:pPr>
        <w:pStyle w:val="ListBullet"/>
      </w:pPr>
      <w:r>
        <w:t>Support provider replacement without changing IntelligenceService.</w:t>
      </w:r>
    </w:p>
    <w:p>
      <w:pPr>
        <w:pStyle w:val="ListBullet"/>
      </w:pPr>
      <w:r>
        <w:t>Persist provider/model/prompt version with each run for reproducibility.</w:t>
      </w:r>
    </w:p>
    <w:p>
      <w:pPr>
        <w:pStyle w:val="Heading2"/>
      </w:pPr>
      <w:r>
        <w:t>7.3 Prompt contract</w:t>
      </w:r>
    </w:p>
    <w:p>
      <w:pPr>
        <w:pStyle w:val="ListBullet"/>
      </w:pPr>
      <w:r>
        <w:t>Role: radio propagation analyst operating only on supplied evidence.</w:t>
      </w:r>
    </w:p>
    <w:p>
      <w:pPr>
        <w:pStyle w:val="ListBullet"/>
      </w:pPr>
      <w:r>
        <w:t>Never invent measurements, station counts, causal mechanisms, or time windows.</w:t>
      </w:r>
    </w:p>
    <w:p>
      <w:pPr>
        <w:pStyle w:val="ListBullet"/>
      </w:pPr>
      <w:r>
        <w:t>Distinguish observation (“activity increased”) from interpretation (“consistent with…”).</w:t>
      </w:r>
    </w:p>
    <w:p>
      <w:pPr>
        <w:pStyle w:val="ListBullet"/>
      </w:pPr>
      <w:r>
        <w:t>Use probabilistic language for propagation mechanisms unless directly established by deterministic logic.</w:t>
      </w:r>
    </w:p>
    <w:p>
      <w:pPr>
        <w:pStyle w:val="ListBullet"/>
      </w:pPr>
      <w:r>
        <w:t>If evidence conflicts or sample size is below threshold, lower confidence and say what is uncertain.</w:t>
      </w:r>
    </w:p>
    <w:p>
      <w:pPr>
        <w:pStyle w:val="ListBullet"/>
      </w:pPr>
      <w:r>
        <w:t>Every numerical statement in the explanation must correspond to a supplied metric/provenance identifier.</w:t>
      </w:r>
    </w:p>
    <w:p>
      <w:pPr>
        <w:pStyle w:val="ListBullet"/>
      </w:pPr>
      <w:r>
        <w:t>Output must validate against IntelligenceResponse schema.</w:t>
      </w:r>
    </w:p>
    <w:p>
      <w:pPr>
        <w:pStyle w:val="Heading2"/>
      </w:pPr>
      <w:r>
        <w:t>7.4 Tool layer for the next phase</w:t>
      </w:r>
    </w:p>
    <w:p>
      <w:r>
        <w:rPr>
          <w:rFonts w:ascii="Aptos" w:hAnsi="Aptos"/>
          <w:b/>
          <w:color w:val="275B91"/>
        </w:rPr>
        <w:t>get_band_activity</w:t>
      </w:r>
      <w:r>
        <w:t xml:space="preserve"> — Aggregate activity by band/mode/window/region.</w:t>
      </w:r>
    </w:p>
    <w:p>
      <w:r>
        <w:rPr>
          <w:rFonts w:ascii="Aptos" w:hAnsi="Aptos"/>
          <w:b/>
          <w:color w:val="275B91"/>
        </w:rPr>
        <w:t>get_path_activity</w:t>
      </w:r>
      <w:r>
        <w:t xml:space="preserve"> — Inspect a geographic path or source/target region.</w:t>
      </w:r>
    </w:p>
    <w:p>
      <w:r>
        <w:rPr>
          <w:rFonts w:ascii="Aptos" w:hAnsi="Aptos"/>
          <w:b/>
          <w:color w:val="275B91"/>
        </w:rPr>
        <w:t>get_space_weather</w:t>
      </w:r>
      <w:r>
        <w:t xml:space="preserve"> — Retrieve normalized space-weather context for a bounded window.</w:t>
      </w:r>
    </w:p>
    <w:p>
      <w:r>
        <w:rPr>
          <w:rFonts w:ascii="Aptos" w:hAnsi="Aptos"/>
          <w:b/>
          <w:color w:val="275B91"/>
        </w:rPr>
        <w:t>compare_time_windows</w:t>
      </w:r>
      <w:r>
        <w:t xml:space="preserve"> — Compare two observation windows using deterministic metrics.</w:t>
      </w:r>
    </w:p>
    <w:p>
      <w:r>
        <w:rPr>
          <w:rFonts w:ascii="Aptos" w:hAnsi="Aptos"/>
          <w:b/>
          <w:color w:val="275B91"/>
        </w:rPr>
        <w:t>find_anomalies</w:t>
      </w:r>
      <w:r>
        <w:t xml:space="preserve"> — Return statistically unusual activity already detected by backend logic.</w:t>
      </w:r>
    </w:p>
    <w:p>
      <w:r>
        <w:rPr>
          <w:rFonts w:ascii="Aptos" w:hAnsi="Aptos"/>
          <w:b/>
          <w:color w:val="275B91"/>
        </w:rPr>
        <w:t>get_station_reach</w:t>
      </w:r>
      <w:r>
        <w:t xml:space="preserve"> — Later: query station-specific observed reach and history.</w:t>
      </w:r>
    </w:p>
    <w:p>
      <w:pPr>
        <w:pStyle w:val="Heading1"/>
      </w:pPr>
      <w:r>
        <w:t>8. Explainability &amp; Confidence</w:t>
      </w:r>
    </w:p>
    <w:p>
      <w:r>
        <w:t>Confidence should be computed primarily by backend logic and passed to the model, not invented by the model. A first version can use a transparent weighted score.</w:t>
      </w:r>
    </w:p>
    <w:tbl>
      <w:tblPr>
        <w:tblStyle w:val="TableGrid"/>
        <w:tblW w:type="auto" w:w="0"/>
        <w:tblLook w:firstColumn="1" w:firstRow="1" w:lastColumn="0" w:lastRow="0" w:noHBand="0" w:noVBand="1" w:val="04A0"/>
      </w:tblPr>
      <w:tblGrid>
        <w:gridCol w:w="5083"/>
        <w:gridCol w:w="5083"/>
      </w:tblGrid>
      <w:tr>
        <w:trPr>
          <w:tblHeader w:val="true"/>
          <w:cantSplit/>
        </w:trPr>
        <w:tc>
          <w:tcPr>
            <w:tcW w:type="dxa" w:w="5083"/>
            <w:shd w:fill="1C3758"/>
            <w:vAlign w:val="center"/>
          </w:tcPr>
          <w:p>
            <w:pPr>
              <w:spacing w:after="40"/>
            </w:pPr>
            <w:r>
              <w:rPr>
                <w:rFonts w:ascii="Aptos" w:hAnsi="Aptos"/>
                <w:b/>
                <w:color w:val="FFFFFF"/>
                <w:sz w:val="18"/>
              </w:rPr>
              <w:t>Confidence input</w:t>
            </w:r>
          </w:p>
        </w:tc>
        <w:tc>
          <w:tcPr>
            <w:tcW w:type="dxa" w:w="5083"/>
            <w:shd w:fill="1C3758"/>
            <w:vAlign w:val="center"/>
          </w:tcPr>
          <w:p>
            <w:pPr>
              <w:spacing w:after="40"/>
            </w:pPr>
            <w:r>
              <w:rPr>
                <w:rFonts w:ascii="Aptos" w:hAnsi="Aptos"/>
                <w:b/>
                <w:color w:val="FFFFFF"/>
                <w:sz w:val="18"/>
              </w:rPr>
              <w:t>Question</w:t>
            </w:r>
          </w:p>
        </w:tc>
      </w:tr>
      <w:tr>
        <w:trPr>
          <w:cantSplit/>
        </w:trPr>
        <w:tc>
          <w:tcPr>
            <w:tcW w:type="dxa" w:w="5083"/>
            <w:vAlign w:val="center"/>
          </w:tcPr>
          <w:p>
            <w:pPr>
              <w:spacing w:after="40"/>
            </w:pPr>
            <w:r>
              <w:rPr>
                <w:rFonts w:ascii="Aptos" w:hAnsi="Aptos"/>
                <w:color w:val="2D2D2D"/>
                <w:sz w:val="17"/>
              </w:rPr>
              <w:t>Sample size</w:t>
            </w:r>
          </w:p>
        </w:tc>
        <w:tc>
          <w:tcPr>
            <w:tcW w:type="dxa" w:w="5083"/>
            <w:vAlign w:val="center"/>
          </w:tcPr>
          <w:p>
            <w:pPr>
              <w:spacing w:after="40"/>
            </w:pPr>
            <w:r>
              <w:rPr>
                <w:rFonts w:ascii="Aptos" w:hAnsi="Aptos"/>
                <w:color w:val="2D2D2D"/>
                <w:sz w:val="17"/>
              </w:rPr>
              <w:t>Are there enough observations to distinguish a real opening from noise?</w:t>
            </w:r>
          </w:p>
        </w:tc>
      </w:tr>
      <w:tr>
        <w:trPr>
          <w:cantSplit/>
        </w:trPr>
        <w:tc>
          <w:tcPr>
            <w:tcW w:type="dxa" w:w="5083"/>
            <w:vAlign w:val="center"/>
          </w:tcPr>
          <w:p>
            <w:pPr>
              <w:spacing w:after="40"/>
            </w:pPr>
            <w:r>
              <w:rPr>
                <w:rFonts w:ascii="Aptos" w:hAnsi="Aptos"/>
                <w:color w:val="2D2D2D"/>
                <w:sz w:val="17"/>
              </w:rPr>
              <w:t>Station diversity</w:t>
            </w:r>
          </w:p>
        </w:tc>
        <w:tc>
          <w:tcPr>
            <w:tcW w:type="dxa" w:w="5083"/>
            <w:vAlign w:val="center"/>
          </w:tcPr>
          <w:p>
            <w:pPr>
              <w:spacing w:after="40"/>
            </w:pPr>
            <w:r>
              <w:rPr>
                <w:rFonts w:ascii="Aptos" w:hAnsi="Aptos"/>
                <w:color w:val="2D2D2D"/>
                <w:sz w:val="17"/>
              </w:rPr>
              <w:t>Do observations come from many independent stations rather than one prolific reporter?</w:t>
            </w:r>
          </w:p>
        </w:tc>
      </w:tr>
      <w:tr>
        <w:trPr>
          <w:cantSplit/>
        </w:trPr>
        <w:tc>
          <w:tcPr>
            <w:tcW w:type="dxa" w:w="5083"/>
            <w:vAlign w:val="center"/>
          </w:tcPr>
          <w:p>
            <w:pPr>
              <w:spacing w:after="40"/>
            </w:pPr>
            <w:r>
              <w:rPr>
                <w:rFonts w:ascii="Aptos" w:hAnsi="Aptos"/>
                <w:color w:val="2D2D2D"/>
                <w:sz w:val="17"/>
              </w:rPr>
              <w:t>Geographic coherence</w:t>
            </w:r>
          </w:p>
        </w:tc>
        <w:tc>
          <w:tcPr>
            <w:tcW w:type="dxa" w:w="5083"/>
            <w:vAlign w:val="center"/>
          </w:tcPr>
          <w:p>
            <w:pPr>
              <w:spacing w:after="40"/>
            </w:pPr>
            <w:r>
              <w:rPr>
                <w:rFonts w:ascii="Aptos" w:hAnsi="Aptos"/>
                <w:color w:val="2D2D2D"/>
                <w:sz w:val="17"/>
              </w:rPr>
              <w:t>Do paths form a coherent target/source region?</w:t>
            </w:r>
          </w:p>
        </w:tc>
      </w:tr>
      <w:tr>
        <w:trPr>
          <w:cantSplit/>
        </w:trPr>
        <w:tc>
          <w:tcPr>
            <w:tcW w:type="dxa" w:w="5083"/>
            <w:vAlign w:val="center"/>
          </w:tcPr>
          <w:p>
            <w:pPr>
              <w:spacing w:after="40"/>
            </w:pPr>
            <w:r>
              <w:rPr>
                <w:rFonts w:ascii="Aptos" w:hAnsi="Aptos"/>
                <w:color w:val="2D2D2D"/>
                <w:sz w:val="17"/>
              </w:rPr>
              <w:t>Temporal persistence</w:t>
            </w:r>
          </w:p>
        </w:tc>
        <w:tc>
          <w:tcPr>
            <w:tcW w:type="dxa" w:w="5083"/>
            <w:vAlign w:val="center"/>
          </w:tcPr>
          <w:p>
            <w:pPr>
              <w:spacing w:after="40"/>
            </w:pPr>
            <w:r>
              <w:rPr>
                <w:rFonts w:ascii="Aptos" w:hAnsi="Aptos"/>
                <w:color w:val="2D2D2D"/>
                <w:sz w:val="17"/>
              </w:rPr>
              <w:t>Does the pattern persist across multiple collection intervals?</w:t>
            </w:r>
          </w:p>
        </w:tc>
      </w:tr>
      <w:tr>
        <w:trPr>
          <w:cantSplit/>
        </w:trPr>
        <w:tc>
          <w:tcPr>
            <w:tcW w:type="dxa" w:w="5083"/>
            <w:vAlign w:val="center"/>
          </w:tcPr>
          <w:p>
            <w:pPr>
              <w:spacing w:after="40"/>
            </w:pPr>
            <w:r>
              <w:rPr>
                <w:rFonts w:ascii="Aptos" w:hAnsi="Aptos"/>
                <w:color w:val="2D2D2D"/>
                <w:sz w:val="17"/>
              </w:rPr>
              <w:t>Baseline delta</w:t>
            </w:r>
          </w:p>
        </w:tc>
        <w:tc>
          <w:tcPr>
            <w:tcW w:type="dxa" w:w="5083"/>
            <w:vAlign w:val="center"/>
          </w:tcPr>
          <w:p>
            <w:pPr>
              <w:spacing w:after="40"/>
            </w:pPr>
            <w:r>
              <w:rPr>
                <w:rFonts w:ascii="Aptos" w:hAnsi="Aptos"/>
                <w:color w:val="2D2D2D"/>
                <w:sz w:val="17"/>
              </w:rPr>
              <w:t>Is current activity meaningfully different from the comparison window?</w:t>
            </w:r>
          </w:p>
        </w:tc>
      </w:tr>
      <w:tr>
        <w:trPr>
          <w:cantSplit/>
        </w:trPr>
        <w:tc>
          <w:tcPr>
            <w:tcW w:type="dxa" w:w="5083"/>
            <w:vAlign w:val="center"/>
          </w:tcPr>
          <w:p>
            <w:pPr>
              <w:spacing w:after="40"/>
            </w:pPr>
            <w:r>
              <w:rPr>
                <w:rFonts w:ascii="Aptos" w:hAnsi="Aptos"/>
                <w:color w:val="2D2D2D"/>
                <w:sz w:val="17"/>
              </w:rPr>
              <w:t>Feed quality</w:t>
            </w:r>
          </w:p>
        </w:tc>
        <w:tc>
          <w:tcPr>
            <w:tcW w:type="dxa" w:w="5083"/>
            <w:vAlign w:val="center"/>
          </w:tcPr>
          <w:p>
            <w:pPr>
              <w:spacing w:after="40"/>
            </w:pPr>
            <w:r>
              <w:rPr>
                <w:rFonts w:ascii="Aptos" w:hAnsi="Aptos"/>
                <w:color w:val="2D2D2D"/>
                <w:sz w:val="17"/>
              </w:rPr>
              <w:t>Are PSK and NOAA feeds current and complete?</w:t>
            </w:r>
          </w:p>
        </w:tc>
      </w:tr>
      <w:tr>
        <w:trPr>
          <w:cantSplit/>
        </w:trPr>
        <w:tc>
          <w:tcPr>
            <w:tcW w:type="dxa" w:w="5083"/>
            <w:vAlign w:val="center"/>
          </w:tcPr>
          <w:p>
            <w:pPr>
              <w:spacing w:after="40"/>
            </w:pPr>
            <w:r>
              <w:rPr>
                <w:rFonts w:ascii="Aptos" w:hAnsi="Aptos"/>
                <w:color w:val="2D2D2D"/>
                <w:sz w:val="17"/>
              </w:rPr>
              <w:t>Mechanism evidence</w:t>
            </w:r>
          </w:p>
        </w:tc>
        <w:tc>
          <w:tcPr>
            <w:tcW w:type="dxa" w:w="5083"/>
            <w:vAlign w:val="center"/>
          </w:tcPr>
          <w:p>
            <w:pPr>
              <w:spacing w:after="40"/>
            </w:pPr>
            <w:r>
              <w:rPr>
                <w:rFonts w:ascii="Aptos" w:hAnsi="Aptos"/>
                <w:color w:val="2D2D2D"/>
                <w:sz w:val="17"/>
              </w:rPr>
              <w:t>Does available context support a plausible interpretation, without overstating causality?</w:t>
            </w:r>
          </w:p>
        </w:tc>
      </w:tr>
    </w:tbl>
    <w:p>
      <w:r>
        <w:rPr>
          <w:rFonts w:ascii="Aptos" w:hAnsi="Aptos"/>
          <w:b/>
          <w:color w:val="1C3758"/>
        </w:rPr>
        <w:t xml:space="preserve">Recommendation: </w:t>
      </w:r>
      <w:r>
        <w:t>Expose both a qualitative label (Low / Medium / High) and the underlying reasons. Avoid displaying a precision-heavy numeric score to users until it has been calibrated against an evaluation set.</w:t>
      </w:r>
    </w:p>
    <w:p>
      <w:pPr>
        <w:pStyle w:val="Heading1"/>
      </w:pPr>
      <w:r>
        <w:t>9. Frontend Implementation</w:t>
      </w:r>
    </w:p>
    <w:p>
      <w:pPr>
        <w:pStyle w:val="Heading2"/>
      </w:pPr>
      <w:r>
        <w:t>9.1 Entry points</w:t>
      </w:r>
    </w:p>
    <w:p>
      <w:pPr>
        <w:pStyle w:val="ListBullet"/>
      </w:pPr>
      <w:r>
        <w:t>Opening/path selection panel: “Explain this opening”.</w:t>
      </w:r>
    </w:p>
    <w:p>
      <w:pPr>
        <w:pStyle w:val="ListBullet"/>
      </w:pPr>
      <w:r>
        <w:t>Band activity card: “Why is this band active?” using the same backend contract with a broader region.</w:t>
      </w:r>
    </w:p>
    <w:p>
      <w:pPr>
        <w:pStyle w:val="ListBullet"/>
      </w:pPr>
      <w:r>
        <w:t>Later: global “Ask Radio Atlas” command palette / panel.</w:t>
      </w:r>
    </w:p>
    <w:p>
      <w:pPr>
        <w:pStyle w:val="ListBullet"/>
      </w:pPr>
      <w:r>
        <w:t>Later: “Find something interesting” discovery control.</w:t>
      </w:r>
    </w:p>
    <w:p>
      <w:pPr>
        <w:pStyle w:val="Heading2"/>
      </w:pPr>
      <w:r>
        <w:t>9.2 Explanation panel</w:t>
      </w:r>
    </w:p>
    <w:p>
      <w:pPr>
        <w:pStyle w:val="ListBullet"/>
      </w:pPr>
      <w:r>
        <w:t>Headline and compact 2–4 sentence explanation.</w:t>
      </w:r>
    </w:p>
    <w:p>
      <w:pPr>
        <w:pStyle w:val="ListBullet"/>
      </w:pPr>
      <w:r>
        <w:t>Confidence badge with hover/tap detail explaining confidence factors.</w:t>
      </w:r>
    </w:p>
    <w:p>
      <w:pPr>
        <w:pStyle w:val="ListBullet"/>
      </w:pPr>
      <w:r>
        <w:t>Operator-action line separated from descriptive analysis.</w:t>
      </w:r>
    </w:p>
    <w:p>
      <w:pPr>
        <w:pStyle w:val="ListBullet"/>
      </w:pPr>
      <w:r>
        <w:t>Evidence section showing counts, baseline comparison, and relevant NOAA context.</w:t>
      </w:r>
    </w:p>
    <w:p>
      <w:pPr>
        <w:pStyle w:val="ListBullet"/>
      </w:pPr>
      <w:r>
        <w:t>“Show on map” controls to highlight the observations supporting a claim.</w:t>
      </w:r>
    </w:p>
    <w:p>
      <w:pPr>
        <w:pStyle w:val="ListBullet"/>
      </w:pPr>
      <w:r>
        <w:t>Caveat/data-quality section only when relevant.</w:t>
      </w:r>
    </w:p>
    <w:p>
      <w:pPr>
        <w:pStyle w:val="ListBullet"/>
      </w:pPr>
      <w:r>
        <w:t>Feedback controls: Helpful / Not helpful and optional reason.</w:t>
      </w:r>
    </w:p>
    <w:p>
      <w:pPr>
        <w:pStyle w:val="Heading2"/>
      </w:pPr>
      <w:r>
        <w:t>9.3 Loading and failure states</w:t>
      </w:r>
    </w:p>
    <w:p>
      <w:r>
        <w:t>Do not leave the user staring at a generic spinner. Show deterministic analysis progress states such as “Gathering opening observations” → “Comparing recent activity” → “Building explanation.” If the LLM fails, preserve the computed evidence and show a non-AI summary where possible.</w:t>
      </w:r>
    </w:p>
    <w:p>
      <w:pPr>
        <w:pStyle w:val="Heading1"/>
      </w:pPr>
      <w:r>
        <w:t>10. Evaluation, Safety &amp; Guardrails</w:t>
      </w:r>
    </w:p>
    <w:p>
      <w:r>
        <w:t>Treat evaluation as a first-class engineering feature. A polished demo that occasionally fabricates propagation facts will erode trust quickly.</w:t>
      </w:r>
    </w:p>
    <w:p>
      <w:r>
        <w:rPr>
          <w:rFonts w:ascii="Aptos" w:hAnsi="Aptos"/>
          <w:b/>
          <w:color w:val="1C3758"/>
        </w:rPr>
        <w:t xml:space="preserve">Groundedness: </w:t>
      </w:r>
      <w:r>
        <w:t>Every numeric claim and factual observation maps to evidence supplied to the model.</w:t>
      </w:r>
    </w:p>
    <w:p>
      <w:r>
        <w:rPr>
          <w:rFonts w:ascii="Aptos" w:hAnsi="Aptos"/>
          <w:b/>
          <w:color w:val="1C3758"/>
        </w:rPr>
        <w:t xml:space="preserve">No invented causality: </w:t>
      </w:r>
      <w:r>
        <w:t>Model uses “consistent with” / “may indicate” unless the system has deterministic evidence for stronger language.</w:t>
      </w:r>
    </w:p>
    <w:p>
      <w:r>
        <w:rPr>
          <w:rFonts w:ascii="Aptos" w:hAnsi="Aptos"/>
          <w:b/>
          <w:color w:val="1C3758"/>
        </w:rPr>
        <w:t xml:space="preserve">Correct comparison: </w:t>
      </w:r>
      <w:r>
        <w:t>Statements about increases/decreases match backend-computed deltas.</w:t>
      </w:r>
    </w:p>
    <w:p>
      <w:r>
        <w:rPr>
          <w:rFonts w:ascii="Aptos" w:hAnsi="Aptos"/>
          <w:b/>
          <w:color w:val="1C3758"/>
        </w:rPr>
        <w:t xml:space="preserve">Useful action: </w:t>
      </w:r>
      <w:r>
        <w:t>Recommendation is consistent with observed band/path activity.</w:t>
      </w:r>
    </w:p>
    <w:p>
      <w:r>
        <w:rPr>
          <w:rFonts w:ascii="Aptos" w:hAnsi="Aptos"/>
          <w:b/>
          <w:color w:val="1C3758"/>
        </w:rPr>
        <w:t xml:space="preserve">Uncertainty behavior: </w:t>
      </w:r>
      <w:r>
        <w:t>Low-quality evidence produces explicit uncertainty rather than confident filler.</w:t>
      </w:r>
    </w:p>
    <w:p>
      <w:r>
        <w:rPr>
          <w:rFonts w:ascii="Aptos" w:hAnsi="Aptos"/>
          <w:b/>
          <w:color w:val="1C3758"/>
        </w:rPr>
        <w:t xml:space="preserve">Schema adherence: </w:t>
      </w:r>
      <w:r>
        <w:t>Output validates without ad hoc parsing.</w:t>
      </w:r>
    </w:p>
    <w:p>
      <w:pPr>
        <w:pStyle w:val="Heading2"/>
      </w:pPr>
      <w:r>
        <w:t>Evaluation corpus</w:t>
      </w:r>
    </w:p>
    <w:p>
      <w:pPr>
        <w:pStyle w:val="ListBullet"/>
      </w:pPr>
      <w:r>
        <w:t>20–30 hand-curated normal openings across bands.</w:t>
      </w:r>
    </w:p>
    <w:p>
      <w:pPr>
        <w:pStyle w:val="ListBullet"/>
      </w:pPr>
      <w:r>
        <w:t>10 low-sample / noisy situations.</w:t>
      </w:r>
    </w:p>
    <w:p>
      <w:pPr>
        <w:pStyle w:val="ListBullet"/>
      </w:pPr>
      <w:r>
        <w:t>10 conflicting-data situations.</w:t>
      </w:r>
    </w:p>
    <w:p>
      <w:pPr>
        <w:pStyle w:val="ListBullet"/>
      </w:pPr>
      <w:r>
        <w:t>10 stale/missing-feed scenarios.</w:t>
      </w:r>
    </w:p>
    <w:p>
      <w:pPr>
        <w:pStyle w:val="ListBullet"/>
      </w:pPr>
      <w:r>
        <w:t>10 known or strongly suspected unusual propagation events for later mechanism-language testing.</w:t>
      </w:r>
    </w:p>
    <w:p>
      <w:pPr>
        <w:pStyle w:val="ListBullet"/>
      </w:pPr>
      <w:r>
        <w:t>Regression fixtures captured from production evidence packets, with sensitive/user data minimized.</w:t>
      </w:r>
    </w:p>
    <w:p>
      <w:pPr>
        <w:pStyle w:val="Heading1"/>
      </w:pPr>
      <w:r>
        <w:t>11. Testing Strategy</w:t>
      </w:r>
    </w:p>
    <w:p>
      <w:pPr>
        <w:pStyle w:val="Heading2"/>
      </w:pPr>
      <w:r>
        <w:t>Unit tests</w:t>
      </w:r>
    </w:p>
    <w:p>
      <w:pPr>
        <w:pStyle w:val="ListBullet"/>
      </w:pPr>
      <w:r>
        <w:t>Evidence aggregation and geospatial filters.</w:t>
      </w:r>
    </w:p>
    <w:p>
      <w:pPr>
        <w:pStyle w:val="ListBullet"/>
      </w:pPr>
      <w:r>
        <w:t>Window comparisons and baseline deltas.</w:t>
      </w:r>
    </w:p>
    <w:p>
      <w:pPr>
        <w:pStyle w:val="ListBullet"/>
      </w:pPr>
      <w:r>
        <w:t>Confidence calculation.</w:t>
      </w:r>
    </w:p>
    <w:p>
      <w:pPr>
        <w:pStyle w:val="ListBullet"/>
      </w:pPr>
      <w:r>
        <w:t>Data-quality flags.</w:t>
      </w:r>
    </w:p>
    <w:p>
      <w:pPr>
        <w:pStyle w:val="ListBullet"/>
      </w:pPr>
      <w:r>
        <w:t>Pydantic request/response validation.</w:t>
      </w:r>
    </w:p>
    <w:p>
      <w:pPr>
        <w:pStyle w:val="ListBullet"/>
      </w:pPr>
      <w:r>
        <w:t>Prompt builder contains required rules and bounded evidence only.</w:t>
      </w:r>
    </w:p>
    <w:p>
      <w:pPr>
        <w:pStyle w:val="ListBullet"/>
      </w:pPr>
      <w:r>
        <w:t>Provider error mapping and timeout behavior.</w:t>
      </w:r>
    </w:p>
    <w:p>
      <w:pPr>
        <w:pStyle w:val="Heading2"/>
      </w:pPr>
      <w:r>
        <w:t>Integration tests</w:t>
      </w:r>
    </w:p>
    <w:p>
      <w:pPr>
        <w:pStyle w:val="ListBullet"/>
      </w:pPr>
      <w:r>
        <w:t>Seed PostgreSQL with representative observations and NOAA snapshots; verify complete evidence packets.</w:t>
      </w:r>
    </w:p>
    <w:p>
      <w:pPr>
        <w:pStyle w:val="ListBullet"/>
      </w:pPr>
      <w:r>
        <w:t>Stub the LLM provider with deterministic structured responses.</w:t>
      </w:r>
    </w:p>
    <w:p>
      <w:pPr>
        <w:pStyle w:val="ListBullet"/>
      </w:pPr>
      <w:r>
        <w:t>Verify persistence of intelligence run metadata and provenance.</w:t>
      </w:r>
    </w:p>
    <w:p>
      <w:pPr>
        <w:pStyle w:val="ListBullet"/>
      </w:pPr>
      <w:r>
        <w:t>Exercise API authorization/rate limiting if introduced.</w:t>
      </w:r>
    </w:p>
    <w:p>
      <w:pPr>
        <w:pStyle w:val="Heading2"/>
      </w:pPr>
      <w:r>
        <w:t>Model / evaluation tests</w:t>
      </w:r>
    </w:p>
    <w:p>
      <w:pPr>
        <w:pStyle w:val="ListBullet"/>
      </w:pPr>
      <w:r>
        <w:t>Run fixed evidence fixtures against the selected model.</w:t>
      </w:r>
    </w:p>
    <w:p>
      <w:pPr>
        <w:pStyle w:val="ListBullet"/>
      </w:pPr>
      <w:r>
        <w:t>Automatically reject unsupported numeric claims.</w:t>
      </w:r>
    </w:p>
    <w:p>
      <w:pPr>
        <w:pStyle w:val="ListBullet"/>
      </w:pPr>
      <w:r>
        <w:t>Score required-field/schema compliance.</w:t>
      </w:r>
    </w:p>
    <w:p>
      <w:pPr>
        <w:pStyle w:val="ListBullet"/>
      </w:pPr>
      <w:r>
        <w:t>Human-review a sampled set for propagation-language quality and usefulness.</w:t>
      </w:r>
    </w:p>
    <w:p>
      <w:pPr>
        <w:pStyle w:val="ListBullet"/>
      </w:pPr>
      <w:r>
        <w:t>Store evaluation results by model + prompt version so model upgrades are measurable.</w:t>
      </w:r>
    </w:p>
    <w:p>
      <w:pPr>
        <w:pStyle w:val="Heading1"/>
      </w:pPr>
      <w:r>
        <w:t>12. Observability &amp; Cost Controls</w:t>
      </w:r>
    </w:p>
    <w:p>
      <w:pPr>
        <w:pStyle w:val="ListBullet"/>
      </w:pPr>
      <w:r>
        <w:t>Track total intelligence requests, successes/failures, LLM latency, evidence-query latency, and total endpoint latency.</w:t>
      </w:r>
    </w:p>
    <w:p>
      <w:pPr>
        <w:pStyle w:val="ListBullet"/>
      </w:pPr>
      <w:r>
        <w:t>Track input/output tokens and estimated cost per request by model.</w:t>
      </w:r>
    </w:p>
    <w:p>
      <w:pPr>
        <w:pStyle w:val="ListBullet"/>
      </w:pPr>
      <w:r>
        <w:t>Hash/fingerprint equivalent evidence requests and optionally cache explanations for short windows.</w:t>
      </w:r>
    </w:p>
    <w:p>
      <w:pPr>
        <w:pStyle w:val="ListBullet"/>
      </w:pPr>
      <w:r>
        <w:t>Set strict maximum evidence-packet size; aggregate before prompting instead of sending raw rows.</w:t>
      </w:r>
    </w:p>
    <w:p>
      <w:pPr>
        <w:pStyle w:val="ListBullet"/>
      </w:pPr>
      <w:r>
        <w:t>Add timeouts and bounded retries around the LLM call.</w:t>
      </w:r>
    </w:p>
    <w:p>
      <w:pPr>
        <w:pStyle w:val="ListBullet"/>
      </w:pPr>
      <w:r>
        <w:t>Log model response validation failures separately from provider/network failures.</w:t>
      </w:r>
    </w:p>
    <w:p>
      <w:pPr>
        <w:pStyle w:val="ListBullet"/>
      </w:pPr>
      <w:r>
        <w:t>Add a feature flag so AI can be disabled without disabling underlying Radio Atlas analytics.</w:t>
      </w:r>
    </w:p>
    <w:p>
      <w:pPr>
        <w:pStyle w:val="Heading1"/>
      </w:pPr>
      <w:r>
        <w:t>13. Security &amp; Privacy</w:t>
      </w:r>
    </w:p>
    <w:p>
      <w:pPr>
        <w:pStyle w:val="ListBullet"/>
      </w:pPr>
      <w:r>
        <w:t>Keep LLM API keys server-side only and load them through existing settings/environment configuration.</w:t>
      </w:r>
    </w:p>
    <w:p>
      <w:pPr>
        <w:pStyle w:val="ListBullet"/>
      </w:pPr>
      <w:r>
        <w:t>Do not allow arbitrary SQL or arbitrary backend function execution from model-generated text.</w:t>
      </w:r>
    </w:p>
    <w:p>
      <w:pPr>
        <w:pStyle w:val="ListBullet"/>
      </w:pPr>
      <w:r>
        <w:t>For future tool calling, expose a fixed allowlist of typed tools with validated arguments and bounded query windows.</w:t>
      </w:r>
    </w:p>
    <w:p>
      <w:pPr>
        <w:pStyle w:val="ListBullet"/>
      </w:pPr>
      <w:r>
        <w:t>Minimize callsign/user-profile data sent to the model; only include what is necessary for the requested analysis.</w:t>
      </w:r>
    </w:p>
    <w:p>
      <w:pPr>
        <w:pStyle w:val="ListBullet"/>
      </w:pPr>
      <w:r>
        <w:t>Add request limits before exposing open-ended Ask Radio Atlas to public users.</w:t>
      </w:r>
    </w:p>
    <w:p>
      <w:pPr>
        <w:pStyle w:val="ListBullet"/>
      </w:pPr>
      <w:r>
        <w:t>Treat third-party text as untrusted input if RAG is introduced later; data observations should remain structured, not prompt instructions.</w:t>
      </w:r>
    </w:p>
    <w:p>
      <w:pPr>
        <w:pStyle w:val="Heading1"/>
      </w:pPr>
      <w:r>
        <w:t>14. Delivery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C3758"/>
            <w:vAlign w:val="center"/>
          </w:tcPr>
          <w:p>
            <w:pPr>
              <w:spacing w:after="40"/>
            </w:pPr>
            <w:r>
              <w:rPr>
                <w:rFonts w:ascii="Aptos" w:hAnsi="Aptos"/>
                <w:b/>
                <w:color w:val="FFFFFF"/>
                <w:sz w:val="18"/>
              </w:rPr>
              <w:t>Phase</w:t>
            </w:r>
          </w:p>
        </w:tc>
        <w:tc>
          <w:tcPr>
            <w:tcW w:type="dxa" w:w="3389"/>
            <w:shd w:fill="1C3758"/>
            <w:vAlign w:val="center"/>
          </w:tcPr>
          <w:p>
            <w:pPr>
              <w:spacing w:after="40"/>
            </w:pPr>
            <w:r>
              <w:rPr>
                <w:rFonts w:ascii="Aptos" w:hAnsi="Aptos"/>
                <w:b/>
                <w:color w:val="FFFFFF"/>
                <w:sz w:val="18"/>
              </w:rPr>
              <w:t>Goal</w:t>
            </w:r>
          </w:p>
        </w:tc>
        <w:tc>
          <w:tcPr>
            <w:tcW w:type="dxa" w:w="3389"/>
            <w:shd w:fill="1C3758"/>
            <w:vAlign w:val="center"/>
          </w:tcPr>
          <w:p>
            <w:pPr>
              <w:spacing w:after="40"/>
            </w:pPr>
            <w:r>
              <w:rPr>
                <w:rFonts w:ascii="Aptos" w:hAnsi="Aptos"/>
                <w:b/>
                <w:color w:val="FFFFFF"/>
                <w:sz w:val="18"/>
              </w:rPr>
              <w:t>Key deliverables</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Phase A — Analytics foundation</w:t>
            </w:r>
          </w:p>
        </w:tc>
        <w:tc>
          <w:tcPr>
            <w:tcW w:type="dxa" w:w="3389"/>
            <w:tcMar>
              <w:top w:w="80" w:type="dxa"/>
              <w:start w:w="100" w:type="dxa"/>
              <w:bottom w:w="80" w:type="dxa"/>
              <w:end w:w="100" w:type="dxa"/>
            </w:tcMar>
            <w:vAlign w:val="center"/>
          </w:tcPr>
          <w:p>
            <w:pPr>
              <w:spacing w:after="40"/>
            </w:pPr>
            <w:r>
              <w:rPr>
                <w:rFonts w:ascii="Aptos" w:hAnsi="Aptos"/>
                <w:color w:val="2D2D2D"/>
                <w:sz w:val="17"/>
              </w:rPr>
              <w:t>Build deterministic opening analysis before any LLM call.</w:t>
            </w:r>
          </w:p>
        </w:tc>
        <w:tc>
          <w:tcPr>
            <w:tcW w:type="dxa" w:w="3389"/>
            <w:tcMar>
              <w:top w:w="80" w:type="dxa"/>
              <w:start w:w="100" w:type="dxa"/>
              <w:bottom w:w="80" w:type="dxa"/>
              <w:end w:w="100" w:type="dxa"/>
            </w:tcMar>
            <w:vAlign w:val="center"/>
          </w:tcPr>
          <w:p>
            <w:pPr>
              <w:spacing w:after="40"/>
            </w:pPr>
            <w:r>
              <w:rPr>
                <w:rFonts w:ascii="Aptos" w:hAnsi="Aptos"/>
                <w:color w:val="2D2D2D"/>
                <w:sz w:val="17"/>
              </w:rPr>
              <w:t>OpeningContext/OpeningEvidence models; observation queries; NOAA alignment; comparison metrics; confidence + data-quality flags; tests.</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Phase B — Explain This Opening backend</w:t>
            </w:r>
          </w:p>
        </w:tc>
        <w:tc>
          <w:tcPr>
            <w:tcW w:type="dxa" w:w="3389"/>
            <w:tcMar>
              <w:top w:w="80" w:type="dxa"/>
              <w:start w:w="100" w:type="dxa"/>
              <w:bottom w:w="80" w:type="dxa"/>
              <w:end w:w="100" w:type="dxa"/>
            </w:tcMar>
            <w:vAlign w:val="center"/>
          </w:tcPr>
          <w:p>
            <w:pPr>
              <w:spacing w:after="40"/>
            </w:pPr>
            <w:r>
              <w:rPr>
                <w:rFonts w:ascii="Aptos" w:hAnsi="Aptos"/>
                <w:color w:val="2D2D2D"/>
                <w:sz w:val="17"/>
              </w:rPr>
              <w:t>Add the LLM provider and structured intelligence endpoint.</w:t>
            </w:r>
          </w:p>
        </w:tc>
        <w:tc>
          <w:tcPr>
            <w:tcW w:type="dxa" w:w="3389"/>
            <w:tcMar>
              <w:top w:w="80" w:type="dxa"/>
              <w:start w:w="100" w:type="dxa"/>
              <w:bottom w:w="80" w:type="dxa"/>
              <w:end w:w="100" w:type="dxa"/>
            </w:tcMar>
            <w:vAlign w:val="center"/>
          </w:tcPr>
          <w:p>
            <w:pPr>
              <w:spacing w:after="40"/>
            </w:pPr>
            <w:r>
              <w:rPr>
                <w:rFonts w:ascii="Aptos" w:hAnsi="Aptos"/>
                <w:color w:val="2D2D2D"/>
                <w:sz w:val="17"/>
              </w:rPr>
              <w:t>Provider abstraction; prompt v1; IntelligenceService; persistence; API endpoint; schema-validation and failure paths.</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Phase C — Explain This Opening UI</w:t>
            </w:r>
          </w:p>
        </w:tc>
        <w:tc>
          <w:tcPr>
            <w:tcW w:type="dxa" w:w="3389"/>
            <w:tcMar>
              <w:top w:w="80" w:type="dxa"/>
              <w:start w:w="100" w:type="dxa"/>
              <w:bottom w:w="80" w:type="dxa"/>
              <w:end w:w="100" w:type="dxa"/>
            </w:tcMar>
            <w:vAlign w:val="center"/>
          </w:tcPr>
          <w:p>
            <w:pPr>
              <w:spacing w:after="40"/>
            </w:pPr>
            <w:r>
              <w:rPr>
                <w:rFonts w:ascii="Aptos" w:hAnsi="Aptos"/>
                <w:color w:val="2D2D2D"/>
                <w:sz w:val="17"/>
              </w:rPr>
              <w:t>Ship the first complete operator experience.</w:t>
            </w:r>
          </w:p>
        </w:tc>
        <w:tc>
          <w:tcPr>
            <w:tcW w:type="dxa" w:w="3389"/>
            <w:tcMar>
              <w:top w:w="80" w:type="dxa"/>
              <w:start w:w="100" w:type="dxa"/>
              <w:bottom w:w="80" w:type="dxa"/>
              <w:end w:w="100" w:type="dxa"/>
            </w:tcMar>
            <w:vAlign w:val="center"/>
          </w:tcPr>
          <w:p>
            <w:pPr>
              <w:spacing w:after="40"/>
            </w:pPr>
            <w:r>
              <w:rPr>
                <w:rFonts w:ascii="Aptos" w:hAnsi="Aptos"/>
                <w:color w:val="2D2D2D"/>
                <w:sz w:val="17"/>
              </w:rPr>
              <w:t>Map/band entry point; explanation panel; evidence inspector; confidence/caveats; feedback; loading/failure states.</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Phase D — Evaluation &amp; hardening</w:t>
            </w:r>
          </w:p>
        </w:tc>
        <w:tc>
          <w:tcPr>
            <w:tcW w:type="dxa" w:w="3389"/>
            <w:tcMar>
              <w:top w:w="80" w:type="dxa"/>
              <w:start w:w="100" w:type="dxa"/>
              <w:bottom w:w="80" w:type="dxa"/>
              <w:end w:w="100" w:type="dxa"/>
            </w:tcMar>
            <w:vAlign w:val="center"/>
          </w:tcPr>
          <w:p>
            <w:pPr>
              <w:spacing w:after="40"/>
            </w:pPr>
            <w:r>
              <w:rPr>
                <w:rFonts w:ascii="Aptos" w:hAnsi="Aptos"/>
                <w:color w:val="2D2D2D"/>
                <w:sz w:val="17"/>
              </w:rPr>
              <w:t>Establish trust and operational readiness.</w:t>
            </w:r>
          </w:p>
        </w:tc>
        <w:tc>
          <w:tcPr>
            <w:tcW w:type="dxa" w:w="3389"/>
            <w:tcMar>
              <w:top w:w="80" w:type="dxa"/>
              <w:start w:w="100" w:type="dxa"/>
              <w:bottom w:w="80" w:type="dxa"/>
              <w:end w:w="100" w:type="dxa"/>
            </w:tcMar>
            <w:vAlign w:val="center"/>
          </w:tcPr>
          <w:p>
            <w:pPr>
              <w:spacing w:after="40"/>
            </w:pPr>
            <w:r>
              <w:rPr>
                <w:rFonts w:ascii="Aptos" w:hAnsi="Aptos"/>
                <w:color w:val="2D2D2D"/>
                <w:sz w:val="17"/>
              </w:rPr>
              <w:t>Golden fixtures; groundedness checks; prompt/model regression suite; tracing/metrics; rate limits; caching; cost dashboard.</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Phase E — Ask Radio Atlas</w:t>
            </w:r>
          </w:p>
        </w:tc>
        <w:tc>
          <w:tcPr>
            <w:tcW w:type="dxa" w:w="3389"/>
            <w:tcMar>
              <w:top w:w="80" w:type="dxa"/>
              <w:start w:w="100" w:type="dxa"/>
              <w:bottom w:w="80" w:type="dxa"/>
              <w:end w:w="100" w:type="dxa"/>
            </w:tcMar>
            <w:vAlign w:val="center"/>
          </w:tcPr>
          <w:p>
            <w:pPr>
              <w:spacing w:after="40"/>
            </w:pPr>
            <w:r>
              <w:rPr>
                <w:rFonts w:ascii="Aptos" w:hAnsi="Aptos"/>
                <w:color w:val="2D2D2D"/>
                <w:sz w:val="17"/>
              </w:rPr>
              <w:t>Generalize the same primitives into natural-language exploration.</w:t>
            </w:r>
          </w:p>
        </w:tc>
        <w:tc>
          <w:tcPr>
            <w:tcW w:type="dxa" w:w="3389"/>
            <w:tcMar>
              <w:top w:w="80" w:type="dxa"/>
              <w:start w:w="100" w:type="dxa"/>
              <w:bottom w:w="80" w:type="dxa"/>
              <w:end w:w="100" w:type="dxa"/>
            </w:tcMar>
            <w:vAlign w:val="center"/>
          </w:tcPr>
          <w:p>
            <w:pPr>
              <w:spacing w:after="40"/>
            </w:pPr>
            <w:r>
              <w:rPr>
                <w:rFonts w:ascii="Aptos" w:hAnsi="Aptos"/>
                <w:color w:val="2D2D2D"/>
                <w:sz w:val="17"/>
              </w:rPr>
              <w:t>Typed tool catalog; orchestrator/tool calling; bounded conversation context; question templates; query provenance.</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Phase F — Find Something Interesting</w:t>
            </w:r>
          </w:p>
        </w:tc>
        <w:tc>
          <w:tcPr>
            <w:tcW w:type="dxa" w:w="3389"/>
            <w:tcMar>
              <w:top w:w="80" w:type="dxa"/>
              <w:start w:w="100" w:type="dxa"/>
              <w:bottom w:w="80" w:type="dxa"/>
              <w:end w:w="100" w:type="dxa"/>
            </w:tcMar>
            <w:vAlign w:val="center"/>
          </w:tcPr>
          <w:p>
            <w:pPr>
              <w:spacing w:after="40"/>
            </w:pPr>
            <w:r>
              <w:rPr>
                <w:rFonts w:ascii="Aptos" w:hAnsi="Aptos"/>
                <w:color w:val="2D2D2D"/>
                <w:sz w:val="17"/>
              </w:rPr>
              <w:t>Add automated discovery.</w:t>
            </w:r>
          </w:p>
        </w:tc>
        <w:tc>
          <w:tcPr>
            <w:tcW w:type="dxa" w:w="3389"/>
            <w:tcMar>
              <w:top w:w="80" w:type="dxa"/>
              <w:start w:w="100" w:type="dxa"/>
              <w:bottom w:w="80" w:type="dxa"/>
              <w:end w:w="100" w:type="dxa"/>
            </w:tcMar>
            <w:vAlign w:val="center"/>
          </w:tcPr>
          <w:p>
            <w:pPr>
              <w:spacing w:after="40"/>
            </w:pPr>
            <w:r>
              <w:rPr>
                <w:rFonts w:ascii="Aptos" w:hAnsi="Aptos"/>
                <w:color w:val="2D2D2D"/>
                <w:sz w:val="17"/>
              </w:rPr>
              <w:t>Baselines; anomaly detector; anomaly ranking; explanation reuse; globe/map navigation to detected events.</w:t>
            </w:r>
          </w:p>
        </w:tc>
      </w:tr>
      <w:tr>
        <w:trPr>
          <w:cantSplit/>
        </w:trPr>
        <w:tc>
          <w:tcPr>
            <w:tcW w:type="dxa" w:w="3389"/>
            <w:tcMar>
              <w:top w:w="80" w:type="dxa"/>
              <w:start w:w="100" w:type="dxa"/>
              <w:bottom w:w="80" w:type="dxa"/>
              <w:end w:w="100" w:type="dxa"/>
            </w:tcMar>
            <w:vAlign w:val="center"/>
          </w:tcPr>
          <w:p>
            <w:pPr>
              <w:spacing w:after="40"/>
            </w:pPr>
            <w:r>
              <w:rPr>
                <w:rFonts w:ascii="Aptos" w:hAnsi="Aptos"/>
                <w:color w:val="2D2D2D"/>
                <w:sz w:val="17"/>
              </w:rPr>
              <w:t>Phase G — Personal propagation intelligence</w:t>
            </w:r>
          </w:p>
        </w:tc>
        <w:tc>
          <w:tcPr>
            <w:tcW w:type="dxa" w:w="3389"/>
            <w:tcMar>
              <w:top w:w="80" w:type="dxa"/>
              <w:start w:w="100" w:type="dxa"/>
              <w:bottom w:w="80" w:type="dxa"/>
              <w:end w:w="100" w:type="dxa"/>
            </w:tcMar>
            <w:vAlign w:val="center"/>
          </w:tcPr>
          <w:p>
            <w:pPr>
              <w:spacing w:after="40"/>
            </w:pPr>
            <w:r>
              <w:rPr>
                <w:rFonts w:ascii="Aptos" w:hAnsi="Aptos"/>
                <w:color w:val="2D2D2D"/>
                <w:sz w:val="17"/>
              </w:rPr>
              <w:t>Learn station-specific behavior.</w:t>
            </w:r>
          </w:p>
        </w:tc>
        <w:tc>
          <w:tcPr>
            <w:tcW w:type="dxa" w:w="3389"/>
            <w:tcMar>
              <w:top w:w="80" w:type="dxa"/>
              <w:start w:w="100" w:type="dxa"/>
              <w:bottom w:w="80" w:type="dxa"/>
              <w:end w:w="100" w:type="dxa"/>
            </w:tcMar>
            <w:vAlign w:val="center"/>
          </w:tcPr>
          <w:p>
            <w:pPr>
              <w:spacing w:after="40"/>
            </w:pPr>
            <w:r>
              <w:rPr>
                <w:rFonts w:ascii="Aptos" w:hAnsi="Aptos"/>
                <w:color w:val="2D2D2D"/>
                <w:sz w:val="17"/>
              </w:rPr>
              <w:t>Station profiles; historical outcomes; feature store/model; calibrated probability; personalized explanations.</w:t>
            </w:r>
          </w:p>
        </w:tc>
      </w:tr>
    </w:tbl>
    <w:p>
      <w:pPr>
        <w:pStyle w:val="Heading1"/>
      </w:pPr>
      <w:r>
        <w:t>15. Epic / Story Backlog</w:t>
      </w:r>
    </w:p>
    <w:p>
      <w:pPr>
        <w:pStyle w:val="Heading2"/>
      </w:pPr>
      <w:r>
        <w:t>EPIC SI-1: Propagation Evidence Engine</w:t>
      </w:r>
    </w:p>
    <w:tbl>
      <w:tblPr>
        <w:tblStyle w:val="TableGrid"/>
        <w:tblW w:type="auto" w:w="0"/>
        <w:tblLook w:firstColumn="1" w:firstRow="1" w:lastColumn="0" w:lastRow="0" w:noHBand="0" w:noVBand="1" w:val="04A0"/>
      </w:tblPr>
      <w:tblGrid>
        <w:gridCol w:w="5083"/>
        <w:gridCol w:w="5083"/>
      </w:tblGrid>
      <w:tr>
        <w:trPr>
          <w:tblHeader w:val="true"/>
          <w:cantSplit/>
        </w:trPr>
        <w:tc>
          <w:tcPr>
            <w:tcW w:type="dxa" w:w="5083"/>
            <w:shd w:fill="D8E4F1"/>
            <w:vAlign w:val="center"/>
          </w:tcPr>
          <w:p>
            <w:pPr>
              <w:spacing w:after="40"/>
            </w:pPr>
            <w:r>
              <w:rPr>
                <w:rFonts w:ascii="Aptos" w:hAnsi="Aptos"/>
                <w:b/>
                <w:color w:val="1C3758"/>
                <w:sz w:val="17"/>
              </w:rPr>
              <w:t>Story</w:t>
            </w:r>
          </w:p>
        </w:tc>
        <w:tc>
          <w:tcPr>
            <w:tcW w:type="dxa" w:w="5083"/>
            <w:shd w:fill="D8E4F1"/>
            <w:vAlign w:val="center"/>
          </w:tcPr>
          <w:p>
            <w:pPr>
              <w:spacing w:after="40"/>
            </w:pPr>
            <w:r>
              <w:rPr>
                <w:rFonts w:ascii="Aptos" w:hAnsi="Aptos"/>
                <w:b/>
                <w:color w:val="1C3758"/>
                <w:sz w:val="17"/>
              </w:rPr>
              <w:t>Description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SI-1.1</w:t>
            </w:r>
          </w:p>
        </w:tc>
        <w:tc>
          <w:tcPr>
            <w:tcW w:type="dxa" w:w="5083"/>
            <w:tcMar>
              <w:top w:w="60" w:type="dxa"/>
              <w:start w:w="90" w:type="dxa"/>
              <w:bottom w:w="60" w:type="dxa"/>
              <w:end w:w="90" w:type="dxa"/>
            </w:tcMar>
            <w:vAlign w:val="center"/>
          </w:tcPr>
          <w:p>
            <w:pPr>
              <w:spacing w:after="40"/>
            </w:pPr>
            <w:r>
              <w:rPr>
                <w:rFonts w:ascii="Aptos" w:hAnsi="Aptos"/>
                <w:color w:val="2D2D2D"/>
                <w:sz w:val="17"/>
              </w:rPr>
              <w:t>Define OpeningContext and OpeningEvidence Pydantic/domain models.</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SI-1.2</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band/mode/time-window observation aggregation.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SI-1.3</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source/target region and path filtering.</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SI-1.4</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equal-window baseline comparison.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SI-1.5</w:t>
            </w:r>
          </w:p>
        </w:tc>
        <w:tc>
          <w:tcPr>
            <w:tcW w:type="dxa" w:w="5083"/>
            <w:tcMar>
              <w:top w:w="60" w:type="dxa"/>
              <w:start w:w="90" w:type="dxa"/>
              <w:bottom w:w="60" w:type="dxa"/>
              <w:end w:w="90" w:type="dxa"/>
            </w:tcMar>
            <w:vAlign w:val="center"/>
          </w:tcPr>
          <w:p>
            <w:pPr>
              <w:spacing w:after="40"/>
            </w:pPr>
            <w:r>
              <w:rPr>
                <w:rFonts w:ascii="Aptos" w:hAnsi="Aptos"/>
                <w:color w:val="2D2D2D"/>
                <w:sz w:val="17"/>
              </w:rPr>
              <w:t>Join normalized NOAA context to analysis windows.</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SI-1.6</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confidence features and data-quality flags.</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SI-1.7</w:t>
            </w:r>
          </w:p>
        </w:tc>
        <w:tc>
          <w:tcPr>
            <w:tcW w:type="dxa" w:w="5083"/>
            <w:tcMar>
              <w:top w:w="60" w:type="dxa"/>
              <w:start w:w="90" w:type="dxa"/>
              <w:bottom w:w="60" w:type="dxa"/>
              <w:end w:w="90" w:type="dxa"/>
            </w:tcMar>
            <w:vAlign w:val="center"/>
          </w:tcPr>
          <w:p>
            <w:pPr>
              <w:spacing w:after="40"/>
            </w:pPr>
            <w:r>
              <w:rPr>
                <w:rFonts w:ascii="Aptos" w:hAnsi="Aptos"/>
                <w:color w:val="2D2D2D"/>
                <w:sz w:val="17"/>
              </w:rPr>
              <w:t>Add deterministic evidence summary endpoint/test harness.</w:t>
            </w:r>
          </w:p>
        </w:tc>
      </w:tr>
    </w:tbl>
    <w:p/>
    <w:p>
      <w:pPr>
        <w:pStyle w:val="Heading2"/>
      </w:pPr>
      <w:r>
        <w:t>EPIC SI-2: LLM Explanation Service</w:t>
      </w:r>
    </w:p>
    <w:tbl>
      <w:tblPr>
        <w:tblStyle w:val="TableGrid"/>
        <w:tblW w:type="auto" w:w="0"/>
        <w:tblLook w:firstColumn="1" w:firstRow="1" w:lastColumn="0" w:lastRow="0" w:noHBand="0" w:noVBand="1" w:val="04A0"/>
      </w:tblPr>
      <w:tblGrid>
        <w:gridCol w:w="5083"/>
        <w:gridCol w:w="5083"/>
      </w:tblGrid>
      <w:tr>
        <w:trPr>
          <w:tblHeader w:val="true"/>
          <w:cantSplit/>
        </w:trPr>
        <w:tc>
          <w:tcPr>
            <w:tcW w:type="dxa" w:w="5083"/>
            <w:shd w:fill="D8E4F1"/>
            <w:vAlign w:val="center"/>
          </w:tcPr>
          <w:p>
            <w:pPr>
              <w:spacing w:after="40"/>
            </w:pPr>
            <w:r>
              <w:rPr>
                <w:rFonts w:ascii="Aptos" w:hAnsi="Aptos"/>
                <w:b/>
                <w:color w:val="1C3758"/>
                <w:sz w:val="17"/>
              </w:rPr>
              <w:t>Story</w:t>
            </w:r>
          </w:p>
        </w:tc>
        <w:tc>
          <w:tcPr>
            <w:tcW w:type="dxa" w:w="5083"/>
            <w:shd w:fill="D8E4F1"/>
            <w:vAlign w:val="center"/>
          </w:tcPr>
          <w:p>
            <w:pPr>
              <w:spacing w:after="40"/>
            </w:pPr>
            <w:r>
              <w:rPr>
                <w:rFonts w:ascii="Aptos" w:hAnsi="Aptos"/>
                <w:b/>
                <w:color w:val="1C3758"/>
                <w:sz w:val="17"/>
              </w:rPr>
              <w:t>Description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SI-2.1</w:t>
            </w:r>
          </w:p>
        </w:tc>
        <w:tc>
          <w:tcPr>
            <w:tcW w:type="dxa" w:w="5083"/>
            <w:tcMar>
              <w:top w:w="60" w:type="dxa"/>
              <w:start w:w="90" w:type="dxa"/>
              <w:bottom w:w="60" w:type="dxa"/>
              <w:end w:w="90" w:type="dxa"/>
            </w:tcMar>
            <w:vAlign w:val="center"/>
          </w:tcPr>
          <w:p>
            <w:pPr>
              <w:spacing w:after="40"/>
            </w:pPr>
            <w:r>
              <w:rPr>
                <w:rFonts w:ascii="Aptos" w:hAnsi="Aptos"/>
                <w:color w:val="2D2D2D"/>
                <w:sz w:val="17"/>
              </w:rPr>
              <w:t>Define LLMProvider interface and configuration.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SI-2.2</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selected provider adapter with structured output.</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SI-2.3</w:t>
            </w:r>
          </w:p>
        </w:tc>
        <w:tc>
          <w:tcPr>
            <w:tcW w:type="dxa" w:w="5083"/>
            <w:tcMar>
              <w:top w:w="60" w:type="dxa"/>
              <w:start w:w="90" w:type="dxa"/>
              <w:bottom w:w="60" w:type="dxa"/>
              <w:end w:w="90" w:type="dxa"/>
            </w:tcMar>
            <w:vAlign w:val="center"/>
          </w:tcPr>
          <w:p>
            <w:pPr>
              <w:spacing w:after="40"/>
            </w:pPr>
            <w:r>
              <w:rPr>
                <w:rFonts w:ascii="Aptos" w:hAnsi="Aptos"/>
                <w:color w:val="2D2D2D"/>
                <w:sz w:val="17"/>
              </w:rPr>
              <w:t>Create explain-opening prompt contract v1.</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SI-2.4</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IntelligenceService orchestration.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SI-2.5</w:t>
            </w:r>
          </w:p>
        </w:tc>
        <w:tc>
          <w:tcPr>
            <w:tcW w:type="dxa" w:w="5083"/>
            <w:tcMar>
              <w:top w:w="60" w:type="dxa"/>
              <w:start w:w="90" w:type="dxa"/>
              <w:bottom w:w="60" w:type="dxa"/>
              <w:end w:w="90" w:type="dxa"/>
            </w:tcMar>
            <w:vAlign w:val="center"/>
          </w:tcPr>
          <w:p>
            <w:pPr>
              <w:spacing w:after="40"/>
            </w:pPr>
            <w:r>
              <w:rPr>
                <w:rFonts w:ascii="Aptos" w:hAnsi="Aptos"/>
                <w:color w:val="2D2D2D"/>
                <w:sz w:val="17"/>
              </w:rPr>
              <w:t>Persist run/evidence/model metadata.</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SI-2.6</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POST /v1/intelligence/explain-opening.</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SI-2.7</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timeout, retry, validation, and fallback handling.</w:t>
            </w:r>
          </w:p>
        </w:tc>
      </w:tr>
    </w:tbl>
    <w:p/>
    <w:p>
      <w:pPr>
        <w:pStyle w:val="Heading2"/>
      </w:pPr>
      <w:r>
        <w:t>EPIC SI-3: Explain This Opening UX</w:t>
      </w:r>
    </w:p>
    <w:tbl>
      <w:tblPr>
        <w:tblStyle w:val="TableGrid"/>
        <w:tblW w:type="auto" w:w="0"/>
        <w:tblLook w:firstColumn="1" w:firstRow="1" w:lastColumn="0" w:lastRow="0" w:noHBand="0" w:noVBand="1" w:val="04A0"/>
      </w:tblPr>
      <w:tblGrid>
        <w:gridCol w:w="5083"/>
        <w:gridCol w:w="5083"/>
      </w:tblGrid>
      <w:tr>
        <w:trPr>
          <w:tblHeader w:val="true"/>
          <w:cantSplit/>
        </w:trPr>
        <w:tc>
          <w:tcPr>
            <w:tcW w:type="dxa" w:w="5083"/>
            <w:shd w:fill="D8E4F1"/>
            <w:vAlign w:val="center"/>
          </w:tcPr>
          <w:p>
            <w:pPr>
              <w:spacing w:after="40"/>
            </w:pPr>
            <w:r>
              <w:rPr>
                <w:rFonts w:ascii="Aptos" w:hAnsi="Aptos"/>
                <w:b/>
                <w:color w:val="1C3758"/>
                <w:sz w:val="17"/>
              </w:rPr>
              <w:t>Story</w:t>
            </w:r>
          </w:p>
        </w:tc>
        <w:tc>
          <w:tcPr>
            <w:tcW w:type="dxa" w:w="5083"/>
            <w:shd w:fill="D8E4F1"/>
            <w:vAlign w:val="center"/>
          </w:tcPr>
          <w:p>
            <w:pPr>
              <w:spacing w:after="40"/>
            </w:pPr>
            <w:r>
              <w:rPr>
                <w:rFonts w:ascii="Aptos" w:hAnsi="Aptos"/>
                <w:b/>
                <w:color w:val="1C3758"/>
                <w:sz w:val="17"/>
              </w:rPr>
              <w:t>Description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SI-3.1</w:t>
            </w:r>
          </w:p>
        </w:tc>
        <w:tc>
          <w:tcPr>
            <w:tcW w:type="dxa" w:w="5083"/>
            <w:tcMar>
              <w:top w:w="60" w:type="dxa"/>
              <w:start w:w="90" w:type="dxa"/>
              <w:bottom w:w="60" w:type="dxa"/>
              <w:end w:w="90" w:type="dxa"/>
            </w:tcMar>
            <w:vAlign w:val="center"/>
          </w:tcPr>
          <w:p>
            <w:pPr>
              <w:spacing w:after="40"/>
            </w:pPr>
            <w:r>
              <w:rPr>
                <w:rFonts w:ascii="Aptos" w:hAnsi="Aptos"/>
                <w:color w:val="2D2D2D"/>
                <w:sz w:val="17"/>
              </w:rPr>
              <w:t>Add Explain This Opening action to selected propagation context.</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SI-3.2</w:t>
            </w:r>
          </w:p>
        </w:tc>
        <w:tc>
          <w:tcPr>
            <w:tcW w:type="dxa" w:w="5083"/>
            <w:tcMar>
              <w:top w:w="60" w:type="dxa"/>
              <w:start w:w="90" w:type="dxa"/>
              <w:bottom w:w="60" w:type="dxa"/>
              <w:end w:w="90" w:type="dxa"/>
            </w:tcMar>
            <w:vAlign w:val="center"/>
          </w:tcPr>
          <w:p>
            <w:pPr>
              <w:spacing w:after="40"/>
            </w:pPr>
            <w:r>
              <w:rPr>
                <w:rFonts w:ascii="Aptos" w:hAnsi="Aptos"/>
                <w:color w:val="2D2D2D"/>
                <w:sz w:val="17"/>
              </w:rPr>
              <w:t>Create intelligence explanation panel.</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SI-3.3</w:t>
            </w:r>
          </w:p>
        </w:tc>
        <w:tc>
          <w:tcPr>
            <w:tcW w:type="dxa" w:w="5083"/>
            <w:tcMar>
              <w:top w:w="60" w:type="dxa"/>
              <w:start w:w="90" w:type="dxa"/>
              <w:bottom w:w="60" w:type="dxa"/>
              <w:end w:w="90" w:type="dxa"/>
            </w:tcMar>
            <w:vAlign w:val="center"/>
          </w:tcPr>
          <w:p>
            <w:pPr>
              <w:spacing w:after="40"/>
            </w:pPr>
            <w:r>
              <w:rPr>
                <w:rFonts w:ascii="Aptos" w:hAnsi="Aptos"/>
                <w:color w:val="2D2D2D"/>
                <w:sz w:val="17"/>
              </w:rPr>
              <w:t>Render confidence and caveats.</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SI-3.4</w:t>
            </w:r>
          </w:p>
        </w:tc>
        <w:tc>
          <w:tcPr>
            <w:tcW w:type="dxa" w:w="5083"/>
            <w:tcMar>
              <w:top w:w="60" w:type="dxa"/>
              <w:start w:w="90" w:type="dxa"/>
              <w:bottom w:w="60" w:type="dxa"/>
              <w:end w:w="90" w:type="dxa"/>
            </w:tcMar>
            <w:vAlign w:val="center"/>
          </w:tcPr>
          <w:p>
            <w:pPr>
              <w:spacing w:after="40"/>
            </w:pPr>
            <w:r>
              <w:rPr>
                <w:rFonts w:ascii="Aptos" w:hAnsi="Aptos"/>
                <w:color w:val="2D2D2D"/>
                <w:sz w:val="17"/>
              </w:rPr>
              <w:t>Render evidence/provenance detail.</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SI-3.5</w:t>
            </w:r>
          </w:p>
        </w:tc>
        <w:tc>
          <w:tcPr>
            <w:tcW w:type="dxa" w:w="5083"/>
            <w:tcMar>
              <w:top w:w="60" w:type="dxa"/>
              <w:start w:w="90" w:type="dxa"/>
              <w:bottom w:w="60" w:type="dxa"/>
              <w:end w:w="90" w:type="dxa"/>
            </w:tcMar>
            <w:vAlign w:val="center"/>
          </w:tcPr>
          <w:p>
            <w:pPr>
              <w:spacing w:after="40"/>
            </w:pPr>
            <w:r>
              <w:rPr>
                <w:rFonts w:ascii="Aptos" w:hAnsi="Aptos"/>
                <w:color w:val="2D2D2D"/>
                <w:sz w:val="17"/>
              </w:rPr>
              <w:t>Add map highlighting for supporting path/region evidence.</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SI-3.6</w:t>
            </w:r>
          </w:p>
        </w:tc>
        <w:tc>
          <w:tcPr>
            <w:tcW w:type="dxa" w:w="5083"/>
            <w:tcMar>
              <w:top w:w="60" w:type="dxa"/>
              <w:start w:w="90" w:type="dxa"/>
              <w:bottom w:w="60" w:type="dxa"/>
              <w:end w:w="90" w:type="dxa"/>
            </w:tcMar>
            <w:vAlign w:val="center"/>
          </w:tcPr>
          <w:p>
            <w:pPr>
              <w:spacing w:after="40"/>
            </w:pPr>
            <w:r>
              <w:rPr>
                <w:rFonts w:ascii="Aptos" w:hAnsi="Aptos"/>
                <w:color w:val="2D2D2D"/>
                <w:sz w:val="17"/>
              </w:rPr>
              <w:t>Add helpful/not-helpful feedback.</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SI-3.7</w:t>
            </w:r>
          </w:p>
        </w:tc>
        <w:tc>
          <w:tcPr>
            <w:tcW w:type="dxa" w:w="5083"/>
            <w:tcMar>
              <w:top w:w="60" w:type="dxa"/>
              <w:start w:w="90" w:type="dxa"/>
              <w:bottom w:w="60" w:type="dxa"/>
              <w:end w:w="90" w:type="dxa"/>
            </w:tcMar>
            <w:vAlign w:val="center"/>
          </w:tcPr>
          <w:p>
            <w:pPr>
              <w:spacing w:after="40"/>
            </w:pPr>
            <w:r>
              <w:rPr>
                <w:rFonts w:ascii="Aptos" w:hAnsi="Aptos"/>
                <w:color w:val="2D2D2D"/>
                <w:sz w:val="17"/>
              </w:rPr>
              <w:t>Add loading, degraded, and error states.</w:t>
            </w:r>
          </w:p>
        </w:tc>
      </w:tr>
    </w:tbl>
    <w:p/>
    <w:p>
      <w:pPr>
        <w:pStyle w:val="Heading2"/>
      </w:pPr>
      <w:r>
        <w:t>EPIC SI-4: AI Evaluation &amp; Operations</w:t>
      </w:r>
    </w:p>
    <w:tbl>
      <w:tblPr>
        <w:tblStyle w:val="TableGrid"/>
        <w:tblW w:type="auto" w:w="0"/>
        <w:tblLook w:firstColumn="1" w:firstRow="1" w:lastColumn="0" w:lastRow="0" w:noHBand="0" w:noVBand="1" w:val="04A0"/>
      </w:tblPr>
      <w:tblGrid>
        <w:gridCol w:w="5083"/>
        <w:gridCol w:w="5083"/>
      </w:tblGrid>
      <w:tr>
        <w:trPr>
          <w:tblHeader w:val="true"/>
          <w:cantSplit/>
        </w:trPr>
        <w:tc>
          <w:tcPr>
            <w:tcW w:type="dxa" w:w="5083"/>
            <w:shd w:fill="D8E4F1"/>
            <w:vAlign w:val="center"/>
          </w:tcPr>
          <w:p>
            <w:pPr>
              <w:spacing w:after="40"/>
            </w:pPr>
            <w:r>
              <w:rPr>
                <w:rFonts w:ascii="Aptos" w:hAnsi="Aptos"/>
                <w:b/>
                <w:color w:val="1C3758"/>
                <w:sz w:val="17"/>
              </w:rPr>
              <w:t>Story</w:t>
            </w:r>
          </w:p>
        </w:tc>
        <w:tc>
          <w:tcPr>
            <w:tcW w:type="dxa" w:w="5083"/>
            <w:shd w:fill="D8E4F1"/>
            <w:vAlign w:val="center"/>
          </w:tcPr>
          <w:p>
            <w:pPr>
              <w:spacing w:after="40"/>
            </w:pPr>
            <w:r>
              <w:rPr>
                <w:rFonts w:ascii="Aptos" w:hAnsi="Aptos"/>
                <w:b/>
                <w:color w:val="1C3758"/>
                <w:sz w:val="17"/>
              </w:rPr>
              <w:t>Description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SI-4.1</w:t>
            </w:r>
          </w:p>
        </w:tc>
        <w:tc>
          <w:tcPr>
            <w:tcW w:type="dxa" w:w="5083"/>
            <w:tcMar>
              <w:top w:w="60" w:type="dxa"/>
              <w:start w:w="90" w:type="dxa"/>
              <w:bottom w:w="60" w:type="dxa"/>
              <w:end w:w="90" w:type="dxa"/>
            </w:tcMar>
            <w:vAlign w:val="center"/>
          </w:tcPr>
          <w:p>
            <w:pPr>
              <w:spacing w:after="40"/>
            </w:pPr>
            <w:r>
              <w:rPr>
                <w:rFonts w:ascii="Aptos" w:hAnsi="Aptos"/>
                <w:color w:val="2D2D2D"/>
                <w:sz w:val="17"/>
              </w:rPr>
              <w:t>Create curated evaluation fixture set.</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SI-4.2</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unsupported-number / groundedness checker.</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SI-4.3</w:t>
            </w:r>
          </w:p>
        </w:tc>
        <w:tc>
          <w:tcPr>
            <w:tcW w:type="dxa" w:w="5083"/>
            <w:tcMar>
              <w:top w:w="60" w:type="dxa"/>
              <w:start w:w="90" w:type="dxa"/>
              <w:bottom w:w="60" w:type="dxa"/>
              <w:end w:w="90" w:type="dxa"/>
            </w:tcMar>
            <w:vAlign w:val="center"/>
          </w:tcPr>
          <w:p>
            <w:pPr>
              <w:spacing w:after="40"/>
            </w:pPr>
            <w:r>
              <w:rPr>
                <w:rFonts w:ascii="Aptos" w:hAnsi="Aptos"/>
                <w:color w:val="2D2D2D"/>
                <w:sz w:val="17"/>
              </w:rPr>
              <w:t>Add model/prompt regression runner.</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SI-4.4</w:t>
            </w:r>
          </w:p>
        </w:tc>
        <w:tc>
          <w:tcPr>
            <w:tcW w:type="dxa" w:w="5083"/>
            <w:tcMar>
              <w:top w:w="60" w:type="dxa"/>
              <w:start w:w="90" w:type="dxa"/>
              <w:bottom w:w="60" w:type="dxa"/>
              <w:end w:w="90" w:type="dxa"/>
            </w:tcMar>
            <w:vAlign w:val="center"/>
          </w:tcPr>
          <w:p>
            <w:pPr>
              <w:spacing w:after="40"/>
            </w:pPr>
            <w:r>
              <w:rPr>
                <w:rFonts w:ascii="Aptos" w:hAnsi="Aptos"/>
                <w:color w:val="2D2D2D"/>
                <w:sz w:val="17"/>
              </w:rPr>
              <w:t>Add AI latency/token/cost telemetry.</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SI-4.5</w:t>
            </w:r>
          </w:p>
        </w:tc>
        <w:tc>
          <w:tcPr>
            <w:tcW w:type="dxa" w:w="5083"/>
            <w:tcMar>
              <w:top w:w="60" w:type="dxa"/>
              <w:start w:w="90" w:type="dxa"/>
              <w:bottom w:w="60" w:type="dxa"/>
              <w:end w:w="90" w:type="dxa"/>
            </w:tcMar>
            <w:vAlign w:val="center"/>
          </w:tcPr>
          <w:p>
            <w:pPr>
              <w:spacing w:after="40"/>
            </w:pPr>
            <w:r>
              <w:rPr>
                <w:rFonts w:ascii="Aptos" w:hAnsi="Aptos"/>
                <w:color w:val="2D2D2D"/>
                <w:sz w:val="17"/>
              </w:rPr>
              <w:t>Add rate limiting and short-term response caching.</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SI-4.6</w:t>
            </w:r>
          </w:p>
        </w:tc>
        <w:tc>
          <w:tcPr>
            <w:tcW w:type="dxa" w:w="5083"/>
            <w:tcMar>
              <w:top w:w="60" w:type="dxa"/>
              <w:start w:w="90" w:type="dxa"/>
              <w:bottom w:w="60" w:type="dxa"/>
              <w:end w:w="90" w:type="dxa"/>
            </w:tcMar>
            <w:vAlign w:val="center"/>
          </w:tcPr>
          <w:p>
            <w:pPr>
              <w:spacing w:after="40"/>
            </w:pPr>
            <w:r>
              <w:rPr>
                <w:rFonts w:ascii="Aptos" w:hAnsi="Aptos"/>
                <w:color w:val="2D2D2D"/>
                <w:sz w:val="17"/>
              </w:rPr>
              <w:t>Create model/prompt release checklist.</w:t>
            </w:r>
          </w:p>
        </w:tc>
      </w:tr>
    </w:tbl>
    <w:p/>
    <w:p>
      <w:pPr>
        <w:pStyle w:val="Heading2"/>
      </w:pPr>
      <w:r>
        <w:t>EPIC SI-5: Ask Radio Atlas</w:t>
      </w:r>
    </w:p>
    <w:tbl>
      <w:tblPr>
        <w:tblStyle w:val="TableGrid"/>
        <w:tblW w:type="auto" w:w="0"/>
        <w:tblLook w:firstColumn="1" w:firstRow="1" w:lastColumn="0" w:lastRow="0" w:noHBand="0" w:noVBand="1" w:val="04A0"/>
      </w:tblPr>
      <w:tblGrid>
        <w:gridCol w:w="5083"/>
        <w:gridCol w:w="5083"/>
      </w:tblGrid>
      <w:tr>
        <w:trPr>
          <w:tblHeader w:val="true"/>
          <w:cantSplit/>
        </w:trPr>
        <w:tc>
          <w:tcPr>
            <w:tcW w:type="dxa" w:w="5083"/>
            <w:shd w:fill="D8E4F1"/>
            <w:vAlign w:val="center"/>
          </w:tcPr>
          <w:p>
            <w:pPr>
              <w:spacing w:after="40"/>
            </w:pPr>
            <w:r>
              <w:rPr>
                <w:rFonts w:ascii="Aptos" w:hAnsi="Aptos"/>
                <w:b/>
                <w:color w:val="1C3758"/>
                <w:sz w:val="17"/>
              </w:rPr>
              <w:t>Story</w:t>
            </w:r>
          </w:p>
        </w:tc>
        <w:tc>
          <w:tcPr>
            <w:tcW w:type="dxa" w:w="5083"/>
            <w:shd w:fill="D8E4F1"/>
            <w:vAlign w:val="center"/>
          </w:tcPr>
          <w:p>
            <w:pPr>
              <w:spacing w:after="40"/>
            </w:pPr>
            <w:r>
              <w:rPr>
                <w:rFonts w:ascii="Aptos" w:hAnsi="Aptos"/>
                <w:b/>
                <w:color w:val="1C3758"/>
                <w:sz w:val="17"/>
              </w:rPr>
              <w:t>Description</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SI-5.1</w:t>
            </w:r>
          </w:p>
        </w:tc>
        <w:tc>
          <w:tcPr>
            <w:tcW w:type="dxa" w:w="5083"/>
            <w:tcMar>
              <w:top w:w="60" w:type="dxa"/>
              <w:start w:w="90" w:type="dxa"/>
              <w:bottom w:w="60" w:type="dxa"/>
              <w:end w:w="90" w:type="dxa"/>
            </w:tcMar>
            <w:vAlign w:val="center"/>
          </w:tcPr>
          <w:p>
            <w:pPr>
              <w:spacing w:after="40"/>
            </w:pPr>
            <w:r>
              <w:rPr>
                <w:rFonts w:ascii="Aptos" w:hAnsi="Aptos"/>
                <w:color w:val="2D2D2D"/>
                <w:sz w:val="17"/>
              </w:rPr>
              <w:t>Define typed intelligence tool protocol.</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SI-5.2</w:t>
            </w:r>
          </w:p>
        </w:tc>
        <w:tc>
          <w:tcPr>
            <w:tcW w:type="dxa" w:w="5083"/>
            <w:tcMar>
              <w:top w:w="60" w:type="dxa"/>
              <w:start w:w="90" w:type="dxa"/>
              <w:bottom w:w="60" w:type="dxa"/>
              <w:end w:w="90" w:type="dxa"/>
            </w:tcMar>
            <w:vAlign w:val="center"/>
          </w:tcPr>
          <w:p>
            <w:pPr>
              <w:spacing w:after="40"/>
            </w:pPr>
            <w:r>
              <w:rPr>
                <w:rFonts w:ascii="Aptos" w:hAnsi="Aptos"/>
                <w:color w:val="2D2D2D"/>
                <w:sz w:val="17"/>
              </w:rPr>
              <w:t>Expose band activity, path activity, space weather, and comparison tools.</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SI-5.3</w:t>
            </w:r>
          </w:p>
        </w:tc>
        <w:tc>
          <w:tcPr>
            <w:tcW w:type="dxa" w:w="5083"/>
            <w:tcMar>
              <w:top w:w="60" w:type="dxa"/>
              <w:start w:w="90" w:type="dxa"/>
              <w:bottom w:w="60" w:type="dxa"/>
              <w:end w:w="90" w:type="dxa"/>
            </w:tcMar>
            <w:vAlign w:val="center"/>
          </w:tcPr>
          <w:p>
            <w:pPr>
              <w:spacing w:after="40"/>
            </w:pPr>
            <w:r>
              <w:rPr>
                <w:rFonts w:ascii="Aptos" w:hAnsi="Aptos"/>
                <w:color w:val="2D2D2D"/>
                <w:sz w:val="17"/>
              </w:rPr>
              <w:t>Implement tool-calling orchestrator.</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SI-5.4</w:t>
            </w:r>
          </w:p>
        </w:tc>
        <w:tc>
          <w:tcPr>
            <w:tcW w:type="dxa" w:w="5083"/>
            <w:tcMar>
              <w:top w:w="60" w:type="dxa"/>
              <w:start w:w="90" w:type="dxa"/>
              <w:bottom w:w="60" w:type="dxa"/>
              <w:end w:w="90" w:type="dxa"/>
            </w:tcMar>
            <w:vAlign w:val="center"/>
          </w:tcPr>
          <w:p>
            <w:pPr>
              <w:spacing w:after="40"/>
            </w:pPr>
            <w:r>
              <w:rPr>
                <w:rFonts w:ascii="Aptos" w:hAnsi="Aptos"/>
                <w:color w:val="2D2D2D"/>
                <w:sz w:val="17"/>
              </w:rPr>
              <w:t>Create POST /v1/intelligence/query.</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SI-5.5</w:t>
            </w:r>
          </w:p>
        </w:tc>
        <w:tc>
          <w:tcPr>
            <w:tcW w:type="dxa" w:w="5083"/>
            <w:tcMar>
              <w:top w:w="60" w:type="dxa"/>
              <w:start w:w="90" w:type="dxa"/>
              <w:bottom w:w="60" w:type="dxa"/>
              <w:end w:w="90" w:type="dxa"/>
            </w:tcMar>
            <w:vAlign w:val="center"/>
          </w:tcPr>
          <w:p>
            <w:pPr>
              <w:spacing w:after="40"/>
            </w:pPr>
            <w:r>
              <w:rPr>
                <w:rFonts w:ascii="Aptos" w:hAnsi="Aptos"/>
                <w:color w:val="2D2D2D"/>
                <w:sz w:val="17"/>
              </w:rPr>
              <w:t>Build conversational/query UI with provenance.</w:t>
            </w:r>
          </w:p>
        </w:tc>
      </w:tr>
      <w:tr>
        <w:trPr>
          <w:cantSplit/>
        </w:trPr>
        <w:tc>
          <w:tcPr>
            <w:tcW w:type="dxa" w:w="5083"/>
            <w:tcMar>
              <w:top w:w="60" w:type="dxa"/>
              <w:start w:w="90" w:type="dxa"/>
              <w:bottom w:w="60" w:type="dxa"/>
              <w:end w:w="90" w:type="dxa"/>
            </w:tcMar>
            <w:vAlign w:val="center"/>
          </w:tcPr>
          <w:p>
            <w:pPr>
              <w:spacing w:after="40"/>
            </w:pPr>
            <w:r>
              <w:rPr>
                <w:rFonts w:ascii="Aptos" w:hAnsi="Aptos"/>
                <w:color w:val="2D2D2D"/>
                <w:sz w:val="17"/>
              </w:rPr>
              <w:t>SI-5.6</w:t>
            </w:r>
          </w:p>
        </w:tc>
        <w:tc>
          <w:tcPr>
            <w:tcW w:type="dxa" w:w="5083"/>
            <w:tcMar>
              <w:top w:w="60" w:type="dxa"/>
              <w:start w:w="90" w:type="dxa"/>
              <w:bottom w:w="60" w:type="dxa"/>
              <w:end w:w="90" w:type="dxa"/>
            </w:tcMar>
            <w:vAlign w:val="center"/>
          </w:tcPr>
          <w:p>
            <w:pPr>
              <w:spacing w:after="40"/>
            </w:pPr>
            <w:r>
              <w:rPr>
                <w:rFonts w:ascii="Aptos" w:hAnsi="Aptos"/>
                <w:color w:val="2D2D2D"/>
                <w:sz w:val="17"/>
              </w:rPr>
              <w:t>Add bounded follow-up context and query limits.</w:t>
            </w:r>
          </w:p>
        </w:tc>
      </w:tr>
    </w:tbl>
    <w:p/>
    <w:p>
      <w:pPr>
        <w:pStyle w:val="Heading1"/>
      </w:pPr>
      <w:r>
        <w:t>16. Definition of Done</w:t>
      </w:r>
    </w:p>
    <w:p>
      <w:pPr>
        <w:pStyle w:val="ListBullet"/>
      </w:pPr>
      <w:r>
        <w:t>User can invoke Explain This Opening from a real Radio Atlas propagation context.</w:t>
      </w:r>
    </w:p>
    <w:p>
      <w:pPr>
        <w:pStyle w:val="ListBullet"/>
      </w:pPr>
      <w:r>
        <w:t>Backend explanation is generated from normalized Radio Atlas/NOAA evidence, never raw third-party prompt content.</w:t>
      </w:r>
    </w:p>
    <w:p>
      <w:pPr>
        <w:pStyle w:val="ListBullet"/>
      </w:pPr>
      <w:r>
        <w:t>All arithmetic and comparison metrics are computed outside the LLM.</w:t>
      </w:r>
    </w:p>
    <w:p>
      <w:pPr>
        <w:pStyle w:val="ListBullet"/>
      </w:pPr>
      <w:r>
        <w:t>Response validates against a stable typed schema.</w:t>
      </w:r>
    </w:p>
    <w:p>
      <w:pPr>
        <w:pStyle w:val="ListBullet"/>
      </w:pPr>
      <w:r>
        <w:t>Numerical claims are traceable to evidence/provenance fields.</w:t>
      </w:r>
    </w:p>
    <w:p>
      <w:pPr>
        <w:pStyle w:val="ListBullet"/>
      </w:pPr>
      <w:r>
        <w:t>Confidence and data-quality caveats are visible to the user.</w:t>
      </w:r>
    </w:p>
    <w:p>
      <w:pPr>
        <w:pStyle w:val="ListBullet"/>
      </w:pPr>
      <w:r>
        <w:t>Low-evidence conditions produce a cautious or insufficient-evidence response.</w:t>
      </w:r>
    </w:p>
    <w:p>
      <w:pPr>
        <w:pStyle w:val="ListBullet"/>
      </w:pPr>
      <w:r>
        <w:t>Endpoint has unit and integration coverage, including LLM failure paths.</w:t>
      </w:r>
    </w:p>
    <w:p>
      <w:pPr>
        <w:pStyle w:val="ListBullet"/>
      </w:pPr>
      <w:r>
        <w:t>An evaluation suite covers groundedness, uncertainty, and schema adherence.</w:t>
      </w:r>
    </w:p>
    <w:p>
      <w:pPr>
        <w:pStyle w:val="ListBullet"/>
      </w:pPr>
      <w:r>
        <w:t>Latency, errors, tokens, and cost are observable.</w:t>
      </w:r>
    </w:p>
    <w:p>
      <w:pPr>
        <w:pStyle w:val="ListBullet"/>
      </w:pPr>
      <w:r>
        <w:t>Feature can be disabled via configuration/feature flag without affecting ingestion or core Radio Atlas functionality.</w:t>
      </w:r>
    </w:p>
    <w:p>
      <w:pPr>
        <w:pStyle w:val="ListBullet"/>
      </w:pPr>
      <w:r>
        <w:t>Architecture supports later reuse by Ask Radio Atlas without rewriting the evidence layer.</w:t>
      </w:r>
    </w:p>
    <w:p>
      <w:pPr>
        <w:pStyle w:val="Heading1"/>
      </w:pPr>
      <w:r>
        <w:t>17. Future Expansion</w:t>
      </w:r>
    </w:p>
    <w:p>
      <w:r>
        <w:rPr>
          <w:rFonts w:ascii="Aptos" w:hAnsi="Aptos"/>
          <w:b/>
          <w:color w:val="275B91"/>
        </w:rPr>
        <w:t xml:space="preserve">Ask Radio Atlas: </w:t>
      </w:r>
      <w:r>
        <w:t>Natural-language analytical queries translated into typed tool calls over the same evidence services.</w:t>
      </w:r>
    </w:p>
    <w:p>
      <w:r>
        <w:rPr>
          <w:rFonts w:ascii="Aptos" w:hAnsi="Aptos"/>
          <w:b/>
          <w:color w:val="275B91"/>
        </w:rPr>
        <w:t xml:space="preserve">Find Something Interesting: </w:t>
      </w:r>
      <w:r>
        <w:t>Backend anomaly detection continuously identifies unusual activity; the LLM explains ranked anomalies only after they are deterministically detected.</w:t>
      </w:r>
    </w:p>
    <w:p>
      <w:r>
        <w:rPr>
          <w:rFonts w:ascii="Aptos" w:hAnsi="Aptos"/>
          <w:b/>
          <w:color w:val="275B91"/>
        </w:rPr>
        <w:t xml:space="preserve">Radio Weather: </w:t>
      </w:r>
      <w:r>
        <w:t>Summarize near-term band conditions from observed activity, modeled inputs, and later prediction systems while clearly distinguishing measurements from forecasts.</w:t>
      </w:r>
    </w:p>
    <w:p>
      <w:r>
        <w:rPr>
          <w:rFonts w:ascii="Aptos" w:hAnsi="Aptos"/>
          <w:b/>
          <w:color w:val="275B91"/>
        </w:rPr>
        <w:t xml:space="preserve">Personal Propagation Model: </w:t>
      </w:r>
      <w:r>
        <w:t>Estimate the success probability of a specific station/band/path using historical station observations and calibrated ML, with the LLM explaining the model output.</w:t>
      </w:r>
    </w:p>
    <w:p>
      <w:r>
        <w:rPr>
          <w:rFonts w:ascii="Aptos" w:hAnsi="Aptos"/>
          <w:b/>
          <w:color w:val="275B91"/>
        </w:rPr>
        <w:t xml:space="preserve">Signal Stories: </w:t>
      </w:r>
      <w:r>
        <w:t>Turn a selected contact/path into a short evidence-backed narrative with map animation and contemporaneous radio/space-weather context.</w:t>
      </w:r>
    </w:p>
    <w:p>
      <w:r>
        <w:rPr>
          <w:rFonts w:ascii="Aptos" w:hAnsi="Aptos"/>
          <w:b/>
          <w:color w:val="275B91"/>
        </w:rPr>
        <w:t xml:space="preserve">Radio Atlas MCP: </w:t>
      </w:r>
      <w:r>
        <w:t>Expose the stable intelligence tools to external AI clients once authentication, rate limits, tool safety, and API contracts are mature.</w:t>
      </w:r>
    </w:p>
    <w:p>
      <w:pPr>
        <w:pStyle w:val="Heading1"/>
      </w:pPr>
      <w:r>
        <w:t>Recommended Immediate Build Sequence</w:t>
      </w:r>
    </w:p>
    <w:p>
      <w:r>
        <w:rPr>
          <w:rFonts w:ascii="Aptos" w:hAnsi="Aptos"/>
          <w:b/>
          <w:color w:val="1C3758"/>
        </w:rPr>
        <w:t xml:space="preserve">Do not begin with the LLM API call. </w:t>
      </w:r>
      <w:r>
        <w:t>Begin by making Radio Atlas capable of explaining an opening deterministically in data structures and metrics. Once that evidence packet is credible, adding the LLM becomes a thin synthesis layer rather than a source of truth.</w:t>
      </w:r>
    </w:p>
    <w:p>
      <w:pPr>
        <w:spacing w:after="20" w:line="240" w:lineRule="auto"/>
      </w:pPr>
      <w:r>
        <w:rPr>
          <w:sz w:val="18"/>
        </w:rPr>
        <w:t>1.  Finish the NOAA and PSK Reporter normalized ingestion contracts currently in progress.</w:t>
      </w:r>
    </w:p>
    <w:p>
      <w:pPr>
        <w:spacing w:after="20" w:line="240" w:lineRule="auto"/>
      </w:pPr>
      <w:r>
        <w:rPr>
          <w:sz w:val="18"/>
        </w:rPr>
        <w:t>2.  Define OpeningContext and OpeningEvidence.</w:t>
      </w:r>
    </w:p>
    <w:p>
      <w:pPr>
        <w:spacing w:after="20" w:line="240" w:lineRule="auto"/>
      </w:pPr>
      <w:r>
        <w:rPr>
          <w:sz w:val="18"/>
        </w:rPr>
        <w:t>3.  Implement a single analysis case: one band + one time window + source/target geographic regions.</w:t>
      </w:r>
    </w:p>
    <w:p>
      <w:pPr>
        <w:spacing w:after="20" w:line="240" w:lineRule="auto"/>
      </w:pPr>
      <w:r>
        <w:rPr>
          <w:sz w:val="18"/>
        </w:rPr>
        <w:t>4.  Build equal-window comparison metrics and data-quality flags.</w:t>
      </w:r>
    </w:p>
    <w:p>
      <w:pPr>
        <w:spacing w:after="20" w:line="240" w:lineRule="auto"/>
      </w:pPr>
      <w:r>
        <w:rPr>
          <w:sz w:val="18"/>
        </w:rPr>
        <w:t>5.  Create a JSON/debug endpoint that returns the evidence packet without AI.</w:t>
      </w:r>
    </w:p>
    <w:p>
      <w:pPr>
        <w:spacing w:after="20" w:line="240" w:lineRule="auto"/>
      </w:pPr>
      <w:r>
        <w:rPr>
          <w:sz w:val="18"/>
        </w:rPr>
        <w:t>6.  Collect 10–20 real evidence packets and manually inspect whether they tell a coherent propagation story.</w:t>
      </w:r>
    </w:p>
    <w:p>
      <w:pPr>
        <w:spacing w:after="20" w:line="240" w:lineRule="auto"/>
      </w:pPr>
      <w:r>
        <w:rPr>
          <w:sz w:val="18"/>
        </w:rPr>
        <w:t>7.  Add the LLM provider and schema-constrained explanation on top of those packets.</w:t>
      </w:r>
    </w:p>
    <w:p>
      <w:pPr>
        <w:spacing w:after="20" w:line="240" w:lineRule="auto"/>
      </w:pPr>
      <w:r>
        <w:rPr>
          <w:sz w:val="18"/>
        </w:rPr>
        <w:t>8.  Build the Explain This Opening panel and evidence inspector.</w:t>
      </w:r>
    </w:p>
    <w:p>
      <w:pPr>
        <w:spacing w:after="20" w:line="240" w:lineRule="auto"/>
      </w:pPr>
      <w:r>
        <w:rPr>
          <w:sz w:val="18"/>
        </w:rPr>
        <w:t>9.  Create the evaluation suite before broadening the feature.</w:t>
      </w:r>
    </w:p>
    <w:p>
      <w:pPr>
        <w:spacing w:after="20" w:line="240" w:lineRule="auto"/>
      </w:pPr>
      <w:r>
        <w:rPr>
          <w:sz w:val="18"/>
        </w:rPr>
        <w:t>10.  Only then generalize the evidence functions into LLM-callable tools for Ask Radio Atlas.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A5568"/>
        <w:sz w:val="15"/>
      </w:rPr>
      <w:t>Implementation Plan  •  v1.0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A5568"/>
        <w:sz w:val="15"/>
      </w:rPr>
      <w:t>SOLARASPHERE: RADIO ATLAS  |  SOLARA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C3758"/>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75B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37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375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A55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val="0"/>
      <w:color w:val="1C3758"/>
      <w:sz w:val="20"/>
    </w:rPr>
  </w:style>
  <w:style w:type="paragraph" w:customStyle="1" w:styleId="Small">
    <w:name w:val="Small"/>
    <w:rPr>
      <w:rFonts w:ascii="Aptos" w:hAnsi="Aptos"/>
      <w:b w:val="0"/>
      <w:color w:val="4A5568"/>
      <w:sz w:val="16"/>
    </w:rPr>
  </w:style>
  <w:style w:type="paragraph" w:customStyle="1" w:styleId="CodeLike">
    <w:name w:val="CodeLike"/>
    <w:rPr>
      <w:rFonts w:ascii="Aptos" w:hAnsi="Aptos"/>
      <w:b w:val="0"/>
      <w:color w:val="2D30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Solara Intelligence Implementation Plan</dc:title>
  <dc:subject>AI-powered propagation intelligence implementation plan for SolaraSphere: Radio Atlas</dc:subject>
  <dc:creator>SolaraSphere: Radio Atlas</dc:creator>
  <cp:keywords>Radio Atlas, Solara Intelligence, LLM, AI, propagation, PSK Reporter, NOAA, FastAPI</cp:keywords>
  <dc:description>generated by python-docx</dc:description>
  <cp:lastModifiedBy/>
  <cp:revision>1</cp:revision>
  <dcterms:created xsi:type="dcterms:W3CDTF">2013-12-23T23:15:00Z</dcterms:created>
  <dcterms:modified xsi:type="dcterms:W3CDTF">2013-12-23T23:15:00Z</dcterms:modified>
  <cp:category/>
</cp:coreProperties>
</file>