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Arial" w:cs="Arial" w:eastAsia="Arial" w:hAnsi="Arial"/>
          <w:b/>
          <w:bCs/>
          <w:color w:val="1F5C99"/>
          <w:sz w:val="28"/>
          <w:szCs w:val="28"/>
        </w:rPr>
        <w:t xml:space="preserve">1. ВХОДНАЯ ЦЕПЬ</w:t>
      </w:r>
    </w:p>
    <w:p>
      <w:pPr>
        <w:pStyle w:val="Heading3"/>
        <w:spacing w:after="140" w:before="180"/>
        <w:jc w:val="center"/>
      </w:pPr>
      <w:r>
        <w:rPr>
          <w:rFonts w:ascii="Arial" w:cs="Arial" w:eastAsia="Arial" w:hAnsi="Arial"/>
          <w:b/>
          <w:bCs/>
          <w:color w:val="2E75B6"/>
          <w:sz w:val="24"/>
          <w:szCs w:val="24"/>
        </w:rPr>
        <w:t xml:space="preserve">1.1. Общие сведения</w:t>
      </w:r>
    </w:p>
    <w:p>
      <w:pPr>
        <w:spacing w:after="80" w:before="0" w:line="276"/>
        <w:ind w:firstLine="720"/>
        <w:jc w:val="both"/>
      </w:pPr>
      <w:r>
        <w:rPr>
          <w:rFonts w:ascii="Times New Roman" w:cs="Times New Roman" w:eastAsia="Times New Roman" w:hAnsi="Times New Roman"/>
          <w:i/>
          <w:iCs/>
          <w:sz w:val="24"/>
          <w:szCs w:val="24"/>
        </w:rPr>
        <w:t xml:space="preserve">Входной цепью</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ВЦ</w:t>
      </w:r>
      <w:r>
        <w:rPr>
          <w:rFonts w:ascii="Times New Roman" w:cs="Times New Roman" w:eastAsia="Times New Roman" w:hAnsi="Times New Roman"/>
          <w:sz w:val="24"/>
          <w:szCs w:val="24"/>
        </w:rPr>
        <w:t xml:space="preserve">) называется цепь устройств приема и обработки сигналов (УПОС), связывающая антенну с последующими каскадами, например, с усилителем радиосигналов или преобразователем частоты.</w:t>
      </w:r>
    </w:p>
    <w:p>
      <w:pPr>
        <w:spacing w:after="80" w:before="0" w:line="276"/>
        <w:ind w:firstLine="720"/>
        <w:jc w:val="both"/>
      </w:pPr>
      <w:r>
        <w:rPr>
          <w:rFonts w:ascii="Times New Roman" w:cs="Times New Roman" w:eastAsia="Times New Roman" w:hAnsi="Times New Roman"/>
          <w:sz w:val="24"/>
          <w:szCs w:val="24"/>
        </w:rPr>
        <w:t xml:space="preserve">ВЦ предназначена для передачи энергии входного сигнала из антенны на вход последующих каскадов и предварительной фильтрации помех. Необходимость фильтрации обусловлена тем, что следующие за входной цепью каскады (усилитель радиосигналов или преобразователь частоты) содержат электронные приборы (транзисторы, интегральные микросхемы), обладающие нелинейными вольт-амперными характеристиками (ВАХ). Наличие таких приборов приводит к появлению различных нелинейных эффектов, например, перекрестных искажений – переносу модуляции мешающего сигнала на полезный сигнал. Обычно входная цепь не имеет в своем составе источников энергии и может быть представлена в виде пассивного четырехполюсника.</w:t>
      </w:r>
    </w:p>
    <w:p>
      <w:pPr>
        <w:spacing w:after="80" w:before="0" w:line="276"/>
        <w:ind w:firstLine="720"/>
        <w:jc w:val="both"/>
      </w:pPr>
      <w:r>
        <w:rPr>
          <w:rFonts w:ascii="Times New Roman" w:cs="Times New Roman" w:eastAsia="Times New Roman" w:hAnsi="Times New Roman"/>
          <w:sz w:val="24"/>
          <w:szCs w:val="24"/>
        </w:rPr>
        <w:t xml:space="preserve">Для входных цепей радиоприемных устройств супергетеродинного типа важное значение имеет ослабление приема сигналов на частоте зеркального канала fз и на промежуточной частоте fп.ч. Учитывая, что обычно частота зеркального канала fз = fс + 2fп.ч и мешающие сигналы на этой частоте не могут быть отфильтрованы в полосовом усилителе промежуточной частоты, они должны быть ослаблены с помощью входной цепи и избирательного усилителя радиосигналов.</w:t>
      </w:r>
    </w:p>
    <w:p>
      <w:pPr>
        <w:spacing w:after="80" w:before="0" w:line="276"/>
        <w:ind w:firstLine="720"/>
        <w:jc w:val="both"/>
      </w:pPr>
      <w:r>
        <w:rPr>
          <w:rFonts w:ascii="Times New Roman" w:cs="Times New Roman" w:eastAsia="Times New Roman" w:hAnsi="Times New Roman"/>
          <w:sz w:val="24"/>
          <w:szCs w:val="24"/>
        </w:rPr>
        <w:t xml:space="preserve">Структурная схема входной цепи изображена на рис. 1.1, где EА – наводимая в приемной антенне ЭДС; ZА – внутреннее сопротивление антенны; ИС – избирательная система (один или несколько резонаторов).</w:t>
      </w:r>
    </w:p>
    <w:p>
      <w:pPr>
        <w:spacing w:after="80" w:before="120"/>
        <w:jc w:val="center"/>
      </w:pPr>
      <w:r>
        <w:drawing>
          <wp:inline distT="0" distB="0" distL="0" distR="0">
            <wp:extent cx="4762500" cy="24288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288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1.1. Структурная схема входной цепи</w:t>
      </w:r>
    </w:p>
    <w:p>
      <w:pPr>
        <w:spacing w:after="80" w:before="0" w:line="276"/>
        <w:ind w:firstLine="720"/>
        <w:jc w:val="both"/>
      </w:pPr>
      <w:r>
        <w:rPr>
          <w:rFonts w:ascii="Times New Roman" w:cs="Times New Roman" w:eastAsia="Times New Roman" w:hAnsi="Times New Roman"/>
          <w:sz w:val="24"/>
          <w:szCs w:val="24"/>
        </w:rPr>
        <w:t xml:space="preserve">Входные цепи можно классифицировать по ряду признаков. Различают, например, следующие виды связи первого резонатора избирательной системы с антенной: непосредственная, емкостная (внутренняя и внешняя), трансформаторная, автотрансформаторная и комбинированная.</w:t>
      </w:r>
    </w:p>
    <w:p>
      <w:pPr>
        <w:pStyle w:val="Heading2"/>
        <w:spacing w:after="160" w:before="200"/>
        <w:jc w:val="center"/>
      </w:pPr>
      <w:r>
        <w:rPr>
          <w:rFonts w:ascii="Arial" w:cs="Arial" w:eastAsia="Arial" w:hAnsi="Arial"/>
          <w:b/>
          <w:bCs/>
          <w:color w:val="1F5C99"/>
          <w:sz w:val="26"/>
          <w:szCs w:val="26"/>
        </w:rPr>
        <w:t xml:space="preserve">1.2. Основные характеристики входной цепи</w:t>
      </w:r>
    </w:p>
    <w:p>
      <w:pPr>
        <w:spacing w:after="80" w:before="0" w:line="276"/>
        <w:ind w:firstLine="720"/>
        <w:jc w:val="both"/>
      </w:pPr>
      <w:r>
        <w:rPr>
          <w:rFonts w:ascii="Times New Roman" w:cs="Times New Roman" w:eastAsia="Times New Roman" w:hAnsi="Times New Roman"/>
          <w:sz w:val="24"/>
          <w:szCs w:val="24"/>
        </w:rPr>
        <w:t xml:space="preserve">Коэффициент передачи по напряжению равен отношению напряжения сигнала на выходе входной цепи Uвых к ЭДС (EА), наведенной в антенне полем принимаемого полезного входного сигнала:</w:t>
      </w:r>
    </w:p>
    <w:p>
      <w:pPr>
        <w:spacing w:after="80" w:before="0" w:line="276"/>
        <w:jc w:val="center"/>
      </w:pPr>
      <w:r>
        <w:rPr>
          <w:rFonts w:ascii="Times New Roman" w:cs="Times New Roman" w:eastAsia="Times New Roman" w:hAnsi="Times New Roman"/>
          <w:sz w:val="24"/>
          <w:szCs w:val="24"/>
        </w:rPr>
        <w:t xml:space="preserve">Kᵤ = Uвых / EА = |Kᵤ| · eʲᵃʳᴺᴵ</w:t>
      </w:r>
    </w:p>
    <w:p>
      <w:pPr>
        <w:spacing w:after="80" w:before="0" w:line="276"/>
        <w:ind w:firstLine="720"/>
        <w:jc w:val="both"/>
      </w:pPr>
      <w:r>
        <w:rPr>
          <w:rFonts w:ascii="Times New Roman" w:cs="Times New Roman" w:eastAsia="Times New Roman" w:hAnsi="Times New Roman"/>
          <w:sz w:val="24"/>
          <w:szCs w:val="24"/>
        </w:rPr>
        <w:t xml:space="preserve">Резонансный коэффициент передачи (Kᵤ₀) – коэффициент передачи входной цепи при частоте, равной собственной частоте настройки избирательной системы. Для повышения чувствительности УПОС целесообразно выбирать входную цепь таким образом, чтобы резонансный коэффициент передачи оказывался возможно больше с учетом реализации заданной избирательности.</w:t>
      </w:r>
    </w:p>
    <w:p>
      <w:pPr>
        <w:spacing w:after="80" w:before="0" w:line="276"/>
        <w:ind w:firstLine="720"/>
        <w:jc w:val="both"/>
      </w:pPr>
      <w:r>
        <w:rPr>
          <w:rFonts w:ascii="Times New Roman" w:cs="Times New Roman" w:eastAsia="Times New Roman" w:hAnsi="Times New Roman"/>
          <w:sz w:val="24"/>
          <w:szCs w:val="24"/>
        </w:rPr>
        <w:t xml:space="preserve">Частотная селективность характеризует уменьшение значения модуля коэффициента передачи |Kᵤ(f)| при заданной расстройке по частоте по сравнению с его значением при резонансе Kᵤ₀ при |EА| = const:</w:t>
      </w:r>
    </w:p>
    <w:p>
      <w:pPr>
        <w:spacing w:after="80" w:before="0" w:line="276"/>
        <w:jc w:val="center"/>
      </w:pPr>
      <w:r>
        <w:rPr>
          <w:rFonts w:ascii="Times New Roman" w:cs="Times New Roman" w:eastAsia="Times New Roman" w:hAnsi="Times New Roman"/>
          <w:sz w:val="24"/>
          <w:szCs w:val="24"/>
        </w:rPr>
        <w:t xml:space="preserve">δ(f) = Kᵤ(f) / Kᵤ₀.</w:t>
      </w:r>
    </w:p>
    <w:p>
      <w:pPr>
        <w:spacing w:after="80" w:before="0" w:line="276"/>
        <w:ind w:firstLine="720"/>
        <w:jc w:val="both"/>
      </w:pPr>
      <w:r>
        <w:rPr>
          <w:rFonts w:ascii="Times New Roman" w:cs="Times New Roman" w:eastAsia="Times New Roman" w:hAnsi="Times New Roman"/>
          <w:sz w:val="24"/>
          <w:szCs w:val="24"/>
        </w:rPr>
        <w:t xml:space="preserve">Представление о частотной селективности входной цепи дает ее резонансная характеристика, которая позволяет определить избирательность входной цепи при произвольной частотной расстройке.</w:t>
      </w:r>
    </w:p>
    <w:p>
      <w:pPr>
        <w:spacing w:after="80" w:before="0" w:line="276"/>
        <w:ind w:firstLine="720"/>
        <w:jc w:val="both"/>
      </w:pPr>
      <w:r>
        <w:rPr>
          <w:rFonts w:ascii="Times New Roman" w:cs="Times New Roman" w:eastAsia="Times New Roman" w:hAnsi="Times New Roman"/>
          <w:sz w:val="24"/>
          <w:szCs w:val="24"/>
        </w:rPr>
        <w:t xml:space="preserve">Полоса пропускания – ширина области частот вокруг собственной частоты контура f₀ с допустимой неравномерностью коэффициента передачи.</w:t>
      </w:r>
    </w:p>
    <w:p>
      <w:pPr>
        <w:spacing w:after="80" w:before="0" w:line="276"/>
        <w:ind w:firstLine="720"/>
        <w:jc w:val="both"/>
      </w:pPr>
      <w:r>
        <w:rPr>
          <w:rFonts w:ascii="Times New Roman" w:cs="Times New Roman" w:eastAsia="Times New Roman" w:hAnsi="Times New Roman"/>
          <w:sz w:val="24"/>
          <w:szCs w:val="24"/>
        </w:rPr>
        <w:t xml:space="preserve">Коэффициент перекрытия диапазона частот. Под перекрытием диапазона частот понимается возможность настройки входной цепи на любую частоту данного диапазона или поддиапазона при условии, что неравномерность коэффициента передачи находится в допустимых пределах. Отношение максимальной частоты диапазона fсmax к минимальной fсmin называется коэффициентом перекрытия диапазона: Kд = fсmax / fсmin. При использовании в качестве регулировочного элемента конденсатора переменной емкости отношение максимального значения Cmax к минимальному значению Cmin этой емкости выразится как Cmax / Cmin = Kд².</w:t>
      </w:r>
    </w:p>
    <w:p>
      <w:pPr>
        <w:spacing w:after="80" w:before="0" w:line="276"/>
        <w:ind w:firstLine="720"/>
        <w:jc w:val="both"/>
      </w:pPr>
      <w:r>
        <w:rPr>
          <w:rFonts w:ascii="Times New Roman" w:cs="Times New Roman" w:eastAsia="Times New Roman" w:hAnsi="Times New Roman"/>
          <w:sz w:val="24"/>
          <w:szCs w:val="24"/>
        </w:rPr>
        <w:t xml:space="preserve">Зависимость основных характеристик от частоты настройки, т. е. частотная зависимость резонансного коэффициента передачи, избирательных свойств и коэффициента шума. Чем выше постоянство коэффициента передачи входных цепей УПОС, тем легче обеспечить постоянство чувствительности устройств приема и обработки сигналов.</w:t>
      </w:r>
    </w:p>
    <w:p>
      <w:pPr>
        <w:pStyle w:val="Heading2"/>
        <w:spacing w:after="160" w:before="200"/>
        <w:jc w:val="center"/>
      </w:pPr>
      <w:r>
        <w:rPr>
          <w:rFonts w:ascii="Arial" w:cs="Arial" w:eastAsia="Arial" w:hAnsi="Arial"/>
          <w:b/>
          <w:bCs/>
          <w:color w:val="1F5C99"/>
          <w:sz w:val="26"/>
          <w:szCs w:val="26"/>
        </w:rPr>
        <w:t xml:space="preserve">1.3. Обобщенная эквивалентная схема одноконтурных входных цепей</w:t>
      </w:r>
    </w:p>
    <w:p>
      <w:pPr>
        <w:spacing w:after="80" w:before="0" w:line="276"/>
        <w:ind w:firstLine="720"/>
        <w:jc w:val="both"/>
      </w:pPr>
      <w:r>
        <w:rPr>
          <w:rFonts w:ascii="Times New Roman" w:cs="Times New Roman" w:eastAsia="Times New Roman" w:hAnsi="Times New Roman"/>
          <w:sz w:val="24"/>
          <w:szCs w:val="24"/>
        </w:rPr>
        <w:t xml:space="preserve">Количественные характеристики различных типов одноконтурных входных цепей могут быть получены из рассмотрения обобщенной эквивалентной схемы (рис. 1.2). В этой схеме комплексное сопротивление связи антенны с контуром Zсв = rсв + jxсв отнесено к антенной цепи. Тогда полное комплексное сопротивление всей антенной цепи:</w:t>
      </w:r>
    </w:p>
    <w:p>
      <w:pPr>
        <w:spacing w:after="80" w:before="0" w:line="276"/>
        <w:jc w:val="center"/>
      </w:pPr>
      <w:r>
        <w:rPr>
          <w:rFonts w:ascii="Times New Roman" w:cs="Times New Roman" w:eastAsia="Times New Roman" w:hAnsi="Times New Roman"/>
          <w:sz w:val="24"/>
          <w:szCs w:val="24"/>
        </w:rPr>
        <w:t xml:space="preserve">ZА’ = ZА + Zсв = rА + rсв + j(xА + xсв) = rА’ + jxА’,	(1.1)</w:t>
      </w:r>
    </w:p>
    <w:p>
      <w:pPr>
        <w:spacing w:after="80" w:before="0" w:line="276"/>
        <w:jc w:val="both"/>
      </w:pPr>
      <w:r>
        <w:rPr>
          <w:rFonts w:ascii="Times New Roman" w:cs="Times New Roman" w:eastAsia="Times New Roman" w:hAnsi="Times New Roman"/>
          <w:sz w:val="24"/>
          <w:szCs w:val="24"/>
        </w:rPr>
        <w:t xml:space="preserve">где rА’ = rА + rсв; xА’ = xА + xсв; rА и rсв – активные составляющие: наводимой во входной цепи ЭДС, комплексного сопротивления связи антенны с контуром соответственно; xА и xсв – реактивные составляющие: наводимой во входной цепи ЭДС, комплексного сопротивления связи антенны с контуром соответственно.</w:t>
      </w:r>
    </w:p>
    <w:p>
      <w:pPr>
        <w:spacing w:after="80" w:before="0" w:line="276"/>
        <w:ind w:firstLine="720"/>
        <w:jc w:val="both"/>
      </w:pPr>
      <w:r>
        <w:rPr>
          <w:rFonts w:ascii="Times New Roman" w:cs="Times New Roman" w:eastAsia="Times New Roman" w:hAnsi="Times New Roman"/>
          <w:sz w:val="24"/>
          <w:szCs w:val="24"/>
        </w:rPr>
        <w:t xml:space="preserve">Полная выходная проводимость антенной цепи:</w:t>
      </w:r>
    </w:p>
    <w:p>
      <w:pPr>
        <w:spacing w:after="80" w:before="0" w:line="276"/>
        <w:jc w:val="center"/>
      </w:pPr>
      <w:r>
        <w:rPr>
          <w:rFonts w:ascii="Times New Roman" w:cs="Times New Roman" w:eastAsia="Times New Roman" w:hAnsi="Times New Roman"/>
          <w:sz w:val="24"/>
          <w:szCs w:val="24"/>
        </w:rPr>
        <w:t xml:space="preserve">YА’ = 1/ZА’ = G₁ + jb₁,	(1.2)</w:t>
      </w:r>
    </w:p>
    <w:p>
      <w:pPr>
        <w:spacing w:after="80" w:before="0" w:line="276"/>
        <w:jc w:val="both"/>
      </w:pPr>
      <w:r>
        <w:rPr>
          <w:rFonts w:ascii="Times New Roman" w:cs="Times New Roman" w:eastAsia="Times New Roman" w:hAnsi="Times New Roman"/>
          <w:sz w:val="24"/>
          <w:szCs w:val="24"/>
        </w:rPr>
        <w:t xml:space="preserve">где G₁ = rА’ / |ZА’|²;  b₁ = –xА’ / |ZА’|².</w:t>
      </w:r>
    </w:p>
    <w:p>
      <w:pPr>
        <w:spacing w:after="80" w:before="0" w:line="276"/>
        <w:ind w:firstLine="720"/>
        <w:jc w:val="both"/>
      </w:pPr>
      <w:r>
        <w:rPr>
          <w:rFonts w:ascii="Times New Roman" w:cs="Times New Roman" w:eastAsia="Times New Roman" w:hAnsi="Times New Roman"/>
          <w:sz w:val="24"/>
          <w:szCs w:val="24"/>
        </w:rPr>
        <w:t xml:space="preserve">На рис. 1.2 антенная цепь представлена генератором тока IА = –EА’/ZА’ и выходной проводимостью YА’.</w:t>
      </w:r>
    </w:p>
    <w:p>
      <w:pPr>
        <w:spacing w:after="80" w:before="120"/>
        <w:jc w:val="center"/>
      </w:pPr>
      <w:r>
        <w:drawing>
          <wp:inline distT="0" distB="0" distL="0" distR="0">
            <wp:extent cx="4762500" cy="29622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1.2. Обобщённая эквивалентная схема входной цепи</w:t>
      </w:r>
    </w:p>
    <w:p>
      <w:pPr>
        <w:spacing w:after="80" w:before="0" w:line="276"/>
        <w:ind w:firstLine="720"/>
        <w:jc w:val="both"/>
      </w:pPr>
      <w:r>
        <w:rPr>
          <w:rFonts w:ascii="Times New Roman" w:cs="Times New Roman" w:eastAsia="Times New Roman" w:hAnsi="Times New Roman"/>
          <w:sz w:val="24"/>
          <w:szCs w:val="24"/>
        </w:rPr>
        <w:t xml:space="preserve">Антенная цепь подключается к избирательной системе (контуру) через коэффициент включения p₁ = U₁/Uk, (где U₁ и Uk – напряжения на входе контура и на конденсаторе C соответственно), характеризующий степень связи антенной цепи с контуром. Электронный прибор усилителя радиосигналов, подключенный к выходу контура, обладает входной проводимостью:</w:t>
      </w:r>
    </w:p>
    <w:p>
      <w:pPr>
        <w:spacing w:after="80" w:before="0" w:line="276"/>
        <w:jc w:val="center"/>
      </w:pPr>
      <w:r>
        <w:rPr>
          <w:rFonts w:ascii="Times New Roman" w:cs="Times New Roman" w:eastAsia="Times New Roman" w:hAnsi="Times New Roman"/>
          <w:sz w:val="24"/>
          <w:szCs w:val="24"/>
        </w:rPr>
        <w:t xml:space="preserve">Yвх = G₂ + jb₂,	(1.3)</w:t>
      </w:r>
    </w:p>
    <w:p>
      <w:pPr>
        <w:spacing w:after="80" w:before="0" w:line="276"/>
        <w:jc w:val="both"/>
      </w:pPr>
      <w:r>
        <w:rPr>
          <w:rFonts w:ascii="Times New Roman" w:cs="Times New Roman" w:eastAsia="Times New Roman" w:hAnsi="Times New Roman"/>
          <w:sz w:val="24"/>
          <w:szCs w:val="24"/>
        </w:rPr>
        <w:t xml:space="preserve">где G₂ – активная, а b₂ = ωC₂ реактивная (емкостная) составляющие электронного прибора. Этот прибор подключается к контуру через коэффициент включения p₂ = Uвых/Uk.</w:t>
      </w:r>
    </w:p>
    <w:p>
      <w:pPr>
        <w:spacing w:after="80" w:before="0" w:line="276"/>
        <w:ind w:firstLine="720"/>
        <w:jc w:val="both"/>
      </w:pPr>
      <w:r>
        <w:rPr>
          <w:rFonts w:ascii="Times New Roman" w:cs="Times New Roman" w:eastAsia="Times New Roman" w:hAnsi="Times New Roman"/>
          <w:sz w:val="24"/>
          <w:szCs w:val="24"/>
        </w:rPr>
        <w:t xml:space="preserve">При настройке входной цепи на частоту ωс необходимо учитывать, что резонансная частота контура ω₀ определяется не только значениями индуктивности L и емкости C, а также в равной степени внешними по отношению к контуру реактивными проводимостями b₁ и b₂. Таким образом, эквивалентная емкость контура:</w:t>
      </w:r>
    </w:p>
    <w:p>
      <w:pPr>
        <w:spacing w:after="80" w:before="0" w:line="276"/>
        <w:jc w:val="center"/>
      </w:pPr>
      <w:r>
        <w:rPr>
          <w:rFonts w:ascii="Times New Roman" w:cs="Times New Roman" w:eastAsia="Times New Roman" w:hAnsi="Times New Roman"/>
          <w:sz w:val="24"/>
          <w:szCs w:val="24"/>
        </w:rPr>
        <w:t xml:space="preserve">Cэ = (p₁)² b₁/ω + (p₂)² C₂ + C.	(1.4)</w:t>
      </w:r>
    </w:p>
    <w:p>
      <w:pPr>
        <w:spacing w:after="80" w:before="0" w:line="276"/>
        <w:ind w:firstLine="720"/>
        <w:jc w:val="both"/>
      </w:pPr>
      <w:r>
        <w:rPr>
          <w:rFonts w:ascii="Times New Roman" w:cs="Times New Roman" w:eastAsia="Times New Roman" w:hAnsi="Times New Roman"/>
          <w:sz w:val="24"/>
          <w:szCs w:val="24"/>
        </w:rPr>
        <w:t xml:space="preserve">Аналогичной зависимостью будет определяться и эквивалентная проводимость Gэ контура:</w:t>
      </w:r>
    </w:p>
    <w:p>
      <w:pPr>
        <w:spacing w:after="80" w:before="0" w:line="276"/>
        <w:jc w:val="center"/>
      </w:pPr>
      <w:r>
        <w:rPr>
          <w:rFonts w:ascii="Times New Roman" w:cs="Times New Roman" w:eastAsia="Times New Roman" w:hAnsi="Times New Roman"/>
          <w:sz w:val="24"/>
          <w:szCs w:val="24"/>
        </w:rPr>
        <w:t xml:space="preserve">Gэ = p₁² G₁ + g + p₂² G₂.	(1.5)</w:t>
      </w:r>
    </w:p>
    <w:p>
      <w:pPr>
        <w:spacing w:after="80" w:before="0" w:line="276"/>
        <w:ind w:firstLine="720"/>
        <w:jc w:val="both"/>
      </w:pPr>
      <w:r>
        <w:rPr>
          <w:rFonts w:ascii="Times New Roman" w:cs="Times New Roman" w:eastAsia="Times New Roman" w:hAnsi="Times New Roman"/>
          <w:sz w:val="24"/>
          <w:szCs w:val="24"/>
        </w:rPr>
        <w:t xml:space="preserve">Таким образом, схему на рис. 1.2 удобно заменить более простой эквивалентной схемой рис. 1.3.</w:t>
      </w:r>
    </w:p>
    <w:p>
      <w:pPr>
        <w:spacing w:after="80" w:before="120"/>
        <w:jc w:val="center"/>
      </w:pPr>
      <w:r>
        <w:drawing>
          <wp:inline distT="0" distB="0" distL="0" distR="0">
            <wp:extent cx="4448175" cy="25146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48175" cy="25146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1.3. Эквивалентная схема входной цепи</w:t>
      </w:r>
    </w:p>
    <w:p>
      <w:pPr>
        <w:spacing w:after="80" w:before="0" w:line="276"/>
        <w:ind w:firstLine="720"/>
        <w:jc w:val="both"/>
      </w:pPr>
      <w:r>
        <w:rPr>
          <w:rFonts w:ascii="Times New Roman" w:cs="Times New Roman" w:eastAsia="Times New Roman" w:hAnsi="Times New Roman"/>
          <w:sz w:val="24"/>
          <w:szCs w:val="24"/>
        </w:rPr>
        <w:t xml:space="preserve">На этом рисунке:</w:t>
      </w:r>
    </w:p>
    <w:p>
      <w:pPr>
        <w:spacing w:after="80" w:before="0" w:line="276"/>
        <w:jc w:val="center"/>
      </w:pPr>
      <w:r>
        <w:rPr>
          <w:rFonts w:ascii="Times New Roman" w:cs="Times New Roman" w:eastAsia="Times New Roman" w:hAnsi="Times New Roman"/>
          <w:sz w:val="24"/>
          <w:szCs w:val="24"/>
        </w:rPr>
        <w:t xml:space="preserve">Uk = (p₁ EА / ZА’) · (1/Gэ),	(1.6)</w:t>
      </w:r>
    </w:p>
    <w:p>
      <w:pPr>
        <w:spacing w:after="80" w:before="0" w:line="276"/>
        <w:jc w:val="center"/>
      </w:pPr>
      <w:r>
        <w:rPr>
          <w:rFonts w:ascii="Times New Roman" w:cs="Times New Roman" w:eastAsia="Times New Roman" w:hAnsi="Times New Roman"/>
          <w:sz w:val="24"/>
          <w:szCs w:val="24"/>
        </w:rPr>
        <w:t xml:space="preserve">Uвых = p₂ Uk.	(1.7)</w:t>
      </w:r>
    </w:p>
    <w:p>
      <w:pPr>
        <w:spacing w:after="80" w:before="0" w:line="276"/>
        <w:ind w:firstLine="720"/>
        <w:jc w:val="both"/>
      </w:pPr>
      <w:r>
        <w:rPr>
          <w:rFonts w:ascii="Times New Roman" w:cs="Times New Roman" w:eastAsia="Times New Roman" w:hAnsi="Times New Roman"/>
          <w:sz w:val="24"/>
          <w:szCs w:val="24"/>
        </w:rPr>
        <w:t xml:space="preserve">Резонансный коэффициент передачи:</w:t>
      </w:r>
    </w:p>
    <w:p>
      <w:pPr>
        <w:spacing w:after="80" w:before="0" w:line="276"/>
        <w:jc w:val="center"/>
      </w:pPr>
      <w:r>
        <w:rPr>
          <w:rFonts w:ascii="Times New Roman" w:cs="Times New Roman" w:eastAsia="Times New Roman" w:hAnsi="Times New Roman"/>
          <w:sz w:val="24"/>
          <w:szCs w:val="24"/>
        </w:rPr>
        <w:t xml:space="preserve">Kᵤ₀ = (p₁ p₂ / Gэ) YА’.	(1.8)</w:t>
      </w:r>
    </w:p>
    <w:p>
      <w:pPr>
        <w:spacing w:after="80" w:before="0" w:line="276"/>
        <w:ind w:firstLine="720"/>
        <w:jc w:val="both"/>
      </w:pPr>
      <w:r>
        <w:rPr>
          <w:rFonts w:ascii="Times New Roman" w:cs="Times New Roman" w:eastAsia="Times New Roman" w:hAnsi="Times New Roman"/>
          <w:sz w:val="24"/>
          <w:szCs w:val="24"/>
        </w:rPr>
        <w:t xml:space="preserve">Резонансный коэффициент передачи входной цепи Kᵤ₀ при заданных параметрах антенной цепи, контура и электронного прибора зависит от коэффициентов включения p₁ и p₂, которые являются вещественными и могут изменяться в пределах: 0 ≤ p₁ ≤ 1 и 0 ≤ p₂ ≤ 1. Коэффициент передачи в данных условиях определяется этими двумя переменными и, следовательно, его максимум может быть найден при совместном решении следующих двух уравнений:</w:t>
      </w:r>
    </w:p>
    <w:p>
      <w:pPr>
        <w:spacing w:after="80" w:before="0" w:line="276"/>
        <w:jc w:val="center"/>
      </w:pPr>
      <w:r>
        <w:rPr>
          <w:rFonts w:ascii="Times New Roman" w:cs="Times New Roman" w:eastAsia="Times New Roman" w:hAnsi="Times New Roman"/>
          <w:sz w:val="24"/>
          <w:szCs w:val="24"/>
        </w:rPr>
        <w:t xml:space="preserve">dKᵤ₀/dp₁ = 0;  dKᵤ₀/dp₂ = 0.	(1.9)</w:t>
      </w:r>
    </w:p>
    <w:p>
      <w:pPr>
        <w:spacing w:after="80" w:before="0" w:line="276"/>
        <w:ind w:firstLine="720"/>
        <w:jc w:val="both"/>
      </w:pPr>
      <w:r>
        <w:rPr>
          <w:rFonts w:ascii="Times New Roman" w:cs="Times New Roman" w:eastAsia="Times New Roman" w:hAnsi="Times New Roman"/>
          <w:sz w:val="24"/>
          <w:szCs w:val="24"/>
        </w:rPr>
        <w:t xml:space="preserve">Можно показать, что Kᵤ₀ будет иметь максимум при G₁ ≥ G₂ + g, когда p₂ = 1 и:</w:t>
      </w:r>
    </w:p>
    <w:p>
      <w:pPr>
        <w:spacing w:after="80" w:before="0" w:line="276"/>
        <w:jc w:val="center"/>
      </w:pPr>
      <w:r>
        <w:rPr>
          <w:rFonts w:ascii="Times New Roman" w:cs="Times New Roman" w:eastAsia="Times New Roman" w:hAnsi="Times New Roman"/>
          <w:sz w:val="24"/>
          <w:szCs w:val="24"/>
        </w:rPr>
        <w:t xml:space="preserve">p₁opt = √[(G₂ + g) / G₁],	(1.10)</w:t>
      </w:r>
    </w:p>
    <w:p>
      <w:pPr>
        <w:spacing w:after="80" w:before="0" w:line="276"/>
        <w:jc w:val="center"/>
      </w:pPr>
      <w:r>
        <w:rPr>
          <w:rFonts w:ascii="Times New Roman" w:cs="Times New Roman" w:eastAsia="Times New Roman" w:hAnsi="Times New Roman"/>
          <w:sz w:val="24"/>
          <w:szCs w:val="24"/>
        </w:rPr>
        <w:t xml:space="preserve">G₂ ≥ G₁ + g, когда p₁ = 1 и p₂opt = √[(G₁ + g) / G₂].	(1.11)</w:t>
      </w:r>
    </w:p>
    <w:p>
      <w:pPr>
        <w:spacing w:after="80" w:before="0" w:line="276"/>
        <w:ind w:firstLine="720"/>
        <w:jc w:val="both"/>
      </w:pPr>
      <w:r>
        <w:rPr>
          <w:rFonts w:ascii="Times New Roman" w:cs="Times New Roman" w:eastAsia="Times New Roman" w:hAnsi="Times New Roman"/>
          <w:sz w:val="24"/>
          <w:szCs w:val="24"/>
        </w:rPr>
        <w:t xml:space="preserve">Активная составляющая проводимости антенной цепи G₁, как правило, значительно больше входной проводимости G₂ в случае использования в качестве электронного прибора транзисторов или интегральных микросхем. Поэтому при выполнении условия (1.10) обычно достигается максимальное значение резонансного коэффициента передачи.</w:t>
      </w:r>
    </w:p>
    <w:p>
      <w:pPr>
        <w:spacing w:after="80" w:before="0" w:line="276"/>
        <w:ind w:firstLine="720"/>
        <w:jc w:val="both"/>
      </w:pPr>
      <w:r>
        <w:rPr>
          <w:rFonts w:ascii="Times New Roman" w:cs="Times New Roman" w:eastAsia="Times New Roman" w:hAnsi="Times New Roman"/>
          <w:sz w:val="24"/>
          <w:szCs w:val="24"/>
        </w:rPr>
        <w:t xml:space="preserve">Учитывая (1.2) и подставляя (1.10) в (1.8), получаем:</w:t>
      </w:r>
    </w:p>
    <w:p>
      <w:pPr>
        <w:spacing w:after="80" w:before="0" w:line="276"/>
        <w:jc w:val="center"/>
      </w:pPr>
      <w:r>
        <w:rPr>
          <w:rFonts w:ascii="Times New Roman" w:cs="Times New Roman" w:eastAsia="Times New Roman" w:hAnsi="Times New Roman"/>
          <w:sz w:val="24"/>
          <w:szCs w:val="24"/>
        </w:rPr>
        <w:t xml:space="preserve">Kᵤ₀max = 1 / [2√(rА’(g + G₂))].	(1.12)</w:t>
      </w:r>
    </w:p>
    <w:p>
      <w:pPr>
        <w:spacing w:after="80" w:before="0" w:line="276"/>
        <w:ind w:firstLine="720"/>
        <w:jc w:val="both"/>
      </w:pPr>
      <w:r>
        <w:rPr>
          <w:rFonts w:ascii="Times New Roman" w:cs="Times New Roman" w:eastAsia="Times New Roman" w:hAnsi="Times New Roman"/>
          <w:sz w:val="24"/>
          <w:szCs w:val="24"/>
        </w:rPr>
        <w:t xml:space="preserve">Полагая, что рассматриваемый контур является трансформатором сопротивлений, легко видеть, что, согласно (1.10):</w:t>
      </w:r>
    </w:p>
    <w:p>
      <w:pPr>
        <w:spacing w:after="80" w:before="0" w:line="276"/>
        <w:jc w:val="center"/>
      </w:pPr>
      <w:r>
        <w:rPr>
          <w:rFonts w:ascii="Times New Roman" w:cs="Times New Roman" w:eastAsia="Times New Roman" w:hAnsi="Times New Roman"/>
          <w:sz w:val="24"/>
          <w:szCs w:val="24"/>
        </w:rPr>
        <w:t xml:space="preserve">G₁ = (g + G₂) / p₁²opt.	(1.13)</w:t>
      </w:r>
    </w:p>
    <w:p>
      <w:pPr>
        <w:spacing w:after="80" w:before="0" w:line="276"/>
        <w:ind w:firstLine="720"/>
        <w:jc w:val="both"/>
      </w:pPr>
      <w:r>
        <w:rPr>
          <w:rFonts w:ascii="Times New Roman" w:cs="Times New Roman" w:eastAsia="Times New Roman" w:hAnsi="Times New Roman"/>
          <w:sz w:val="24"/>
          <w:szCs w:val="24"/>
        </w:rPr>
        <w:t xml:space="preserve">Это выражение является условием передачи максимальной мощности от генератора к нагрузке. Следовательно, подбор оптимального значения коэффициента p₁ соответствует согласованию нагрузочной проводимости с кажущейся выходной проводимостью генератора тока.</w:t>
      </w:r>
    </w:p>
    <w:p>
      <w:pPr>
        <w:spacing w:after="80" w:before="0" w:line="276"/>
        <w:ind w:firstLine="720"/>
        <w:jc w:val="both"/>
      </w:pPr>
      <w:r>
        <w:rPr>
          <w:rFonts w:ascii="Times New Roman" w:cs="Times New Roman" w:eastAsia="Times New Roman" w:hAnsi="Times New Roman"/>
          <w:sz w:val="24"/>
          <w:szCs w:val="24"/>
        </w:rPr>
        <w:t xml:space="preserve">Рассмотрим отношение резонансных коэффициентов передачи по напряжению Kᵤ₀/Kᵤ₀max. Согласно (1.8) и (1.12) имеем:</w:t>
      </w:r>
    </w:p>
    <w:p>
      <w:pPr>
        <w:spacing w:after="80" w:before="0" w:line="276"/>
        <w:jc w:val="center"/>
      </w:pPr>
      <w:r>
        <w:rPr>
          <w:rFonts w:ascii="Times New Roman" w:cs="Times New Roman" w:eastAsia="Times New Roman" w:hAnsi="Times New Roman"/>
          <w:sz w:val="24"/>
          <w:szCs w:val="24"/>
        </w:rPr>
        <w:t xml:space="preserve">Kᵤ₀ / Kᵤ₀max = [p₁ / (p₁² G₁ + g + G₂)] · 2√[(g+G₂)rА’].	(1.14)</w:t>
      </w:r>
    </w:p>
    <w:p>
      <w:pPr>
        <w:spacing w:after="80" w:before="0" w:line="276"/>
        <w:ind w:firstLine="720"/>
        <w:jc w:val="both"/>
      </w:pPr>
      <w:r>
        <w:rPr>
          <w:rFonts w:ascii="Times New Roman" w:cs="Times New Roman" w:eastAsia="Times New Roman" w:hAnsi="Times New Roman"/>
          <w:sz w:val="24"/>
          <w:szCs w:val="24"/>
        </w:rPr>
        <w:t xml:space="preserve">Обозначим p₁/p₁opt = a. Принимая во внимание, что rА’/|ZА|² = G₁, и учитывая (1.10), получаем:</w:t>
      </w:r>
    </w:p>
    <w:p>
      <w:pPr>
        <w:spacing w:after="80" w:before="0" w:line="276"/>
        <w:jc w:val="center"/>
      </w:pPr>
      <w:r>
        <w:rPr>
          <w:rFonts w:ascii="Times New Roman" w:cs="Times New Roman" w:eastAsia="Times New Roman" w:hAnsi="Times New Roman"/>
          <w:sz w:val="24"/>
          <w:szCs w:val="24"/>
        </w:rPr>
        <w:t xml:space="preserve">Kᵤ₀ / Kᵤ₀max = 2a / (1 + a²).	(1.15)</w:t>
      </w:r>
    </w:p>
    <w:p>
      <w:pPr>
        <w:spacing w:after="80" w:before="0" w:line="276"/>
        <w:ind w:firstLine="720"/>
        <w:jc w:val="both"/>
      </w:pPr>
      <w:r>
        <w:rPr>
          <w:rFonts w:ascii="Times New Roman" w:cs="Times New Roman" w:eastAsia="Times New Roman" w:hAnsi="Times New Roman"/>
          <w:sz w:val="24"/>
          <w:szCs w:val="24"/>
        </w:rPr>
        <w:t xml:space="preserve">Для режима передачи максимальной мощности от генератора к нагрузке оптимальная величина эквивалентной проводимости контура входной цепи, с учетом (1.10), определяется выражением:</w:t>
      </w:r>
    </w:p>
    <w:p>
      <w:pPr>
        <w:spacing w:after="80" w:before="0" w:line="276"/>
        <w:jc w:val="center"/>
      </w:pPr>
      <w:r>
        <w:rPr>
          <w:rFonts w:ascii="Times New Roman" w:cs="Times New Roman" w:eastAsia="Times New Roman" w:hAnsi="Times New Roman"/>
          <w:sz w:val="24"/>
          <w:szCs w:val="24"/>
        </w:rPr>
        <w:t xml:space="preserve">Gэopt = 2g(1 + G₂/g).	(1.16)</w:t>
      </w:r>
    </w:p>
    <w:p>
      <w:pPr>
        <w:spacing w:after="80" w:before="0" w:line="276"/>
        <w:ind w:firstLine="720"/>
        <w:jc w:val="both"/>
      </w:pPr>
      <w:r>
        <w:rPr>
          <w:rFonts w:ascii="Times New Roman" w:cs="Times New Roman" w:eastAsia="Times New Roman" w:hAnsi="Times New Roman"/>
          <w:sz w:val="24"/>
          <w:szCs w:val="24"/>
        </w:rPr>
        <w:t xml:space="preserve">Отношение Gэ / Gэopt будет иметь вид:</w:t>
      </w:r>
    </w:p>
    <w:p>
      <w:pPr>
        <w:spacing w:after="80" w:before="0" w:line="276"/>
        <w:jc w:val="center"/>
      </w:pPr>
      <w:r>
        <w:rPr>
          <w:rFonts w:ascii="Times New Roman" w:cs="Times New Roman" w:eastAsia="Times New Roman" w:hAnsi="Times New Roman"/>
          <w:sz w:val="24"/>
          <w:szCs w:val="24"/>
        </w:rPr>
        <w:t xml:space="preserve">Gэ / Gэopt = 0,5(1 + a²).	(1.17)</w:t>
      </w:r>
    </w:p>
    <w:p>
      <w:pPr>
        <w:spacing w:after="80" w:before="0" w:line="276"/>
        <w:ind w:firstLine="720"/>
        <w:jc w:val="both"/>
      </w:pPr>
      <w:r>
        <w:rPr>
          <w:rFonts w:ascii="Times New Roman" w:cs="Times New Roman" w:eastAsia="Times New Roman" w:hAnsi="Times New Roman"/>
          <w:sz w:val="24"/>
          <w:szCs w:val="24"/>
        </w:rPr>
        <w:t xml:space="preserve">Графики, иллюстрирующие зависимости (1.15) и (1.17), приведены на рис. 1.4. Из этих кривых видно, что в случае оптимальной связи антенны с контуром полоса пропускания входной цепи, пропорциональная Gэ, возрастает более чем в два раза по отношению к полосе пропускания ненагруженного контура. Увеличение связи выше оптимальной приводит к существенному увеличению полосы пропускания. Наоборот, при связи в два раза меньше оптимальной (a = 0,5) полоса пропускания всего на 25 % превышает полосу пропускания ненагруженного контура. Дальнейшее уменьшение связи практически незначительно улучшает избирательность входной цепи.</w:t>
      </w:r>
    </w:p>
    <w:p>
      <w:pPr>
        <w:spacing w:after="80" w:before="120"/>
        <w:jc w:val="center"/>
      </w:pPr>
      <w:r>
        <w:drawing>
          <wp:inline distT="0" distB="0" distL="0" distR="0">
            <wp:extent cx="4762500" cy="35718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1.4. Зависимости отношений Kᵤ₀/Kᵤ₀max и Gэ/Gэopt от величины a = p₁/p₁opt</w:t>
      </w:r>
    </w:p>
    <w:p>
      <w:pPr>
        <w:spacing w:after="80" w:before="0" w:line="276"/>
        <w:ind w:firstLine="720"/>
        <w:jc w:val="both"/>
      </w:pPr>
      <w:r>
        <w:rPr>
          <w:rFonts w:ascii="Times New Roman" w:cs="Times New Roman" w:eastAsia="Times New Roman" w:hAnsi="Times New Roman"/>
          <w:sz w:val="24"/>
          <w:szCs w:val="24"/>
        </w:rPr>
        <w:t xml:space="preserve">Следовательно, для обеспечения высокой избирательности и большого коэффициента передачи выбирают коэффициент a близким к значению 0,5, так как при этом коэффициент передачи составляет 80 % от максимального, а избирательность входной цепи мало отличается от избирательности ненагруженного контура.</w:t>
      </w:r>
    </w:p>
    <w:p>
      <w:pPr>
        <w:pStyle w:val="Heading2"/>
        <w:spacing w:after="160" w:before="200"/>
        <w:jc w:val="center"/>
      </w:pPr>
      <w:r>
        <w:rPr>
          <w:rFonts w:ascii="Arial" w:cs="Arial" w:eastAsia="Arial" w:hAnsi="Arial"/>
          <w:b/>
          <w:bCs/>
          <w:color w:val="1F5C99"/>
          <w:sz w:val="26"/>
          <w:szCs w:val="26"/>
        </w:rPr>
        <w:t xml:space="preserve">1.4. Виды входных цепей</w:t>
      </w:r>
    </w:p>
    <w:p>
      <w:pPr>
        <w:spacing w:after="80" w:before="0" w:line="276"/>
        <w:ind w:firstLine="720"/>
        <w:jc w:val="both"/>
      </w:pPr>
      <w:r>
        <w:rPr>
          <w:rFonts w:ascii="Times New Roman" w:cs="Times New Roman" w:eastAsia="Times New Roman" w:hAnsi="Times New Roman"/>
          <w:sz w:val="24"/>
          <w:szCs w:val="24"/>
        </w:rPr>
        <w:t xml:space="preserve">В качестве элемента связи антенны с контуром во избежание дополнительных потерь обычно используются реактивные элементы. На рис. 1.5 представлены различные виды входных цепей, которые используются в диапазоне умеренно высоких частот:</w:t>
      </w:r>
    </w:p>
    <w:p>
      <w:pPr>
        <w:pStyle w:val="ListParagraph"/>
        <w:numPr>
          <w:ilvl w:val="0"/>
          <w:numId w:val="2"/>
        </w:numPr>
        <w:spacing w:after="60" w:before="0" w:line="276"/>
      </w:pPr>
      <w:r>
        <w:rPr>
          <w:rFonts w:ascii="Times New Roman" w:cs="Times New Roman" w:eastAsia="Times New Roman" w:hAnsi="Times New Roman"/>
          <w:sz w:val="24"/>
          <w:szCs w:val="24"/>
        </w:rPr>
        <w:t xml:space="preserve">с внешнеемкостной (рис. 1.5, а);</w:t>
      </w:r>
    </w:p>
    <w:p>
      <w:pPr>
        <w:pStyle w:val="ListParagraph"/>
        <w:numPr>
          <w:ilvl w:val="0"/>
          <w:numId w:val="2"/>
        </w:numPr>
        <w:spacing w:after="60" w:before="0" w:line="276"/>
      </w:pPr>
      <w:r>
        <w:rPr>
          <w:rFonts w:ascii="Times New Roman" w:cs="Times New Roman" w:eastAsia="Times New Roman" w:hAnsi="Times New Roman"/>
          <w:sz w:val="24"/>
          <w:szCs w:val="24"/>
        </w:rPr>
        <w:t xml:space="preserve">с внутриемкостной (рис. 1.5, б);</w:t>
      </w:r>
    </w:p>
    <w:p>
      <w:pPr>
        <w:pStyle w:val="ListParagraph"/>
        <w:numPr>
          <w:ilvl w:val="0"/>
          <w:numId w:val="2"/>
        </w:numPr>
        <w:spacing w:after="60" w:before="0" w:line="276"/>
      </w:pPr>
      <w:r>
        <w:rPr>
          <w:rFonts w:ascii="Times New Roman" w:cs="Times New Roman" w:eastAsia="Times New Roman" w:hAnsi="Times New Roman"/>
          <w:sz w:val="24"/>
          <w:szCs w:val="24"/>
        </w:rPr>
        <w:t xml:space="preserve">с индуктивной трансформаторной (магнитной) (рис. 1.5, в);</w:t>
      </w:r>
    </w:p>
    <w:p>
      <w:pPr>
        <w:pStyle w:val="ListParagraph"/>
        <w:numPr>
          <w:ilvl w:val="0"/>
          <w:numId w:val="2"/>
        </w:numPr>
        <w:spacing w:after="60" w:before="0" w:line="276"/>
      </w:pPr>
      <w:r>
        <w:rPr>
          <w:rFonts w:ascii="Times New Roman" w:cs="Times New Roman" w:eastAsia="Times New Roman" w:hAnsi="Times New Roman"/>
          <w:sz w:val="24"/>
          <w:szCs w:val="24"/>
        </w:rPr>
        <w:t xml:space="preserve">с комбинированной (трансформаторной и внешнеемкостной) (рис. 1.5, г);</w:t>
      </w:r>
    </w:p>
    <w:p>
      <w:pPr>
        <w:pStyle w:val="ListParagraph"/>
        <w:numPr>
          <w:ilvl w:val="0"/>
          <w:numId w:val="2"/>
        </w:numPr>
        <w:spacing w:after="60" w:before="0" w:line="276"/>
      </w:pPr>
      <w:r>
        <w:rPr>
          <w:rFonts w:ascii="Times New Roman" w:cs="Times New Roman" w:eastAsia="Times New Roman" w:hAnsi="Times New Roman"/>
          <w:sz w:val="24"/>
          <w:szCs w:val="24"/>
        </w:rPr>
        <w:t xml:space="preserve">с автотрансформаторной связью (рис. 1.5, д).</w:t>
      </w:r>
    </w:p>
    <w:p>
      <w:pPr>
        <w:spacing w:after="80" w:before="0" w:line="276"/>
        <w:ind w:firstLine="720"/>
        <w:jc w:val="both"/>
      </w:pPr>
      <w:r>
        <w:rPr>
          <w:rFonts w:ascii="Times New Roman" w:cs="Times New Roman" w:eastAsia="Times New Roman" w:hAnsi="Times New Roman"/>
          <w:sz w:val="24"/>
          <w:szCs w:val="24"/>
        </w:rPr>
        <w:t xml:space="preserve">Для эквивалентной схемы с внешнеемкостной связью (рис. 1.5, а):</w:t>
      </w:r>
    </w:p>
    <w:p>
      <w:pPr>
        <w:spacing w:after="80" w:before="0" w:line="276"/>
        <w:jc w:val="center"/>
      </w:pPr>
      <w:r>
        <w:rPr>
          <w:rFonts w:ascii="Times New Roman" w:cs="Times New Roman" w:eastAsia="Times New Roman" w:hAnsi="Times New Roman"/>
          <w:sz w:val="24"/>
          <w:szCs w:val="24"/>
        </w:rPr>
        <w:t xml:space="preserve">rсв = 0; xсв = 1/ωCсв; p₁ = Cсв/CА, CА – емкость антенной цепи; p₂ = 1.</w:t>
      </w:r>
    </w:p>
    <w:p>
      <w:pPr>
        <w:spacing w:after="80" w:before="120"/>
        <w:jc w:val="center"/>
      </w:pPr>
      <w:r>
        <w:drawing>
          <wp:inline distT="0" distB="0" distL="0" distR="0">
            <wp:extent cx="5076825" cy="64579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76825" cy="6457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1.5. Виды входных цепей
Рис. 1.6. Входная двухконтурная цепь</w:t>
      </w:r>
    </w:p>
    <w:p>
      <w:pPr>
        <w:spacing w:after="80" w:before="0" w:line="276"/>
        <w:ind w:firstLine="720"/>
        <w:jc w:val="both"/>
      </w:pPr>
      <w:r>
        <w:rPr>
          <w:rFonts w:ascii="Times New Roman" w:cs="Times New Roman" w:eastAsia="Times New Roman" w:hAnsi="Times New Roman"/>
          <w:sz w:val="24"/>
          <w:szCs w:val="24"/>
        </w:rPr>
        <w:t xml:space="preserve">Для схемы с индуктивной трансформаторной связью (рис. 1.5, в):</w:t>
      </w:r>
    </w:p>
    <w:p>
      <w:pPr>
        <w:spacing w:after="80" w:before="0" w:line="276"/>
        <w:jc w:val="center"/>
      </w:pPr>
      <w:r>
        <w:rPr>
          <w:rFonts w:ascii="Times New Roman" w:cs="Times New Roman" w:eastAsia="Times New Roman" w:hAnsi="Times New Roman"/>
          <w:sz w:val="24"/>
          <w:szCs w:val="24"/>
        </w:rPr>
        <w:t xml:space="preserve">rсв = (rсв)L, xсв = ωLсв, p₁ = M/L, p₂ = 1, где (rсв)L – активное сопротивление катушки связи.</w:t>
      </w:r>
    </w:p>
    <w:p>
      <w:pPr>
        <w:spacing w:after="80" w:before="0" w:line="276"/>
        <w:ind w:firstLine="720"/>
        <w:jc w:val="both"/>
      </w:pPr>
      <w:r>
        <w:rPr>
          <w:rFonts w:ascii="Times New Roman" w:cs="Times New Roman" w:eastAsia="Times New Roman" w:hAnsi="Times New Roman"/>
          <w:sz w:val="24"/>
          <w:szCs w:val="24"/>
        </w:rPr>
        <w:t xml:space="preserve">В схеме с автотрансформаторной связью как с антенной, так и с другими каскадами УПОС (рис. 1.5, д) rсв = 0, xсв = 0, p₁ = (L₁ + M)/L, p₂ = 1, где M – взаимоиндуктивность между частями контурной катушки, на которые их делит точка подключения антенной цепи.</w:t>
      </w:r>
    </w:p>
    <w:p>
      <w:pPr>
        <w:spacing w:after="80" w:before="0" w:line="276"/>
        <w:ind w:firstLine="720"/>
        <w:jc w:val="both"/>
      </w:pPr>
      <w:r>
        <w:rPr>
          <w:rFonts w:ascii="Times New Roman" w:cs="Times New Roman" w:eastAsia="Times New Roman" w:hAnsi="Times New Roman"/>
          <w:sz w:val="24"/>
          <w:szCs w:val="24"/>
        </w:rPr>
        <w:t xml:space="preserve">Типы входных цепей:</w:t>
      </w:r>
    </w:p>
    <w:p>
      <w:pPr>
        <w:pStyle w:val="ListParagraph"/>
        <w:numPr>
          <w:ilvl w:val="0"/>
          <w:numId w:val="2"/>
        </w:numPr>
        <w:spacing w:after="60" w:before="0" w:line="276"/>
      </w:pPr>
      <w:r>
        <w:rPr>
          <w:rFonts w:ascii="Times New Roman" w:cs="Times New Roman" w:eastAsia="Times New Roman" w:hAnsi="Times New Roman"/>
          <w:sz w:val="24"/>
          <w:szCs w:val="24"/>
        </w:rPr>
        <w:t xml:space="preserve">одноконтурные перестраиваемые;</w:t>
      </w:r>
    </w:p>
    <w:p>
      <w:pPr>
        <w:pStyle w:val="ListParagraph"/>
        <w:numPr>
          <w:ilvl w:val="0"/>
          <w:numId w:val="2"/>
        </w:numPr>
        <w:spacing w:after="60" w:before="0" w:line="276"/>
      </w:pPr>
      <w:r>
        <w:rPr>
          <w:rFonts w:ascii="Times New Roman" w:cs="Times New Roman" w:eastAsia="Times New Roman" w:hAnsi="Times New Roman"/>
          <w:sz w:val="24"/>
          <w:szCs w:val="24"/>
        </w:rPr>
        <w:t xml:space="preserve">многоконтурные (обычно двух, реже трехконтурные) перестраиваемые;</w:t>
      </w:r>
    </w:p>
    <w:p>
      <w:pPr>
        <w:pStyle w:val="ListParagraph"/>
        <w:numPr>
          <w:ilvl w:val="0"/>
          <w:numId w:val="2"/>
        </w:numPr>
        <w:spacing w:after="60" w:before="0" w:line="276"/>
      </w:pPr>
      <w:r>
        <w:rPr>
          <w:rFonts w:ascii="Times New Roman" w:cs="Times New Roman" w:eastAsia="Times New Roman" w:hAnsi="Times New Roman"/>
          <w:sz w:val="24"/>
          <w:szCs w:val="24"/>
        </w:rPr>
        <w:t xml:space="preserve">на основе неперестраиваемых полосовых фильтров;</w:t>
      </w:r>
    </w:p>
    <w:p>
      <w:pPr>
        <w:pStyle w:val="ListParagraph"/>
        <w:numPr>
          <w:ilvl w:val="0"/>
          <w:numId w:val="2"/>
        </w:numPr>
        <w:spacing w:after="60" w:before="0" w:line="276"/>
      </w:pPr>
      <w:r>
        <w:rPr>
          <w:rFonts w:ascii="Times New Roman" w:cs="Times New Roman" w:eastAsia="Times New Roman" w:hAnsi="Times New Roman"/>
          <w:sz w:val="24"/>
          <w:szCs w:val="24"/>
        </w:rPr>
        <w:t xml:space="preserve">на основе фильтров низких частот;</w:t>
      </w:r>
    </w:p>
    <w:p>
      <w:pPr>
        <w:pStyle w:val="ListParagraph"/>
        <w:numPr>
          <w:ilvl w:val="0"/>
          <w:numId w:val="2"/>
        </w:numPr>
        <w:spacing w:after="60" w:before="0" w:line="276"/>
      </w:pPr>
      <w:r>
        <w:rPr>
          <w:rFonts w:ascii="Times New Roman" w:cs="Times New Roman" w:eastAsia="Times New Roman" w:hAnsi="Times New Roman"/>
          <w:sz w:val="24"/>
          <w:szCs w:val="24"/>
        </w:rPr>
        <w:t xml:space="preserve">на основе сложных цепей, содержащих в своем составе режекторные фильтры, избирательно подавляющие помехи на определенных частотах.</w:t>
      </w:r>
    </w:p>
    <w:p>
      <w:pPr>
        <w:spacing w:after="80" w:before="0" w:line="276"/>
        <w:ind w:firstLine="720"/>
        <w:jc w:val="both"/>
      </w:pPr>
      <w:r>
        <w:rPr>
          <w:rFonts w:ascii="Times New Roman" w:cs="Times New Roman" w:eastAsia="Times New Roman" w:hAnsi="Times New Roman"/>
          <w:sz w:val="24"/>
          <w:szCs w:val="24"/>
        </w:rPr>
        <w:t xml:space="preserve">На рис. 1.6 в качестве примера приведена схема входной цепи с перестраиваемым двухконтурным полосовым фильтром (контур Lk1, C1, Cсв₂ и контур Lk2, C2, Cсв₂ связаны друг с другом двумя видами связей – внешнеемкостной Cсв₁ и внутриемкостной Cсв₂).</w:t>
      </w:r>
    </w:p>
    <w:p>
      <w:pPr>
        <w:pStyle w:val="Heading2"/>
        <w:spacing w:after="160" w:before="200"/>
        <w:jc w:val="center"/>
      </w:pPr>
      <w:r>
        <w:rPr>
          <w:rFonts w:ascii="Arial" w:cs="Arial" w:eastAsia="Arial" w:hAnsi="Arial"/>
          <w:b/>
          <w:bCs/>
          <w:color w:val="1F5C99"/>
          <w:sz w:val="26"/>
          <w:szCs w:val="26"/>
        </w:rPr>
        <w:t xml:space="preserve">1.5. Частотная характеристика входной цепи</w:t>
      </w:r>
    </w:p>
    <w:p>
      <w:pPr>
        <w:spacing w:after="80" w:before="0" w:line="276"/>
        <w:ind w:firstLine="720"/>
        <w:jc w:val="both"/>
      </w:pPr>
      <w:r>
        <w:rPr>
          <w:rFonts w:ascii="Times New Roman" w:cs="Times New Roman" w:eastAsia="Times New Roman" w:hAnsi="Times New Roman"/>
          <w:sz w:val="24"/>
          <w:szCs w:val="24"/>
        </w:rPr>
        <w:t xml:space="preserve">Коэффициент передачи по напряжению в общем случае зависит от частоты настройки входной цепи и, с учетом (1.8) и (1.2), может быть представлен в виде:</w:t>
      </w:r>
    </w:p>
    <w:p>
      <w:pPr>
        <w:spacing w:after="80" w:before="0" w:line="276"/>
        <w:jc w:val="center"/>
      </w:pPr>
      <w:r>
        <w:rPr>
          <w:rFonts w:ascii="Times New Roman" w:cs="Times New Roman" w:eastAsia="Times New Roman" w:hAnsi="Times New Roman"/>
          <w:sz w:val="24"/>
          <w:szCs w:val="24"/>
        </w:rPr>
        <w:t xml:space="preserve">Kᵤ(f) = p₁p₂ / (ZА’ Yэ),	(1.18)</w:t>
      </w:r>
    </w:p>
    <w:p>
      <w:pPr>
        <w:spacing w:after="80" w:before="0" w:line="276"/>
        <w:jc w:val="both"/>
      </w:pPr>
      <w:r>
        <w:rPr>
          <w:rFonts w:ascii="Times New Roman" w:cs="Times New Roman" w:eastAsia="Times New Roman" w:hAnsi="Times New Roman"/>
          <w:sz w:val="24"/>
          <w:szCs w:val="24"/>
        </w:rPr>
        <w:t xml:space="preserve">где Yэ = p₁²YА’ + Yk + p₂²Yвх, Yk – собственная проводимость ненагруженного контура.</w:t>
      </w:r>
    </w:p>
    <w:p>
      <w:pPr>
        <w:spacing w:after="80" w:before="0" w:line="276"/>
        <w:ind w:firstLine="720"/>
        <w:jc w:val="both"/>
      </w:pPr>
      <w:r>
        <w:rPr>
          <w:rFonts w:ascii="Times New Roman" w:cs="Times New Roman" w:eastAsia="Times New Roman" w:hAnsi="Times New Roman"/>
          <w:sz w:val="24"/>
          <w:szCs w:val="24"/>
        </w:rPr>
        <w:t xml:space="preserve">Уравнение амплитудно-частотной характеристики колебательного контура выглядит так:</w:t>
      </w:r>
    </w:p>
    <w:p>
      <w:pPr>
        <w:spacing w:after="80" w:before="0" w:line="276"/>
        <w:jc w:val="center"/>
      </w:pPr>
      <w:r>
        <w:rPr>
          <w:rFonts w:ascii="Times New Roman" w:cs="Times New Roman" w:eastAsia="Times New Roman" w:hAnsi="Times New Roman"/>
          <w:sz w:val="24"/>
          <w:szCs w:val="24"/>
        </w:rPr>
        <w:t xml:space="preserve">y(f) = 1 / √(1 + ξ²(f)),	(1.19)</w:t>
      </w:r>
    </w:p>
    <w:p>
      <w:pPr>
        <w:spacing w:after="80" w:before="0" w:line="276"/>
        <w:jc w:val="both"/>
      </w:pPr>
      <w:r>
        <w:rPr>
          <w:rFonts w:ascii="Times New Roman" w:cs="Times New Roman" w:eastAsia="Times New Roman" w:hAnsi="Times New Roman"/>
          <w:sz w:val="24"/>
          <w:szCs w:val="24"/>
        </w:rPr>
        <w:t xml:space="preserve">где ξ(f) = Qэ(f/f₀ – f₀/f) – обобщенная расстройка контура; Qэ – эквивалентная добротность нагруженного контура.</w:t>
      </w:r>
    </w:p>
    <w:p>
      <w:pPr>
        <w:spacing w:after="80" w:before="0" w:line="276"/>
        <w:ind w:firstLine="720"/>
        <w:jc w:val="both"/>
      </w:pPr>
      <w:r>
        <w:rPr>
          <w:rFonts w:ascii="Times New Roman" w:cs="Times New Roman" w:eastAsia="Times New Roman" w:hAnsi="Times New Roman"/>
          <w:sz w:val="24"/>
          <w:szCs w:val="24"/>
        </w:rPr>
        <w:t xml:space="preserve">С учетом (1.18) и (1.19) амплитудно-частотная характеристика входной цепи будет определяться выражением:</w:t>
      </w:r>
    </w:p>
    <w:p>
      <w:pPr>
        <w:spacing w:after="80" w:before="0" w:line="276"/>
        <w:jc w:val="center"/>
      </w:pPr>
      <w:r>
        <w:rPr>
          <w:rFonts w:ascii="Times New Roman" w:cs="Times New Roman" w:eastAsia="Times New Roman" w:hAnsi="Times New Roman"/>
          <w:sz w:val="24"/>
          <w:szCs w:val="24"/>
        </w:rPr>
        <w:t xml:space="preserve">|K(f)| = |Kᵤ(f)| · y(f) = p₁p₂ / (|ZА’| · |Yэ| · √(1+ξ²(f))).	(1.20)</w:t>
      </w:r>
    </w:p>
    <w:p>
      <w:pPr>
        <w:spacing w:after="80" w:before="0" w:line="276"/>
        <w:ind w:firstLine="720"/>
        <w:jc w:val="both"/>
      </w:pPr>
      <w:r>
        <w:rPr>
          <w:rFonts w:ascii="Times New Roman" w:cs="Times New Roman" w:eastAsia="Times New Roman" w:hAnsi="Times New Roman"/>
          <w:sz w:val="24"/>
          <w:szCs w:val="24"/>
        </w:rPr>
        <w:t xml:space="preserve">На частоте резонанса, когда f = fс = f₀, очевидно, что (1.20) переходит в (1.8). Селективные свойства входной цепи будут определяться уравнением (1.19). В частности, подавление помехи на частоте зеркального канала fз = fс + 2fп.ч будет определяться выражением:</w:t>
      </w:r>
    </w:p>
    <w:p>
      <w:pPr>
        <w:spacing w:after="80" w:before="0" w:line="276"/>
        <w:jc w:val="center"/>
      </w:pPr>
      <w:r>
        <w:rPr>
          <w:rFonts w:ascii="Times New Roman" w:cs="Times New Roman" w:eastAsia="Times New Roman" w:hAnsi="Times New Roman"/>
          <w:sz w:val="24"/>
          <w:szCs w:val="24"/>
        </w:rPr>
        <w:t xml:space="preserve">δK = √{ 1 + Qэ² [(fс+2fп.ч)/fс – fс/(fс+2fп.ч)]² }.	(1.21)</w:t>
      </w:r>
    </w:p>
    <w:p>
      <w:pPr>
        <w:spacing w:after="80" w:before="0" w:line="276"/>
        <w:ind w:firstLine="720"/>
        <w:jc w:val="both"/>
      </w:pPr>
      <w:r>
        <w:rPr>
          <w:rFonts w:ascii="Times New Roman" w:cs="Times New Roman" w:eastAsia="Times New Roman" w:hAnsi="Times New Roman"/>
          <w:sz w:val="24"/>
          <w:szCs w:val="24"/>
        </w:rPr>
        <w:t xml:space="preserve">Как видно из (1.21), для увеличения степени подавления помехи на частоте зеркального канала необходимо увеличивать значение промежуточной частоты и добротность входного контура.</w:t>
      </w:r>
    </w:p>
    <w:p>
      <w:pPr>
        <w:pStyle w:val="Heading2"/>
        <w:spacing w:after="160" w:before="200"/>
        <w:jc w:val="center"/>
      </w:pPr>
      <w:r>
        <w:rPr>
          <w:rFonts w:ascii="Arial" w:cs="Arial" w:eastAsia="Arial" w:hAnsi="Arial"/>
          <w:b/>
          <w:bCs/>
          <w:color w:val="1F5C99"/>
          <w:sz w:val="26"/>
          <w:szCs w:val="26"/>
        </w:rPr>
        <w:t xml:space="preserve">1.6. Одноконтурные входные цепи с переменной настройкой</w:t>
      </w:r>
    </w:p>
    <w:p>
      <w:pPr>
        <w:spacing w:after="80" w:before="0" w:line="276"/>
        <w:ind w:firstLine="720"/>
        <w:jc w:val="both"/>
      </w:pPr>
      <w:r>
        <w:rPr>
          <w:rFonts w:ascii="Times New Roman" w:cs="Times New Roman" w:eastAsia="Times New Roman" w:hAnsi="Times New Roman"/>
          <w:sz w:val="24"/>
          <w:szCs w:val="24"/>
        </w:rPr>
        <w:t xml:space="preserve">Устройства приема и обработки сигналов с переменной настройкой, как правило, содержат два-три контура, одновременно перестраиваемых, например, одним блоком конденсаторов переменной емкости. Так как контур входной цепи непосредственно связан с ненастраиваемой антенной цепью, то по сравнению с другими перестраиваемыми контурами он находится в особых условиях. К нему подключается различная по величине, в зависимости от частоты настройки, реактивная составляющая b₁ полной проводимости антенной цепи (1.2).</w:t>
      </w:r>
    </w:p>
    <w:p>
      <w:pPr>
        <w:spacing w:after="80" w:before="0" w:line="276"/>
        <w:ind w:firstLine="720"/>
        <w:jc w:val="both"/>
      </w:pPr>
      <w:r>
        <w:rPr>
          <w:rFonts w:ascii="Times New Roman" w:cs="Times New Roman" w:eastAsia="Times New Roman" w:hAnsi="Times New Roman"/>
          <w:sz w:val="24"/>
          <w:szCs w:val="24"/>
        </w:rPr>
        <w:t xml:space="preserve">Определим основные параметры одноконтурных входных цепей, которые наиболее часто применяются в диапазонных УПОС длинных, средних и коротких волн.</w:t>
      </w:r>
    </w:p>
    <w:p>
      <w:pPr>
        <w:pStyle w:val="Heading3"/>
        <w:spacing w:after="140" w:before="180"/>
        <w:jc w:val="center"/>
      </w:pPr>
      <w:r>
        <w:rPr>
          <w:rFonts w:ascii="Arial" w:cs="Arial" w:eastAsia="Arial" w:hAnsi="Arial"/>
          <w:b/>
          <w:bCs/>
          <w:color w:val="2E75B6"/>
          <w:sz w:val="24"/>
          <w:szCs w:val="24"/>
        </w:rPr>
        <w:t xml:space="preserve">1.6.1. Входная цепь с внешнеемкостной связью с антенной</w:t>
      </w:r>
    </w:p>
    <w:p>
      <w:pPr>
        <w:spacing w:after="80" w:before="0" w:line="276"/>
        <w:ind w:firstLine="720"/>
        <w:jc w:val="both"/>
      </w:pPr>
      <w:r>
        <w:rPr>
          <w:rFonts w:ascii="Times New Roman" w:cs="Times New Roman" w:eastAsia="Times New Roman" w:hAnsi="Times New Roman"/>
          <w:sz w:val="24"/>
          <w:szCs w:val="24"/>
        </w:rPr>
        <w:t xml:space="preserve">В силу своей простоты внешнеемкостная связь находит широкое применение как в радиовещательных, так и в профессиональных радиоприемных устройствах. На рис. 1.7 приведена соответствующая ей эквивалентная схема.</w:t>
      </w:r>
    </w:p>
    <w:p>
      <w:pPr>
        <w:spacing w:after="80" w:before="0" w:line="276"/>
        <w:ind w:firstLine="720"/>
        <w:jc w:val="both"/>
      </w:pPr>
      <w:r>
        <w:rPr>
          <w:rFonts w:ascii="Times New Roman" w:cs="Times New Roman" w:eastAsia="Times New Roman" w:hAnsi="Times New Roman"/>
          <w:sz w:val="24"/>
          <w:szCs w:val="24"/>
        </w:rPr>
        <w:t xml:space="preserve">Поскольку в диапазонных входных цепях из-за расстройки контура ненастроенной антенной невозможно применить сильную связь между антенной цепью и контуром, то в рассматриваемом случае конденсатор связи Cсв должен иметь небольшую емкость. Обычно величина его емкости изменяется от 10–20 до нескольких единиц пикофарад. Как правило, Cсв значительно меньше CА. При последовательном включении в цепь антенны конденсатора связи общая емкость антенной цепи уменьшается и равна:</w:t>
      </w:r>
    </w:p>
    <w:p>
      <w:pPr>
        <w:spacing w:after="80" w:before="0" w:line="276"/>
        <w:jc w:val="center"/>
      </w:pPr>
      <w:r>
        <w:rPr>
          <w:rFonts w:ascii="Times New Roman" w:cs="Times New Roman" w:eastAsia="Times New Roman" w:hAnsi="Times New Roman"/>
          <w:sz w:val="24"/>
          <w:szCs w:val="24"/>
        </w:rPr>
        <w:t xml:space="preserve">CА’ = CАCсв / (CА + Cсв),	(1.22)</w:t>
      </w:r>
    </w:p>
    <w:p>
      <w:pPr>
        <w:spacing w:after="80" w:before="0" w:line="276"/>
        <w:jc w:val="both"/>
      </w:pPr>
      <w:r>
        <w:rPr>
          <w:rFonts w:ascii="Times New Roman" w:cs="Times New Roman" w:eastAsia="Times New Roman" w:hAnsi="Times New Roman"/>
          <w:sz w:val="24"/>
          <w:szCs w:val="24"/>
        </w:rPr>
        <w:t xml:space="preserve">а емкостное сопротивление цепи становится значительно больше индуктивного. В результате в диапазоне рабочих частот антенная цепь имеет емкостной характер, поэтому с большой точностью, особенно в диапазонах средних и длинных волн, можно пренебречь индуктивностью антенны LА и ее активным сопротивлением rА, т. е.:</w:t>
      </w:r>
    </w:p>
    <w:p>
      <w:pPr>
        <w:spacing w:after="80" w:before="0" w:line="276"/>
        <w:jc w:val="center"/>
      </w:pPr>
      <w:r>
        <w:rPr>
          <w:rFonts w:ascii="Times New Roman" w:cs="Times New Roman" w:eastAsia="Times New Roman" w:hAnsi="Times New Roman"/>
          <w:sz w:val="24"/>
          <w:szCs w:val="24"/>
        </w:rPr>
        <w:t xml:space="preserve">LА ≈ 0 и rА’ ≈ 0.	(1.23)</w:t>
      </w:r>
    </w:p>
    <w:p>
      <w:pPr>
        <w:spacing w:after="80" w:before="120"/>
        <w:jc w:val="center"/>
      </w:pPr>
      <w:r>
        <w:drawing>
          <wp:inline distT="0" distB="0" distL="0" distR="0">
            <wp:extent cx="4448175" cy="20764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48175" cy="20764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1.7. Эквивалентная схема входной цепи с внешнеемкостной связью контура с антенной</w:t>
      </w:r>
    </w:p>
    <w:p>
      <w:pPr>
        <w:spacing w:after="80" w:before="0" w:line="276"/>
        <w:ind w:firstLine="720"/>
        <w:jc w:val="both"/>
      </w:pPr>
      <w:r>
        <w:rPr>
          <w:rFonts w:ascii="Times New Roman" w:cs="Times New Roman" w:eastAsia="Times New Roman" w:hAnsi="Times New Roman"/>
          <w:sz w:val="24"/>
          <w:szCs w:val="24"/>
        </w:rPr>
        <w:t xml:space="preserve">Таким образом, коэффициент включения антенной цепи:</w:t>
      </w:r>
    </w:p>
    <w:p>
      <w:pPr>
        <w:spacing w:after="80" w:before="0" w:line="276"/>
        <w:jc w:val="center"/>
      </w:pPr>
      <w:r>
        <w:rPr>
          <w:rFonts w:ascii="Times New Roman" w:cs="Times New Roman" w:eastAsia="Times New Roman" w:hAnsi="Times New Roman"/>
          <w:sz w:val="24"/>
          <w:szCs w:val="24"/>
        </w:rPr>
        <w:t xml:space="preserve">p₁ = Cсв / (CА + Cсв) ≈ Cсв / CА.	(1.24)</w:t>
      </w:r>
    </w:p>
    <w:p>
      <w:pPr>
        <w:spacing w:after="80" w:before="0" w:line="276"/>
        <w:ind w:firstLine="720"/>
        <w:jc w:val="both"/>
      </w:pPr>
      <w:r>
        <w:rPr>
          <w:rFonts w:ascii="Times New Roman" w:cs="Times New Roman" w:eastAsia="Times New Roman" w:hAnsi="Times New Roman"/>
          <w:sz w:val="24"/>
          <w:szCs w:val="24"/>
        </w:rPr>
        <w:t xml:space="preserve">Резонансный коэффициент передачи входной цепи при p₂ = 1, с учетом (1.8) и того, что Gэ = 1/ωсLQэ:</w:t>
      </w:r>
    </w:p>
    <w:p>
      <w:pPr>
        <w:spacing w:after="80" w:before="0" w:line="276"/>
        <w:jc w:val="center"/>
      </w:pPr>
      <w:r>
        <w:rPr>
          <w:rFonts w:ascii="Times New Roman" w:cs="Times New Roman" w:eastAsia="Times New Roman" w:hAnsi="Times New Roman"/>
          <w:sz w:val="24"/>
          <w:szCs w:val="24"/>
        </w:rPr>
        <w:t xml:space="preserve">ZА’ = 1/ωсCА’ ≈ (CА + Cсв) / (ωсCАCсв),	(1.25)</w:t>
      </w:r>
    </w:p>
    <w:p>
      <w:pPr>
        <w:spacing w:after="80" w:before="0" w:line="276"/>
        <w:ind w:firstLine="720"/>
        <w:jc w:val="both"/>
      </w:pPr>
      <w:r>
        <w:rPr>
          <w:rFonts w:ascii="Times New Roman" w:cs="Times New Roman" w:eastAsia="Times New Roman" w:hAnsi="Times New Roman"/>
          <w:sz w:val="24"/>
          <w:szCs w:val="24"/>
        </w:rPr>
        <w:t xml:space="preserve">будет равен:</w:t>
      </w:r>
    </w:p>
    <w:p>
      <w:pPr>
        <w:spacing w:after="80" w:before="0" w:line="276"/>
        <w:jc w:val="center"/>
      </w:pPr>
      <w:r>
        <w:rPr>
          <w:rFonts w:ascii="Times New Roman" w:cs="Times New Roman" w:eastAsia="Times New Roman" w:hAnsi="Times New Roman"/>
          <w:sz w:val="24"/>
          <w:szCs w:val="24"/>
        </w:rPr>
        <w:t xml:space="preserve">Kᵤ₀ = [CАCсв² / (CА+Cсв)²GА] · ωс = [CАCсв² / (CА+Cсв)²] · ωс²LQэ.	(1.26)</w:t>
      </w:r>
    </w:p>
    <w:p>
      <w:pPr>
        <w:spacing w:after="80" w:before="120"/>
        <w:jc w:val="center"/>
      </w:pPr>
      <w:r>
        <w:drawing>
          <wp:inline distT="0" distB="0" distL="0" distR="0">
            <wp:extent cx="3810000" cy="25336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336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1.8. Зависимость резонансного коэффициента передачи от частоты настройки при внешнеемкостной связи</w:t>
      </w:r>
    </w:p>
    <w:p>
      <w:pPr>
        <w:spacing w:after="80" w:before="0" w:line="276"/>
        <w:ind w:firstLine="720"/>
        <w:jc w:val="both"/>
      </w:pPr>
      <w:r>
        <w:rPr>
          <w:rFonts w:ascii="Times New Roman" w:cs="Times New Roman" w:eastAsia="Times New Roman" w:hAnsi="Times New Roman"/>
          <w:sz w:val="24"/>
          <w:szCs w:val="24"/>
        </w:rPr>
        <w:t xml:space="preserve">Эквивалентная емкость контура для случая его настройки конденсатором переменной емкости с некоторым приближением обратно пропорциональна квадрату частоты, а значение добротности в пределах диапазона сохраняется практически неизменным. Следовательно, коэффициент передачи Kᵤ₀ находится в прямой квадратичной зависимости от частоты настройки (рис. 1.8). Его величина определяется значениями емкости связи и эквивалентной добротностью входного контура Qэ.</w:t>
      </w:r>
    </w:p>
    <w:p>
      <w:pPr>
        <w:spacing w:after="80" w:before="0" w:line="276"/>
        <w:ind w:firstLine="720"/>
        <w:jc w:val="both"/>
      </w:pPr>
      <w:r>
        <w:rPr>
          <w:rFonts w:ascii="Times New Roman" w:cs="Times New Roman" w:eastAsia="Times New Roman" w:hAnsi="Times New Roman"/>
          <w:sz w:val="24"/>
          <w:szCs w:val="24"/>
        </w:rPr>
        <w:t xml:space="preserve">В рассматриваемом случае антенная цепь представляет собой некоторую эквивалентную емкость, определяемую уравнением (1.25). Ее подключение к контуру входной цепи приводит к расстройке последнего. Полагая Cсв &lt;&lt; CА и допуская расстройку входного контура антенной цепью в пределах его полосы пропускания, легко получить выражение для предельно допустимой величины, вносимой во входной контур емкости:</w:t>
      </w:r>
    </w:p>
    <w:p>
      <w:pPr>
        <w:spacing w:after="80" w:before="0" w:line="276"/>
        <w:jc w:val="center"/>
      </w:pPr>
      <w:r>
        <w:rPr>
          <w:rFonts w:ascii="Times New Roman" w:cs="Times New Roman" w:eastAsia="Times New Roman" w:hAnsi="Times New Roman"/>
          <w:sz w:val="24"/>
          <w:szCs w:val="24"/>
        </w:rPr>
        <w:t xml:space="preserve">ΔCдоп ≤ Cэmin / Qэ,	(1.27)</w:t>
      </w:r>
    </w:p>
    <w:p>
      <w:pPr>
        <w:spacing w:after="80" w:before="0" w:line="276"/>
        <w:jc w:val="both"/>
      </w:pPr>
      <w:r>
        <w:rPr>
          <w:rFonts w:ascii="Times New Roman" w:cs="Times New Roman" w:eastAsia="Times New Roman" w:hAnsi="Times New Roman"/>
          <w:sz w:val="24"/>
          <w:szCs w:val="24"/>
        </w:rPr>
        <w:t xml:space="preserve">где Cэmin – минимальная эквивалентная емкость входного контура.</w:t>
      </w:r>
    </w:p>
    <w:p>
      <w:pPr>
        <w:spacing w:after="80" w:before="0" w:line="276"/>
        <w:ind w:firstLine="720"/>
        <w:jc w:val="both"/>
      </w:pPr>
      <w:r>
        <w:rPr>
          <w:rFonts w:ascii="Times New Roman" w:cs="Times New Roman" w:eastAsia="Times New Roman" w:hAnsi="Times New Roman"/>
          <w:sz w:val="24"/>
          <w:szCs w:val="24"/>
        </w:rPr>
        <w:t xml:space="preserve">Таким образом, полученные выражения позволяют определить все основные характеристики входной цепи УПОС при внешнеемкостной связи с антенной, а именно: коэффициент передачи и его изменение по диапазону, избирательность на любой частоте и возможную расстройку входного контура при изменении параметров антенны. Очевидно, что основным недостатком такого вида связи является большая неравномерность резонансного коэффициента передачи в пределах диапазона, что начинает сказываться при коэффициентах перекрытия Kд &gt;&gt; 1,5.</w:t>
      </w:r>
    </w:p>
    <w:p>
      <w:pPr>
        <w:pStyle w:val="Heading3"/>
        <w:spacing w:after="140" w:before="180"/>
        <w:jc w:val="center"/>
      </w:pPr>
      <w:r>
        <w:rPr>
          <w:rFonts w:ascii="Arial" w:cs="Arial" w:eastAsia="Arial" w:hAnsi="Arial"/>
          <w:b/>
          <w:bCs/>
          <w:color w:val="2E75B6"/>
          <w:sz w:val="24"/>
          <w:szCs w:val="24"/>
        </w:rPr>
        <w:t xml:space="preserve">1.6.2. Входная цепь с индуктивной связью контура с антенной</w:t>
      </w:r>
    </w:p>
    <w:p>
      <w:pPr>
        <w:spacing w:after="80" w:before="0" w:line="276"/>
        <w:ind w:firstLine="720"/>
        <w:jc w:val="both"/>
      </w:pPr>
      <w:r>
        <w:rPr>
          <w:rFonts w:ascii="Times New Roman" w:cs="Times New Roman" w:eastAsia="Times New Roman" w:hAnsi="Times New Roman"/>
          <w:sz w:val="24"/>
          <w:szCs w:val="24"/>
        </w:rPr>
        <w:t xml:space="preserve">В рассматриваемом случае (рис. 1.5, в) можно пренебречь активным сопротивлением антенны по сравнению с ее реактивным сопротивлением, так как в УПОС с переменной настройкой антенные цепи не настраиваются. Кроме того, обычно LА &lt;&lt; Lсв. Тогда:</w:t>
      </w:r>
    </w:p>
    <w:p>
      <w:pPr>
        <w:spacing w:after="80" w:before="0" w:line="276"/>
        <w:jc w:val="center"/>
      </w:pPr>
      <w:r>
        <w:rPr>
          <w:rFonts w:ascii="Times New Roman" w:cs="Times New Roman" w:eastAsia="Times New Roman" w:hAnsi="Times New Roman"/>
          <w:sz w:val="24"/>
          <w:szCs w:val="24"/>
        </w:rPr>
        <w:t xml:space="preserve">ZА’ = ωсLсв – 1/(ωсCА) = ωсLсв (1 – ωА²/ωс²),	(1.28)</w:t>
      </w:r>
    </w:p>
    <w:p>
      <w:pPr>
        <w:spacing w:after="80" w:before="0" w:line="276"/>
        <w:jc w:val="both"/>
      </w:pPr>
      <w:r>
        <w:rPr>
          <w:rFonts w:ascii="Times New Roman" w:cs="Times New Roman" w:eastAsia="Times New Roman" w:hAnsi="Times New Roman"/>
          <w:sz w:val="24"/>
          <w:szCs w:val="24"/>
        </w:rPr>
        <w:t xml:space="preserve">где ωА = 1/√(LсвCА) – собственная частота антенной цепи.</w:t>
      </w:r>
    </w:p>
    <w:p>
      <w:pPr>
        <w:spacing w:after="80" w:before="0" w:line="276"/>
        <w:ind w:firstLine="720"/>
        <w:jc w:val="both"/>
      </w:pPr>
      <w:r>
        <w:rPr>
          <w:rFonts w:ascii="Times New Roman" w:cs="Times New Roman" w:eastAsia="Times New Roman" w:hAnsi="Times New Roman"/>
          <w:sz w:val="24"/>
          <w:szCs w:val="24"/>
        </w:rPr>
        <w:t xml:space="preserve">Подставляя (1.28) в (1.8) и учитывая известное соотношение для коэффициента связи между двумя катушками (рис. 1.5, в), имеем:</w:t>
      </w:r>
    </w:p>
    <w:p>
      <w:pPr>
        <w:spacing w:after="80" w:before="0" w:line="276"/>
        <w:jc w:val="center"/>
      </w:pPr>
      <w:r>
        <w:rPr>
          <w:rFonts w:ascii="Times New Roman" w:cs="Times New Roman" w:eastAsia="Times New Roman" w:hAnsi="Times New Roman"/>
          <w:sz w:val="24"/>
          <w:szCs w:val="24"/>
        </w:rPr>
        <w:t xml:space="preserve">kсв = M / √(LсвL).	(1.29)</w:t>
      </w:r>
    </w:p>
    <w:p>
      <w:pPr>
        <w:spacing w:after="80" w:before="0" w:line="276"/>
        <w:ind w:firstLine="720"/>
        <w:jc w:val="both"/>
      </w:pPr>
      <w:r>
        <w:rPr>
          <w:rFonts w:ascii="Times New Roman" w:cs="Times New Roman" w:eastAsia="Times New Roman" w:hAnsi="Times New Roman"/>
          <w:sz w:val="24"/>
          <w:szCs w:val="24"/>
        </w:rPr>
        <w:t xml:space="preserve">После элементарных преобразований получаем:</w:t>
      </w:r>
    </w:p>
    <w:p>
      <w:pPr>
        <w:spacing w:after="80" w:before="0" w:line="276"/>
        <w:jc w:val="center"/>
      </w:pPr>
      <w:r>
        <w:rPr>
          <w:rFonts w:ascii="Times New Roman" w:cs="Times New Roman" w:eastAsia="Times New Roman" w:hAnsi="Times New Roman"/>
          <w:sz w:val="24"/>
          <w:szCs w:val="24"/>
        </w:rPr>
        <w:t xml:space="preserve">Kᵤ₀ = [kсв p₂ Qэ / |1 – fА²/fс²|] · √(L/Lсв),	(1.30)</w:t>
      </w:r>
    </w:p>
    <w:p>
      <w:pPr>
        <w:spacing w:after="80" w:before="0" w:line="276"/>
        <w:jc w:val="both"/>
      </w:pPr>
      <w:r>
        <w:rPr>
          <w:rFonts w:ascii="Times New Roman" w:cs="Times New Roman" w:eastAsia="Times New Roman" w:hAnsi="Times New Roman"/>
          <w:sz w:val="24"/>
          <w:szCs w:val="24"/>
        </w:rPr>
        <w:t xml:space="preserve">где fА – резонансная частота антенной цепи.</w:t>
      </w:r>
    </w:p>
    <w:p>
      <w:pPr>
        <w:spacing w:after="80" w:before="0" w:line="276"/>
        <w:ind w:firstLine="720"/>
        <w:jc w:val="both"/>
      </w:pPr>
      <w:r>
        <w:rPr>
          <w:rFonts w:ascii="Times New Roman" w:cs="Times New Roman" w:eastAsia="Times New Roman" w:hAnsi="Times New Roman"/>
          <w:sz w:val="24"/>
          <w:szCs w:val="24"/>
        </w:rPr>
        <w:t xml:space="preserve">Полагая эквивалентную добротность контура постоянной, что допустимо при Kд ≤ 3, т. е. в реально существующих случаях, оценим зависимость резонансного коэффициента передачи входной цепи от частоты в пределах диапазона.</w:t>
      </w:r>
    </w:p>
    <w:p>
      <w:pPr>
        <w:spacing w:after="80" w:before="0" w:line="276"/>
        <w:ind w:firstLine="720"/>
        <w:jc w:val="both"/>
      </w:pPr>
      <w:r>
        <w:rPr>
          <w:rFonts w:ascii="Times New Roman" w:cs="Times New Roman" w:eastAsia="Times New Roman" w:hAnsi="Times New Roman"/>
          <w:sz w:val="24"/>
          <w:szCs w:val="24"/>
        </w:rPr>
        <w:t xml:space="preserve">При fА &gt; fсmax (режим укороченной антенны) собственная резонансная частота антенной цепи бывает больше максимальной частоты рабочего диапазона. В этом случае в соответствии с (1.30) значение Kᵤ₀ пропорционально fс². Это объясняется следующим образом. Согласно (1.28), для данного случая в диапазоне рабочих частот полное сопротивление антенной цепи уменьшается обратно пропорционально частоте (рис. 1.9, а). Эквивалентная проводимость входного контура в диапазоне рабочих частот при g = const изменяется так же обратно пропорционально частоте.</w:t>
      </w:r>
    </w:p>
    <w:p>
      <w:pPr>
        <w:spacing w:after="80" w:before="0" w:line="276"/>
        <w:ind w:firstLine="720"/>
        <w:jc w:val="both"/>
      </w:pPr>
      <w:r>
        <w:rPr>
          <w:rFonts w:ascii="Times New Roman" w:cs="Times New Roman" w:eastAsia="Times New Roman" w:hAnsi="Times New Roman"/>
          <w:sz w:val="24"/>
          <w:szCs w:val="24"/>
        </w:rPr>
        <w:t xml:space="preserve">При fсmin &lt; fА &lt; fсmax полное сопротивление антенной цепи, согласно (1.28), имеет резко выраженный минимум на частоте fс = fА, соответствующий резонансным свойствам антенной цепи. На рис. 1.9, б представлена зависимость резонансного коэффициента передачи Kᵤ₀ от частоты. Неравномерность этой зависимости тем больше, чем меньше эквивалентное затухание антенной цепи.</w:t>
      </w:r>
    </w:p>
    <w:p>
      <w:pPr>
        <w:spacing w:after="80" w:before="0" w:line="276"/>
        <w:ind w:firstLine="720"/>
        <w:jc w:val="both"/>
      </w:pPr>
      <w:r>
        <w:rPr>
          <w:rFonts w:ascii="Times New Roman" w:cs="Times New Roman" w:eastAsia="Times New Roman" w:hAnsi="Times New Roman"/>
          <w:sz w:val="24"/>
          <w:szCs w:val="24"/>
        </w:rPr>
        <w:t xml:space="preserve">При fА &lt; fсmin (режим удлиненной антенны), согласно (1.28), полное сопротивление антенной цепи в диапазоне рабочих частот прямо пропорционально частоте. Это компенсирует обратную зависимость эквивалентной проводимости входного контура от частоты и позволяет получить высокую степень постоянства резонансного коэффициента передачи в диапазоне рабочих частот (рис. 1.9, в). Указанное достоинство в полной мере реализовать достаточно трудно, так как режим удлиненной антенны обеспечивается при большой величине индуктивности Lсв, а ее увеличение приводит к снижению значения Kᵤ₀.</w:t>
      </w:r>
    </w:p>
    <w:p>
      <w:pPr>
        <w:spacing w:after="80" w:before="120"/>
        <w:jc w:val="center"/>
      </w:pPr>
      <w:r>
        <w:drawing>
          <wp:inline distT="0" distB="0" distL="0" distR="0">
            <wp:extent cx="5076825" cy="35147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76825" cy="35147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1.9. Зависимость резонансного коэффициента передачи от частоты настройки при индуктивной связи</w:t>
      </w:r>
    </w:p>
    <w:p>
      <w:pPr>
        <w:spacing w:after="80" w:before="120"/>
        <w:jc w:val="center"/>
      </w:pPr>
      <w:r>
        <w:drawing>
          <wp:inline distT="0" distB="0" distL="0" distR="0">
            <wp:extent cx="4448175" cy="22669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48175" cy="2266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1.10. Зависимости резонансного коэффициента передачи от частоты настройки при индуктивной связи в режиме удлинённой антенны</w:t>
      </w:r>
    </w:p>
    <w:p>
      <w:pPr>
        <w:spacing w:after="80" w:before="0" w:line="276"/>
        <w:ind w:firstLine="720"/>
        <w:jc w:val="both"/>
      </w:pPr>
      <w:r>
        <w:rPr>
          <w:rFonts w:ascii="Times New Roman" w:cs="Times New Roman" w:eastAsia="Times New Roman" w:hAnsi="Times New Roman"/>
          <w:sz w:val="24"/>
          <w:szCs w:val="24"/>
        </w:rPr>
        <w:t xml:space="preserve">В режиме удлиненной антенны на частотах вблизи fсmin наблюдается увеличение величины резонансного коэффициента передачи за счет приближения к частоте резонанса антенной цепи. При увеличении частоты fА от fА₁ до fА₂ растет величина резонансного коэффициента передачи (рис. 1.10) и вместе с тем возрастает степень его неравномерности, которую условно можно определить отношением Hᵤд = Kᵤ₀max / Kᵤ₀min при fсmin ≤ fс ≤ fсmax.</w:t>
      </w:r>
    </w:p>
    <w:p>
      <w:pPr>
        <w:spacing w:after="80" w:before="0" w:line="276"/>
        <w:ind w:firstLine="720"/>
        <w:jc w:val="both"/>
      </w:pPr>
      <w:r>
        <w:rPr>
          <w:rFonts w:ascii="Times New Roman" w:cs="Times New Roman" w:eastAsia="Times New Roman" w:hAnsi="Times New Roman"/>
          <w:sz w:val="24"/>
          <w:szCs w:val="24"/>
        </w:rPr>
        <w:t xml:space="preserve">Неравномерность коэффициента передачи зависит от коэффициента удлинения kᵤд = fсmin / fА и коэффициента перекрытия диапазона Kд:</w:t>
      </w:r>
    </w:p>
    <w:p>
      <w:pPr>
        <w:spacing w:after="80" w:before="0" w:line="276"/>
        <w:jc w:val="center"/>
      </w:pPr>
      <w:r>
        <w:rPr>
          <w:rFonts w:ascii="Times New Roman" w:cs="Times New Roman" w:eastAsia="Times New Roman" w:hAnsi="Times New Roman"/>
          <w:sz w:val="24"/>
          <w:szCs w:val="24"/>
        </w:rPr>
        <w:t xml:space="preserve">Hᵤд = Kᵤ₀max / Kᵤ₀min = [(fс²max – fА²) fс²min] / [(fс²min – fА²) fс²max].	(1.31)</w:t>
      </w:r>
    </w:p>
    <w:p>
      <w:pPr>
        <w:spacing w:after="80" w:before="0" w:line="276"/>
        <w:ind w:firstLine="720"/>
        <w:jc w:val="both"/>
      </w:pPr>
      <w:r>
        <w:rPr>
          <w:rFonts w:ascii="Times New Roman" w:cs="Times New Roman" w:eastAsia="Times New Roman" w:hAnsi="Times New Roman"/>
          <w:sz w:val="24"/>
          <w:szCs w:val="24"/>
        </w:rPr>
        <w:t xml:space="preserve">Эту зависимость удобно представить в виде:</w:t>
      </w:r>
    </w:p>
    <w:p>
      <w:pPr>
        <w:spacing w:after="80" w:before="0" w:line="276"/>
        <w:jc w:val="center"/>
      </w:pPr>
      <w:r>
        <w:rPr>
          <w:rFonts w:ascii="Times New Roman" w:cs="Times New Roman" w:eastAsia="Times New Roman" w:hAnsi="Times New Roman"/>
          <w:sz w:val="24"/>
          <w:szCs w:val="24"/>
        </w:rPr>
        <w:t xml:space="preserve">Hᵤд = (Kд² kᵤд² – 1) / [Kд²(kᵤд² – 1)].	(1.32)</w:t>
      </w:r>
    </w:p>
    <w:p>
      <w:pPr>
        <w:spacing w:after="80" w:before="0" w:line="276"/>
        <w:ind w:firstLine="720"/>
        <w:jc w:val="both"/>
      </w:pPr>
      <w:r>
        <w:rPr>
          <w:rFonts w:ascii="Times New Roman" w:cs="Times New Roman" w:eastAsia="Times New Roman" w:hAnsi="Times New Roman"/>
          <w:sz w:val="24"/>
          <w:szCs w:val="24"/>
        </w:rPr>
        <w:t xml:space="preserve">Для Kд = 3 зависимость (1.32) представлена в табл. 1.1.</w:t>
      </w:r>
    </w:p>
    <w:p>
      <w:pPr>
        <w:spacing w:after="80" w:before="0" w:line="276"/>
        <w:jc w:val="center"/>
      </w:pPr>
      <w:r>
        <w:rPr>
          <w:rFonts w:ascii="Times New Roman" w:cs="Times New Roman" w:eastAsia="Times New Roman" w:hAnsi="Times New Roman"/>
          <w:sz w:val="24"/>
          <w:szCs w:val="24"/>
        </w:rPr>
        <w:t xml:space="preserve">
	Таблица 1.1
kᵤд:	3	2	√2	1,2
Hᵤд:	1,1	1,3	1,9	3,0
</w:t>
      </w:r>
    </w:p>
    <w:p>
      <w:pPr>
        <w:spacing w:after="80" w:before="0" w:line="276"/>
        <w:ind w:firstLine="720"/>
        <w:jc w:val="both"/>
      </w:pPr>
      <w:r>
        <w:rPr>
          <w:rFonts w:ascii="Times New Roman" w:cs="Times New Roman" w:eastAsia="Times New Roman" w:hAnsi="Times New Roman"/>
          <w:sz w:val="24"/>
          <w:szCs w:val="24"/>
        </w:rPr>
        <w:t xml:space="preserve">Определим оптимальное значение коэффициента включения антенной цепи в контур входной цепи. Для этого подставим в (1.10) значение p₁ = M/L (рис. 1.5, в) и, с учетом (1.28), получим:</w:t>
      </w:r>
    </w:p>
    <w:p>
      <w:pPr>
        <w:spacing w:after="80" w:before="0" w:line="276"/>
        <w:jc w:val="center"/>
      </w:pPr>
      <w:r>
        <w:rPr>
          <w:rFonts w:ascii="Times New Roman" w:cs="Times New Roman" w:eastAsia="Times New Roman" w:hAnsi="Times New Roman"/>
          <w:sz w:val="24"/>
          <w:szCs w:val="24"/>
        </w:rPr>
        <w:t xml:space="preserve">p₁opt = (M/L)opt = ωсLсв(1 – fА²/fс²) · √[(g+G₂)/rА’].	(1.33)</w:t>
      </w:r>
    </w:p>
    <w:p>
      <w:pPr>
        <w:spacing w:after="80" w:before="0" w:line="276"/>
        <w:ind w:firstLine="720"/>
        <w:jc w:val="both"/>
      </w:pPr>
      <w:r>
        <w:rPr>
          <w:rFonts w:ascii="Times New Roman" w:cs="Times New Roman" w:eastAsia="Times New Roman" w:hAnsi="Times New Roman"/>
          <w:sz w:val="24"/>
          <w:szCs w:val="24"/>
        </w:rPr>
        <w:t xml:space="preserve">Отсюда, учитывая (1.29), имеем:</w:t>
      </w:r>
    </w:p>
    <w:p>
      <w:pPr>
        <w:spacing w:after="80" w:before="0" w:line="276"/>
        <w:jc w:val="center"/>
      </w:pPr>
      <w:r>
        <w:rPr>
          <w:rFonts w:ascii="Times New Roman" w:cs="Times New Roman" w:eastAsia="Times New Roman" w:hAnsi="Times New Roman"/>
          <w:sz w:val="24"/>
          <w:szCs w:val="24"/>
        </w:rPr>
        <w:t xml:space="preserve">kсвopt = (1 – fА²/fс²) · √(δ’/δ’A),	(1.34)</w:t>
      </w:r>
    </w:p>
    <w:p>
      <w:pPr>
        <w:spacing w:after="80" w:before="0" w:line="276"/>
        <w:jc w:val="both"/>
      </w:pPr>
      <w:r>
        <w:rPr>
          <w:rFonts w:ascii="Times New Roman" w:cs="Times New Roman" w:eastAsia="Times New Roman" w:hAnsi="Times New Roman"/>
          <w:sz w:val="24"/>
          <w:szCs w:val="24"/>
        </w:rPr>
        <w:t xml:space="preserve">где δ’ = (G₂ + g)ωL – затухание контура входной цепи с учетом шунтирования его входной проводимостью первого каскада; δ’A = rА’/(ωLсв) – эквивалентное затухание полной антенной цепи.</w:t>
      </w:r>
    </w:p>
    <w:p>
      <w:pPr>
        <w:spacing w:after="80" w:before="0" w:line="276"/>
        <w:ind w:firstLine="720"/>
        <w:jc w:val="both"/>
      </w:pPr>
      <w:r>
        <w:rPr>
          <w:rFonts w:ascii="Times New Roman" w:cs="Times New Roman" w:eastAsia="Times New Roman" w:hAnsi="Times New Roman"/>
          <w:sz w:val="24"/>
          <w:szCs w:val="24"/>
        </w:rPr>
        <w:t xml:space="preserve">Из формулы (1.34) следует, что даже при постоянных величинах δ’ и δ’A оптимальный коэффициент связи существенно зависит от частоты, особенно при fА &gt; fсmax. Для случая fА &lt; fсmin эта зависимость выражена слабее, что также способствует наибольшему распространению на практике случая fА &lt; fсmin. Обычно выбирают fА ≈ (0,5–0,7)fсmin.</w:t>
      </w:r>
    </w:p>
    <w:p>
      <w:pPr>
        <w:pStyle w:val="Heading3"/>
        <w:spacing w:after="140" w:before="180"/>
        <w:jc w:val="center"/>
      </w:pPr>
      <w:r>
        <w:rPr>
          <w:rFonts w:ascii="Arial" w:cs="Arial" w:eastAsia="Arial" w:hAnsi="Arial"/>
          <w:b/>
          <w:bCs/>
          <w:color w:val="2E75B6"/>
          <w:sz w:val="24"/>
          <w:szCs w:val="24"/>
        </w:rPr>
        <w:t xml:space="preserve">1.6.3. Входная цепь с комбинированной связью</w:t>
      </w:r>
    </w:p>
    <w:p>
      <w:pPr>
        <w:spacing w:after="80" w:before="0" w:line="276"/>
        <w:ind w:firstLine="720"/>
        <w:jc w:val="both"/>
      </w:pPr>
      <w:r>
        <w:rPr>
          <w:rFonts w:ascii="Times New Roman" w:cs="Times New Roman" w:eastAsia="Times New Roman" w:hAnsi="Times New Roman"/>
          <w:sz w:val="24"/>
          <w:szCs w:val="24"/>
        </w:rPr>
        <w:t xml:space="preserve">На схеме, представленной на рис. 1.5, г, для компенсации неравномерности коэффициента передачи, обусловленной емкостной связью входного контура с антенной, применена дополнительная индуктивная связь антенны с входным контуром. Очевидно, в этой схеме антенный контур должен работать в режиме удлинения. Напряжение на входном контуре создается двумя цепями связи: через конденсатор Cсв и за счет взаимоиндуктивности M. Если обеспечить соответствующее взаимное фазирование колебаний (выбором направления намоток катушек L и Lсв), то они будут суммироваться (рис. 1.11). Напряжение на входном контуре, создаваемое через Cсв, возрастает с ростом частоты, а, следовательно, возрастает и резонансный коэффициент передачи (а – на рис. 1.11). Напряжение на входном контуре, создаваемое за счет взаимоиндукции, с ростом частоты убывает, поэтому убывает и резонансный коэффициент передачи (б – на рис. 1.11). Суммарный же резонансный коэффициент передачи изменяется незначительно (с – на рис. 1.11).</w:t>
      </w:r>
    </w:p>
    <w:p>
      <w:pPr>
        <w:spacing w:after="80" w:before="120"/>
        <w:jc w:val="center"/>
      </w:pPr>
      <w:r>
        <w:drawing>
          <wp:inline distT="0" distB="0" distL="0" distR="0">
            <wp:extent cx="4124325" cy="20383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24325" cy="20383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1.11. Зависимость резонансного коэффициента передачи входной цепи от частоты настройки при комбинированной связи</w:t>
      </w:r>
    </w:p>
    <w:p>
      <w:pPr>
        <w:spacing w:after="80" w:before="0" w:line="276"/>
        <w:ind w:firstLine="720"/>
        <w:jc w:val="both"/>
      </w:pPr>
      <w:r>
        <w:rPr>
          <w:rFonts w:ascii="Times New Roman" w:cs="Times New Roman" w:eastAsia="Times New Roman" w:hAnsi="Times New Roman"/>
          <w:sz w:val="24"/>
          <w:szCs w:val="24"/>
        </w:rPr>
        <w:t xml:space="preserve">Таким образом, для правильного выбора коэффициента связи между ненастроенной антенной и контуром входной цепи с переменной настройкой необходимо, чтобы коэффициент связи не превышал: своего оптимального значения, так как в противном случае сильно увеличивается эквивалентное затухание контура входной цепи; величины, определяемой допустимой расстройкой входного контура антенной; конструктивно достижимой величины при данном виде связи и выбранной конструкции элементов, ее осуществляющих.</w:t>
      </w:r>
    </w:p>
    <w:p>
      <w:pPr>
        <w:spacing w:after="80" w:before="0" w:line="276"/>
        <w:ind w:firstLine="720"/>
        <w:jc w:val="both"/>
      </w:pPr>
      <w:r>
        <w:rPr>
          <w:rFonts w:ascii="Times New Roman" w:cs="Times New Roman" w:eastAsia="Times New Roman" w:hAnsi="Times New Roman"/>
          <w:sz w:val="24"/>
          <w:szCs w:val="24"/>
        </w:rPr>
        <w:t xml:space="preserve">Аналогичными соображениями необходимо руководствоваться при выборе величины связи входного контура с последующим усилительным или преобразовательным каскадом.</w:t>
      </w:r>
    </w:p>
    <w:p>
      <w:pPr>
        <w:pBdr>
          <w:bottom w:val="single" w:color="1F5C99" w:sz="6" w:space="1"/>
        </w:pBdr>
        <w:spacing w:after="120" w:before="120"/>
      </w:pPr>
    </w:p>
    <w:p>
      <w:pPr>
        <w:pStyle w:val="Heading1"/>
        <w:spacing w:after="200" w:before="240"/>
        <w:jc w:val="center"/>
      </w:pPr>
      <w:r>
        <w:rPr>
          <w:rFonts w:ascii="Arial" w:cs="Arial" w:eastAsia="Arial" w:hAnsi="Arial"/>
          <w:b/>
          <w:bCs/>
          <w:color w:val="1F5C99"/>
          <w:sz w:val="28"/>
          <w:szCs w:val="28"/>
        </w:rPr>
        <w:t xml:space="preserve">Лабораторная работа. Входная цепь</w:t>
      </w:r>
    </w:p>
    <w:p>
      <w:pPr>
        <w:spacing w:after="80" w:before="0" w:line="276"/>
        <w:ind w:firstLine="720"/>
        <w:jc w:val="both"/>
      </w:pPr>
      <w:r>
        <w:rPr>
          <w:rFonts w:ascii="Times New Roman" w:cs="Times New Roman" w:eastAsia="Times New Roman" w:hAnsi="Times New Roman"/>
          <w:b/>
          <w:bCs/>
          <w:sz w:val="24"/>
          <w:szCs w:val="24"/>
        </w:rPr>
        <w:t xml:space="preserve">Цель работы:</w:t>
      </w:r>
      <w:r>
        <w:rPr>
          <w:rFonts w:ascii="Times New Roman" w:cs="Times New Roman" w:eastAsia="Times New Roman" w:hAnsi="Times New Roman"/>
          <w:sz w:val="24"/>
          <w:szCs w:val="24"/>
        </w:rPr>
        <w:t xml:space="preserve"> экспериментальное исследование и моделирование работающих в диапазоне сотен килогерц – единиц мегагерц одноконтурных входных цепей с ненастроенной антенной и электронной перестройкой собственной частоты контура, выполненных по следующим схемам:</w:t>
      </w:r>
    </w:p>
    <w:p>
      <w:pPr>
        <w:pStyle w:val="ListParagraph"/>
        <w:numPr>
          <w:ilvl w:val="0"/>
          <w:numId w:val="2"/>
        </w:numPr>
        <w:spacing w:after="60" w:before="0" w:line="276"/>
      </w:pPr>
      <w:r>
        <w:rPr>
          <w:rFonts w:ascii="Times New Roman" w:cs="Times New Roman" w:eastAsia="Times New Roman" w:hAnsi="Times New Roman"/>
          <w:sz w:val="24"/>
          <w:szCs w:val="24"/>
        </w:rPr>
        <w:t xml:space="preserve">с внешнеемкостной связью;</w:t>
      </w:r>
    </w:p>
    <w:p>
      <w:pPr>
        <w:pStyle w:val="ListParagraph"/>
        <w:numPr>
          <w:ilvl w:val="0"/>
          <w:numId w:val="2"/>
        </w:numPr>
        <w:spacing w:after="60" w:before="0" w:line="276"/>
      </w:pPr>
      <w:r>
        <w:rPr>
          <w:rFonts w:ascii="Times New Roman" w:cs="Times New Roman" w:eastAsia="Times New Roman" w:hAnsi="Times New Roman"/>
          <w:sz w:val="24"/>
          <w:szCs w:val="24"/>
        </w:rPr>
        <w:t xml:space="preserve">индуктивной связью антенны с контуром (в режиме удлинения);</w:t>
      </w:r>
    </w:p>
    <w:p>
      <w:pPr>
        <w:pStyle w:val="ListParagraph"/>
        <w:numPr>
          <w:ilvl w:val="0"/>
          <w:numId w:val="2"/>
        </w:numPr>
        <w:spacing w:after="60" w:before="0" w:line="276"/>
      </w:pPr>
      <w:r>
        <w:rPr>
          <w:rFonts w:ascii="Times New Roman" w:cs="Times New Roman" w:eastAsia="Times New Roman" w:hAnsi="Times New Roman"/>
          <w:sz w:val="24"/>
          <w:szCs w:val="24"/>
        </w:rPr>
        <w:t xml:space="preserve">комбинированной связью.</w:t>
      </w:r>
    </w:p>
    <w:p>
      <w:pPr>
        <w:pStyle w:val="Heading3"/>
        <w:spacing w:after="140" w:before="180"/>
        <w:jc w:val="center"/>
      </w:pPr>
      <w:r>
        <w:rPr>
          <w:rFonts w:ascii="Arial" w:cs="Arial" w:eastAsia="Arial" w:hAnsi="Arial"/>
          <w:b/>
          <w:bCs/>
          <w:color w:val="2E75B6"/>
          <w:sz w:val="24"/>
          <w:szCs w:val="24"/>
        </w:rPr>
        <w:t xml:space="preserve">Описание лабораторной установки</w:t>
      </w:r>
    </w:p>
    <w:p>
      <w:pPr>
        <w:spacing w:after="80" w:before="0" w:line="276"/>
        <w:ind w:firstLine="720"/>
        <w:jc w:val="both"/>
      </w:pPr>
      <w:r>
        <w:rPr>
          <w:rFonts w:ascii="Times New Roman" w:cs="Times New Roman" w:eastAsia="Times New Roman" w:hAnsi="Times New Roman"/>
          <w:sz w:val="24"/>
          <w:szCs w:val="24"/>
        </w:rPr>
        <w:t xml:space="preserve">Лабораторная установка предназначена для экспериментальных исследований в автономном режиме и режиме работы с внешними измерительными приборами.</w:t>
      </w:r>
    </w:p>
    <w:p>
      <w:pPr>
        <w:spacing w:after="80" w:before="120"/>
        <w:jc w:val="center"/>
      </w:pPr>
      <w:r>
        <w:drawing>
          <wp:inline distT="0" distB="0" distL="0" distR="0">
            <wp:extent cx="5076825" cy="33051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76825" cy="33051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Рис. 1.12. Вид лицевой панели</w:t>
      </w:r>
    </w:p>
    <w:p>
      <w:pPr>
        <w:spacing w:after="80" w:before="0" w:line="276"/>
        <w:ind w:firstLine="720"/>
        <w:jc w:val="both"/>
      </w:pPr>
      <w:r>
        <w:rPr>
          <w:rFonts w:ascii="Times New Roman" w:cs="Times New Roman" w:eastAsia="Times New Roman" w:hAnsi="Times New Roman"/>
          <w:sz w:val="24"/>
          <w:szCs w:val="24"/>
        </w:rPr>
        <w:t xml:space="preserve">Вид лицевой панели лабораторной установки приведен на рис. 1.12. На левом верхнем поле изображена функциональная схема установки. На нижнем поле расположена панель ручного управления с переключателями режимов работы, на правом поле – цифробуквенный дисплей с кнопками управления.</w:t>
      </w:r>
    </w:p>
    <w:p>
      <w:pPr>
        <w:pStyle w:val="Heading3"/>
        <w:spacing w:after="140" w:before="180"/>
        <w:jc w:val="center"/>
      </w:pPr>
      <w:r>
        <w:rPr>
          <w:rFonts w:ascii="Arial" w:cs="Arial" w:eastAsia="Arial" w:hAnsi="Arial"/>
          <w:b/>
          <w:bCs/>
          <w:color w:val="2E75B6"/>
          <w:sz w:val="24"/>
          <w:szCs w:val="24"/>
        </w:rPr>
        <w:t xml:space="preserve">Состав установки</w:t>
      </w:r>
    </w:p>
    <w:p>
      <w:pPr>
        <w:spacing w:after="80" w:before="0" w:line="276"/>
        <w:ind w:firstLine="720"/>
        <w:jc w:val="both"/>
      </w:pPr>
      <w:r>
        <w:rPr>
          <w:rFonts w:ascii="Times New Roman" w:cs="Times New Roman" w:eastAsia="Times New Roman" w:hAnsi="Times New Roman"/>
          <w:sz w:val="24"/>
          <w:szCs w:val="24"/>
        </w:rPr>
        <w:t xml:space="preserve">Лабораторная установка состоит из генератора входного сигнала «G», эквивалента антенны, коммутируемой схемы входной цепи с настраиваемым контуром и выходным буферным усилителем К.</w:t>
      </w:r>
    </w:p>
    <w:p>
      <w:pPr>
        <w:spacing w:after="80" w:before="0" w:line="276"/>
        <w:ind w:firstLine="720"/>
        <w:jc w:val="both"/>
      </w:pPr>
      <w:r>
        <w:rPr>
          <w:rFonts w:ascii="Times New Roman" w:cs="Times New Roman" w:eastAsia="Times New Roman" w:hAnsi="Times New Roman"/>
          <w:sz w:val="24"/>
          <w:szCs w:val="24"/>
        </w:rPr>
        <w:t xml:space="preserve">Генератор входного сигнала формирует сигнал с регулируемой частотой. Частота fс изменяется в диапазоне 250–2000 кГц.</w:t>
      </w:r>
    </w:p>
    <w:p>
      <w:pPr>
        <w:spacing w:after="80" w:before="0" w:line="276"/>
        <w:ind w:firstLine="720"/>
        <w:jc w:val="both"/>
      </w:pPr>
      <w:r>
        <w:rPr>
          <w:rFonts w:ascii="Times New Roman" w:cs="Times New Roman" w:eastAsia="Times New Roman" w:hAnsi="Times New Roman"/>
          <w:sz w:val="24"/>
          <w:szCs w:val="24"/>
        </w:rPr>
        <w:t xml:space="preserve">Входная цепь содержит:</w:t>
      </w:r>
    </w:p>
    <w:p>
      <w:pPr>
        <w:pStyle w:val="ListParagraph"/>
        <w:numPr>
          <w:ilvl w:val="0"/>
          <w:numId w:val="2"/>
        </w:numPr>
        <w:spacing w:after="60" w:before="0" w:line="276"/>
      </w:pPr>
      <w:r>
        <w:rPr>
          <w:rFonts w:ascii="Times New Roman" w:cs="Times New Roman" w:eastAsia="Times New Roman" w:hAnsi="Times New Roman"/>
          <w:sz w:val="24"/>
          <w:szCs w:val="24"/>
        </w:rPr>
        <w:t xml:space="preserve">конденсаторы внешнеемкостной связи С1, С2, С3 (С1 &lt; С2 &lt; С3);</w:t>
      </w:r>
    </w:p>
    <w:p>
      <w:pPr>
        <w:pStyle w:val="ListParagraph"/>
        <w:numPr>
          <w:ilvl w:val="0"/>
          <w:numId w:val="2"/>
        </w:numPr>
        <w:spacing w:after="60" w:before="0" w:line="276"/>
      </w:pPr>
      <w:r>
        <w:rPr>
          <w:rFonts w:ascii="Times New Roman" w:cs="Times New Roman" w:eastAsia="Times New Roman" w:hAnsi="Times New Roman"/>
          <w:sz w:val="24"/>
          <w:szCs w:val="24"/>
        </w:rPr>
        <w:t xml:space="preserve">индуктивность связи;</w:t>
      </w:r>
    </w:p>
    <w:p>
      <w:pPr>
        <w:pStyle w:val="ListParagraph"/>
        <w:numPr>
          <w:ilvl w:val="0"/>
          <w:numId w:val="2"/>
        </w:numPr>
        <w:spacing w:after="60" w:before="0" w:line="276"/>
      </w:pPr>
      <w:r>
        <w:rPr>
          <w:rFonts w:ascii="Times New Roman" w:cs="Times New Roman" w:eastAsia="Times New Roman" w:hAnsi="Times New Roman"/>
          <w:sz w:val="24"/>
          <w:szCs w:val="24"/>
        </w:rPr>
        <w:t xml:space="preserve">входной контур;</w:t>
      </w:r>
    </w:p>
    <w:p>
      <w:pPr>
        <w:pStyle w:val="ListParagraph"/>
        <w:numPr>
          <w:ilvl w:val="0"/>
          <w:numId w:val="2"/>
        </w:numPr>
        <w:spacing w:after="60" w:before="0" w:line="276"/>
      </w:pPr>
      <w:r>
        <w:rPr>
          <w:rFonts w:ascii="Times New Roman" w:cs="Times New Roman" w:eastAsia="Times New Roman" w:hAnsi="Times New Roman"/>
          <w:sz w:val="24"/>
          <w:szCs w:val="24"/>
        </w:rPr>
        <w:t xml:space="preserve">варикап V, предназначенный для настройки входного контура.</w:t>
      </w:r>
    </w:p>
    <w:p>
      <w:pPr>
        <w:pStyle w:val="Heading3"/>
        <w:spacing w:after="140" w:before="180"/>
        <w:jc w:val="center"/>
      </w:pPr>
      <w:r>
        <w:rPr>
          <w:rFonts w:ascii="Arial" w:cs="Arial" w:eastAsia="Arial" w:hAnsi="Arial"/>
          <w:b/>
          <w:bCs/>
          <w:color w:val="2E75B6"/>
          <w:sz w:val="24"/>
          <w:szCs w:val="24"/>
        </w:rPr>
        <w:t xml:space="preserve">Панель ручного управления</w:t>
      </w:r>
    </w:p>
    <w:p>
      <w:pPr>
        <w:spacing w:after="80" w:before="0" w:line="276"/>
        <w:ind w:firstLine="720"/>
        <w:jc w:val="both"/>
      </w:pPr>
      <w:r>
        <w:rPr>
          <w:rFonts w:ascii="Times New Roman" w:cs="Times New Roman" w:eastAsia="Times New Roman" w:hAnsi="Times New Roman"/>
          <w:sz w:val="24"/>
          <w:szCs w:val="24"/>
        </w:rPr>
        <w:t xml:space="preserve">Панель ручного управления состоит из трех полей.</w:t>
      </w:r>
    </w:p>
    <w:p>
      <w:pPr>
        <w:spacing w:after="80" w:before="0" w:line="276"/>
        <w:ind w:firstLine="720"/>
        <w:jc w:val="both"/>
      </w:pPr>
      <w:r>
        <w:rPr>
          <w:rFonts w:ascii="Times New Roman" w:cs="Times New Roman" w:eastAsia="Times New Roman" w:hAnsi="Times New Roman"/>
          <w:sz w:val="24"/>
          <w:szCs w:val="24"/>
        </w:rPr>
        <w:t xml:space="preserve">В поле «ГВЧ» (генератор высокочастотного сигнала uс) расположены:</w:t>
      </w:r>
    </w:p>
    <w:p>
      <w:pPr>
        <w:pStyle w:val="ListParagraph"/>
        <w:numPr>
          <w:ilvl w:val="0"/>
          <w:numId w:val="2"/>
        </w:numPr>
        <w:spacing w:after="60" w:before="0" w:line="276"/>
      </w:pPr>
      <w:r>
        <w:rPr>
          <w:rFonts w:ascii="Times New Roman" w:cs="Times New Roman" w:eastAsia="Times New Roman" w:hAnsi="Times New Roman"/>
          <w:sz w:val="24"/>
          <w:szCs w:val="24"/>
        </w:rPr>
        <w:t xml:space="preserve">«ДИАПАЗОН» – кнопка переключения диапазона регулировки частоты: fmin…fср; fmin…fmax; fср…fmax;</w:t>
      </w:r>
    </w:p>
    <w:p>
      <w:pPr>
        <w:pStyle w:val="ListParagraph"/>
        <w:numPr>
          <w:ilvl w:val="0"/>
          <w:numId w:val="2"/>
        </w:numPr>
        <w:spacing w:after="60" w:before="0" w:line="276"/>
      </w:pPr>
      <w:r>
        <w:rPr>
          <w:rFonts w:ascii="Times New Roman" w:cs="Times New Roman" w:eastAsia="Times New Roman" w:hAnsi="Times New Roman"/>
          <w:sz w:val="24"/>
          <w:szCs w:val="24"/>
        </w:rPr>
        <w:t xml:space="preserve">«ЧАСТОТА» – потенциометр плавной регулировки частоты ГВЧ внутри диапазона.</w:t>
      </w:r>
    </w:p>
    <w:p>
      <w:pPr>
        <w:spacing w:after="80" w:before="0" w:line="276"/>
        <w:ind w:firstLine="720"/>
        <w:jc w:val="both"/>
      </w:pPr>
      <w:r>
        <w:rPr>
          <w:rFonts w:ascii="Times New Roman" w:cs="Times New Roman" w:eastAsia="Times New Roman" w:hAnsi="Times New Roman"/>
          <w:sz w:val="24"/>
          <w:szCs w:val="24"/>
        </w:rPr>
        <w:t xml:space="preserve">В поле «ВЦ» (входная цепь) находятся:</w:t>
      </w:r>
    </w:p>
    <w:p>
      <w:pPr>
        <w:pStyle w:val="ListParagraph"/>
        <w:numPr>
          <w:ilvl w:val="0"/>
          <w:numId w:val="2"/>
        </w:numPr>
        <w:spacing w:after="60" w:before="0" w:line="276"/>
      </w:pPr>
      <w:r>
        <w:rPr>
          <w:rFonts w:ascii="Times New Roman" w:cs="Times New Roman" w:eastAsia="Times New Roman" w:hAnsi="Times New Roman"/>
          <w:sz w:val="24"/>
          <w:szCs w:val="24"/>
        </w:rPr>
        <w:t xml:space="preserve">«НАСТРОЙКА» – потенциометр регулировки Uн (настройка контура входной цепи);</w:t>
      </w:r>
    </w:p>
    <w:p>
      <w:pPr>
        <w:pStyle w:val="ListParagraph"/>
        <w:numPr>
          <w:ilvl w:val="0"/>
          <w:numId w:val="2"/>
        </w:numPr>
        <w:spacing w:after="60" w:before="0" w:line="276"/>
      </w:pPr>
      <w:r>
        <w:rPr>
          <w:rFonts w:ascii="Times New Roman" w:cs="Times New Roman" w:eastAsia="Times New Roman" w:hAnsi="Times New Roman"/>
          <w:sz w:val="24"/>
          <w:szCs w:val="24"/>
        </w:rPr>
        <w:t xml:space="preserve">«СВЯЗЬ» – кнопки подключения элементов связи C1, C2, С3 и М.</w:t>
      </w:r>
    </w:p>
    <w:p>
      <w:pPr>
        <w:spacing w:after="80" w:before="0" w:line="276"/>
        <w:ind w:firstLine="720"/>
        <w:jc w:val="both"/>
      </w:pPr>
      <w:r>
        <w:rPr>
          <w:rFonts w:ascii="Times New Roman" w:cs="Times New Roman" w:eastAsia="Times New Roman" w:hAnsi="Times New Roman"/>
          <w:sz w:val="24"/>
          <w:szCs w:val="24"/>
        </w:rPr>
        <w:t xml:space="preserve">На задней стенке установки имеются контрольные выходы: «Вых 1» – напряжение выходного сигнала Uвых, «Вых 2» – входной сигнал (измерение частоты).</w:t>
      </w:r>
    </w:p>
    <w:p>
      <w:pPr>
        <w:pStyle w:val="Heading3"/>
        <w:spacing w:after="140" w:before="180"/>
        <w:jc w:val="center"/>
      </w:pPr>
      <w:r>
        <w:rPr>
          <w:rFonts w:ascii="Arial" w:cs="Arial" w:eastAsia="Arial" w:hAnsi="Arial"/>
          <w:b/>
          <w:bCs/>
          <w:color w:val="2E75B6"/>
          <w:sz w:val="24"/>
          <w:szCs w:val="24"/>
        </w:rPr>
        <w:t xml:space="preserve">Поле цифробуквенного дисплея</w:t>
      </w:r>
    </w:p>
    <w:p>
      <w:pPr>
        <w:spacing w:after="80" w:before="0" w:line="276"/>
        <w:ind w:firstLine="720"/>
        <w:jc w:val="both"/>
      </w:pPr>
      <w:r>
        <w:rPr>
          <w:rFonts w:ascii="Times New Roman" w:cs="Times New Roman" w:eastAsia="Times New Roman" w:hAnsi="Times New Roman"/>
          <w:sz w:val="24"/>
          <w:szCs w:val="24"/>
        </w:rPr>
        <w:t xml:space="preserve">На цифробуквенном дисплее отображаются измеряемые величины и номер пункта работы. Под дисплеем расположены следующие кнопки:</w:t>
      </w:r>
    </w:p>
    <w:p>
      <w:pPr>
        <w:pStyle w:val="ListParagraph"/>
        <w:numPr>
          <w:ilvl w:val="0"/>
          <w:numId w:val="2"/>
        </w:numPr>
        <w:spacing w:after="60" w:before="0" w:line="276"/>
      </w:pPr>
      <w:r>
        <w:rPr>
          <w:rFonts w:ascii="Times New Roman" w:cs="Times New Roman" w:eastAsia="Times New Roman" w:hAnsi="Times New Roman"/>
          <w:sz w:val="24"/>
          <w:szCs w:val="24"/>
        </w:rPr>
        <w:t xml:space="preserve">«&lt;&lt;» – кнопка перелистывания страниц с пунктами работы к началу;</w:t>
      </w:r>
    </w:p>
    <w:p>
      <w:pPr>
        <w:pStyle w:val="ListParagraph"/>
        <w:numPr>
          <w:ilvl w:val="0"/>
          <w:numId w:val="2"/>
        </w:numPr>
        <w:spacing w:after="60" w:before="0" w:line="276"/>
      </w:pPr>
      <w:r>
        <w:rPr>
          <w:rFonts w:ascii="Times New Roman" w:cs="Times New Roman" w:eastAsia="Times New Roman" w:hAnsi="Times New Roman"/>
          <w:sz w:val="24"/>
          <w:szCs w:val="24"/>
        </w:rPr>
        <w:t xml:space="preserve">«&gt;&gt;» – кнопка перелистывания страниц с пунктами работы к концу;</w:t>
      </w:r>
    </w:p>
    <w:p>
      <w:pPr>
        <w:pStyle w:val="ListParagraph"/>
        <w:numPr>
          <w:ilvl w:val="0"/>
          <w:numId w:val="2"/>
        </w:numPr>
        <w:spacing w:after="60" w:before="0" w:line="276"/>
      </w:pPr>
      <w:r>
        <w:rPr>
          <w:rFonts w:ascii="Times New Roman" w:cs="Times New Roman" w:eastAsia="Times New Roman" w:hAnsi="Times New Roman"/>
          <w:sz w:val="24"/>
          <w:szCs w:val="24"/>
        </w:rPr>
        <w:t xml:space="preserve">«Т» – кнопка сброса контроллера управления.</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Экспериментальные исследования</w:t>
      </w:r>
    </w:p>
    <w:p>
      <w:pPr>
        <w:spacing w:after="80" w:before="0" w:line="276"/>
        <w:ind w:firstLine="720"/>
        <w:jc w:val="both"/>
      </w:pPr>
      <w:r>
        <w:rPr>
          <w:rFonts w:ascii="Times New Roman" w:cs="Times New Roman" w:eastAsia="Times New Roman" w:hAnsi="Times New Roman"/>
          <w:sz w:val="24"/>
          <w:szCs w:val="24"/>
        </w:rPr>
        <w:t xml:space="preserve">Ознакомившись с описанием лабораторной установки и составив план проведения эксперимента, включить питание и саму установку нажатием кнопки «Вкл». Все переключения производятся с помощью кнопок на передней панели установки, включенное состояние кнопки индицируется светодиодом. Измерения выполняются встроенными приборами под управлением микроконтроллера, а результаты измерений выводятся на цифробуквенный дисплей, расположенный на лицевой панели. Выбор измеряемых величин и подключение их к дисплею производится кнопками выбора пункта лабораторной работы («&lt;&lt;», «&gt;&gt;»), расположенными вместе с кнопкой «сброс» («T») под цифробуквенным дисплеем. Лабораторная работа включает семь заданий.</w:t>
      </w:r>
    </w:p>
    <w:p>
      <w:pPr>
        <w:pStyle w:val="Heading3"/>
        <w:spacing w:after="140" w:before="180"/>
        <w:jc w:val="center"/>
      </w:pPr>
      <w:r>
        <w:rPr>
          <w:rFonts w:ascii="Arial" w:cs="Arial" w:eastAsia="Arial" w:hAnsi="Arial"/>
          <w:b/>
          <w:bCs/>
          <w:color w:val="2E75B6"/>
          <w:sz w:val="24"/>
          <w:szCs w:val="24"/>
        </w:rPr>
        <w:t xml:space="preserve">Задание 1. Исследование входной цепи с внешнеемкостной связью антенны с контуром</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выходного резонансного напряжения Uрез = (Uвых)max на выходе буферного усилителя К от частоты fс входного сигнала для трех значений емкости конденсатора связи: С1, С2 и С3.</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Измерения при значении емкости связи, равной С1: подключить С1; определить диапазон настройки входной цепи; измерить резонансное выходное напряжение в четырёх точках диапазона; результаты занести в таблицу.</w:t>
      </w:r>
    </w:p>
    <w:p>
      <w:pPr>
        <w:pStyle w:val="ListParagraph"/>
        <w:numPr>
          <w:ilvl w:val="0"/>
          <w:numId w:val="3"/>
        </w:numPr>
        <w:spacing w:after="60" w:before="0" w:line="276"/>
      </w:pPr>
      <w:r>
        <w:rPr>
          <w:rFonts w:ascii="Times New Roman" w:cs="Times New Roman" w:eastAsia="Times New Roman" w:hAnsi="Times New Roman"/>
          <w:sz w:val="24"/>
          <w:szCs w:val="24"/>
        </w:rPr>
        <w:t xml:space="preserve">Измерения при значении емкости связи, равной С2: подключить С2; провести измерения по методике п. 1; результаты занести в таблицу.</w:t>
      </w:r>
    </w:p>
    <w:p>
      <w:pPr>
        <w:pStyle w:val="ListParagraph"/>
        <w:numPr>
          <w:ilvl w:val="0"/>
          <w:numId w:val="3"/>
        </w:numPr>
        <w:spacing w:after="60" w:before="0" w:line="276"/>
      </w:pPr>
      <w:r>
        <w:rPr>
          <w:rFonts w:ascii="Times New Roman" w:cs="Times New Roman" w:eastAsia="Times New Roman" w:hAnsi="Times New Roman"/>
          <w:sz w:val="24"/>
          <w:szCs w:val="24"/>
        </w:rPr>
        <w:t xml:space="preserve">Измерения при значении емкости связи, равной С3: подключить С3; провести измерения по методике п. 1; результаты занести в таблицу.</w:t>
      </w:r>
    </w:p>
    <w:p>
      <w:pPr>
        <w:pStyle w:val="Heading3"/>
        <w:spacing w:after="140" w:before="180"/>
        <w:jc w:val="center"/>
      </w:pPr>
      <w:r>
        <w:rPr>
          <w:rFonts w:ascii="Arial" w:cs="Arial" w:eastAsia="Arial" w:hAnsi="Arial"/>
          <w:b/>
          <w:bCs/>
          <w:color w:val="2E75B6"/>
          <w:sz w:val="24"/>
          <w:szCs w:val="24"/>
        </w:rPr>
        <w:t xml:space="preserve">Задание 2. Исследование входной цепи с индуктивной связью антенны с контуром</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выходного резонансного напряжения Uрез на выходе буферного усилителя К от частоты fс входного сигнала для индуктивной связи.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индуктивную связь М.</w:t>
      </w:r>
    </w:p>
    <w:p>
      <w:pPr>
        <w:pStyle w:val="ListParagraph"/>
        <w:numPr>
          <w:ilvl w:val="0"/>
          <w:numId w:val="3"/>
        </w:numPr>
        <w:spacing w:after="60" w:before="0" w:line="276"/>
      </w:pPr>
      <w:r>
        <w:rPr>
          <w:rFonts w:ascii="Times New Roman" w:cs="Times New Roman" w:eastAsia="Times New Roman" w:hAnsi="Times New Roman"/>
          <w:sz w:val="24"/>
          <w:szCs w:val="24"/>
        </w:rPr>
        <w:t xml:space="preserve">Провести измерения по методике задания 1.</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занести в таблицу.</w:t>
      </w:r>
    </w:p>
    <w:p>
      <w:pPr>
        <w:pStyle w:val="Heading3"/>
        <w:spacing w:after="140" w:before="180"/>
        <w:jc w:val="center"/>
      </w:pPr>
      <w:r>
        <w:rPr>
          <w:rFonts w:ascii="Arial" w:cs="Arial" w:eastAsia="Arial" w:hAnsi="Arial"/>
          <w:b/>
          <w:bCs/>
          <w:color w:val="2E75B6"/>
          <w:sz w:val="24"/>
          <w:szCs w:val="24"/>
        </w:rPr>
        <w:t xml:space="preserve">Задание 3. Исследование входной цепи с комбинированной связью антенны с контуром</w:t>
      </w:r>
    </w:p>
    <w:p>
      <w:pPr>
        <w:spacing w:after="80" w:before="0" w:line="276"/>
        <w:ind w:firstLine="720"/>
        <w:jc w:val="both"/>
      </w:pPr>
      <w:r>
        <w:rPr>
          <w:rFonts w:ascii="Times New Roman" w:cs="Times New Roman" w:eastAsia="Times New Roman" w:hAnsi="Times New Roman"/>
          <w:sz w:val="24"/>
          <w:szCs w:val="24"/>
        </w:rPr>
        <w:t xml:space="preserve">Цель: получить зависимость выходного резонансного напряжения Uрез на выходе буферного усилителя К от частоты fс входного сигнала для комбинированной связи.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индуктивную связь М и С1.</w:t>
      </w:r>
    </w:p>
    <w:p>
      <w:pPr>
        <w:pStyle w:val="ListParagraph"/>
        <w:numPr>
          <w:ilvl w:val="0"/>
          <w:numId w:val="3"/>
        </w:numPr>
        <w:spacing w:after="60" w:before="0" w:line="276"/>
      </w:pPr>
      <w:r>
        <w:rPr>
          <w:rFonts w:ascii="Times New Roman" w:cs="Times New Roman" w:eastAsia="Times New Roman" w:hAnsi="Times New Roman"/>
          <w:sz w:val="24"/>
          <w:szCs w:val="24"/>
        </w:rPr>
        <w:t xml:space="preserve">Провести измерения по методике задания 1.</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занести в таблицу.</w:t>
      </w:r>
    </w:p>
    <w:p>
      <w:pPr>
        <w:pStyle w:val="Heading3"/>
        <w:spacing w:after="140" w:before="180"/>
        <w:jc w:val="center"/>
      </w:pPr>
      <w:r>
        <w:rPr>
          <w:rFonts w:ascii="Arial" w:cs="Arial" w:eastAsia="Arial" w:hAnsi="Arial"/>
          <w:b/>
          <w:bCs/>
          <w:color w:val="2E75B6"/>
          <w:sz w:val="24"/>
          <w:szCs w:val="24"/>
        </w:rPr>
        <w:t xml:space="preserve">Задание 4. Измерение собственной резонансной частоты «удлинённой антенны» при индуктивной связи антенны с контуром</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индуктивную связь М.</w:t>
      </w:r>
    </w:p>
    <w:p>
      <w:pPr>
        <w:pStyle w:val="ListParagraph"/>
        <w:numPr>
          <w:ilvl w:val="0"/>
          <w:numId w:val="3"/>
        </w:numPr>
        <w:spacing w:after="60" w:before="0" w:line="276"/>
      </w:pPr>
      <w:r>
        <w:rPr>
          <w:rFonts w:ascii="Times New Roman" w:cs="Times New Roman" w:eastAsia="Times New Roman" w:hAnsi="Times New Roman"/>
          <w:sz w:val="24"/>
          <w:szCs w:val="24"/>
        </w:rPr>
        <w:t xml:space="preserve">Для меньшего влияния контура входной цепи отстроить его на максимальную частоту (потенциометр «НАСТРОЙКА» в крайнем правом положении). Уменьшая частоту входного сигнала fс, найти резонанс, расположенный ниже fсmin. Частота этого резонанса соответствует собственной частоте удлиненной антенны fА.</w:t>
      </w:r>
    </w:p>
    <w:p>
      <w:pPr>
        <w:pStyle w:val="Heading3"/>
        <w:spacing w:after="140" w:before="180"/>
        <w:jc w:val="center"/>
      </w:pPr>
      <w:r>
        <w:rPr>
          <w:rFonts w:ascii="Arial" w:cs="Arial" w:eastAsia="Arial" w:hAnsi="Arial"/>
          <w:b/>
          <w:bCs/>
          <w:color w:val="2E75B6"/>
          <w:sz w:val="24"/>
          <w:szCs w:val="24"/>
        </w:rPr>
        <w:t xml:space="preserve">Задание 5. Определение расстройки контура входной цепи, вносимой антенной, для внешнеемкостной связи</w:t>
      </w:r>
    </w:p>
    <w:p>
      <w:pPr>
        <w:spacing w:after="80" w:before="0" w:line="276"/>
        <w:ind w:firstLine="720"/>
        <w:jc w:val="both"/>
      </w:pPr>
      <w:r>
        <w:rPr>
          <w:rFonts w:ascii="Times New Roman" w:cs="Times New Roman" w:eastAsia="Times New Roman" w:hAnsi="Times New Roman"/>
          <w:sz w:val="24"/>
          <w:szCs w:val="24"/>
        </w:rPr>
        <w:t xml:space="preserve">Цель: определить расстройку в начале диапазона.</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С1.</w:t>
      </w:r>
    </w:p>
    <w:p>
      <w:pPr>
        <w:pStyle w:val="ListParagraph"/>
        <w:numPr>
          <w:ilvl w:val="0"/>
          <w:numId w:val="3"/>
        </w:numPr>
        <w:spacing w:after="60" w:before="0" w:line="276"/>
      </w:pPr>
      <w:r>
        <w:rPr>
          <w:rFonts w:ascii="Times New Roman" w:cs="Times New Roman" w:eastAsia="Times New Roman" w:hAnsi="Times New Roman"/>
          <w:sz w:val="24"/>
          <w:szCs w:val="24"/>
        </w:rPr>
        <w:t xml:space="preserve">Настроить входную цепь на начало диапазона. Изменяя частоту входного сигнала fс, добиться резонанса. Зафиксировать частоту настройки fс₁.</w:t>
      </w:r>
    </w:p>
    <w:p>
      <w:pPr>
        <w:pStyle w:val="ListParagraph"/>
        <w:numPr>
          <w:ilvl w:val="0"/>
          <w:numId w:val="3"/>
        </w:numPr>
        <w:spacing w:after="60" w:before="0" w:line="276"/>
      </w:pPr>
      <w:r>
        <w:rPr>
          <w:rFonts w:ascii="Times New Roman" w:cs="Times New Roman" w:eastAsia="Times New Roman" w:hAnsi="Times New Roman"/>
          <w:sz w:val="24"/>
          <w:szCs w:val="24"/>
        </w:rPr>
        <w:t xml:space="preserve">Не меняя настройки контура входной цепи, аналогичным образом зафиксировать резонансные частоты fс₂, fс₃ для С2 и С3. Определить вносимые расстройки Δfвн₂ = fс₁ – fс₂ и Δfвн₃ = fс₁ – fс₃.</w:t>
      </w:r>
    </w:p>
    <w:p>
      <w:pPr>
        <w:pStyle w:val="ListParagraph"/>
        <w:numPr>
          <w:ilvl w:val="0"/>
          <w:numId w:val="3"/>
        </w:numPr>
        <w:spacing w:after="60" w:before="0" w:line="276"/>
      </w:pPr>
      <w:r>
        <w:rPr>
          <w:rFonts w:ascii="Times New Roman" w:cs="Times New Roman" w:eastAsia="Times New Roman" w:hAnsi="Times New Roman"/>
          <w:sz w:val="24"/>
          <w:szCs w:val="24"/>
        </w:rPr>
        <w:t xml:space="preserve">Определить вносимые расстройки в конце диапазона по описанной выше методике.</w:t>
      </w:r>
    </w:p>
    <w:p>
      <w:pPr>
        <w:pStyle w:val="Heading3"/>
        <w:spacing w:after="140" w:before="180"/>
        <w:jc w:val="center"/>
      </w:pPr>
      <w:r>
        <w:rPr>
          <w:rFonts w:ascii="Arial" w:cs="Arial" w:eastAsia="Arial" w:hAnsi="Arial"/>
          <w:b/>
          <w:bCs/>
          <w:color w:val="2E75B6"/>
          <w:sz w:val="24"/>
          <w:szCs w:val="24"/>
        </w:rPr>
        <w:t xml:space="preserve">Задание 6. Снятие резонансных характеристик входной цепи для внешнеемкостной связи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С1.</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Получить зависимость выходного напряжения Uвых на выходе буферного усилителя К от частоты fс входного сигнала на минимальной и максимальной частотах диапазона настройки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занести в таблицу.</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Получить аналогичные зависимости для С2 и С3.</w:t>
      </w:r>
    </w:p>
    <w:p>
      <w:pPr>
        <w:pStyle w:val="Heading3"/>
        <w:spacing w:after="140" w:before="180"/>
        <w:jc w:val="center"/>
      </w:pPr>
      <w:r>
        <w:rPr>
          <w:rFonts w:ascii="Arial" w:cs="Arial" w:eastAsia="Arial" w:hAnsi="Arial"/>
          <w:b/>
          <w:bCs/>
          <w:color w:val="2E75B6"/>
          <w:sz w:val="24"/>
          <w:szCs w:val="24"/>
        </w:rPr>
        <w:t xml:space="preserve">Задание 7. Снятие резонансных характеристик входной цепи для индуктивной связи</w:t>
      </w:r>
    </w:p>
    <w:p>
      <w:pPr>
        <w:spacing w:after="80" w:before="0" w:line="276"/>
        <w:ind w:firstLine="720"/>
        <w:jc w:val="both"/>
      </w:pPr>
      <w:r>
        <w:rPr>
          <w:rFonts w:ascii="Times New Roman" w:cs="Times New Roman" w:eastAsia="Times New Roman" w:hAnsi="Times New Roman"/>
          <w:b/>
          <w:bCs/>
          <w:sz w:val="24"/>
          <w:szCs w:val="24"/>
        </w:rPr>
        <w:t xml:space="preserve">Порядок выполнения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Подключить М.</w:t>
      </w:r>
    </w:p>
    <w:p>
      <w:pPr>
        <w:pStyle w:val="ListParagraph"/>
        <w:numPr>
          <w:ilvl w:val="0"/>
          <w:numId w:val="3"/>
        </w:numPr>
        <w:spacing w:after="60" w:before="0" w:line="276"/>
      </w:pPr>
      <w:r>
        <w:rPr>
          <w:rFonts w:ascii="Times New Roman" w:cs="Times New Roman" w:eastAsia="Times New Roman" w:hAnsi="Times New Roman"/>
          <w:sz w:val="24"/>
          <w:szCs w:val="24"/>
        </w:rPr>
        <w:t xml:space="preserve">Снять резонансные характеристики по методике задания 6.</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Моделирование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Составить описания конкретной модели ВЦ (с внешнеемкостной связью, с индуктивной связью антенны с контуром, с комбинированной связью) в терминах и обозначениях, принятых в пакете OrCAD.</w:t>
      </w:r>
    </w:p>
    <w:p>
      <w:pPr>
        <w:pStyle w:val="ListParagraph"/>
        <w:numPr>
          <w:ilvl w:val="0"/>
          <w:numId w:val="3"/>
        </w:numPr>
        <w:spacing w:after="60" w:before="0" w:line="276"/>
      </w:pPr>
      <w:r>
        <w:rPr>
          <w:rFonts w:ascii="Times New Roman" w:cs="Times New Roman" w:eastAsia="Times New Roman" w:hAnsi="Times New Roman"/>
          <w:sz w:val="24"/>
          <w:szCs w:val="24"/>
        </w:rPr>
        <w:t xml:space="preserve">Задать исходные данные (амплитуда и частота входного сигнала и их возможные диапазоны изменений).</w:t>
      </w:r>
    </w:p>
    <w:p>
      <w:pPr>
        <w:pStyle w:val="ListParagraph"/>
        <w:numPr>
          <w:ilvl w:val="0"/>
          <w:numId w:val="3"/>
        </w:numPr>
        <w:spacing w:after="60" w:before="0" w:line="276"/>
      </w:pPr>
      <w:r>
        <w:rPr>
          <w:rFonts w:ascii="Times New Roman" w:cs="Times New Roman" w:eastAsia="Times New Roman" w:hAnsi="Times New Roman"/>
          <w:sz w:val="24"/>
          <w:szCs w:val="24"/>
        </w:rPr>
        <w:t xml:space="preserve">Задать требуемые выходные характеристики (резонансные характеристики и т. д.).</w:t>
      </w:r>
    </w:p>
    <w:p>
      <w:pPr>
        <w:pStyle w:val="ListParagraph"/>
        <w:numPr>
          <w:ilvl w:val="0"/>
          <w:numId w:val="3"/>
        </w:numPr>
        <w:spacing w:after="60" w:before="0" w:line="276"/>
      </w:pPr>
      <w:r>
        <w:rPr>
          <w:rFonts w:ascii="Times New Roman" w:cs="Times New Roman" w:eastAsia="Times New Roman" w:hAnsi="Times New Roman"/>
          <w:sz w:val="24"/>
          <w:szCs w:val="24"/>
        </w:rPr>
        <w:t xml:space="preserve">Выполнить задания (запуск программы, получение, проверка и корректировка результатов, копирование результатов в отчет по лабораторной работе).</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Содержание отчета</w:t>
      </w:r>
    </w:p>
    <w:p>
      <w:pPr>
        <w:pStyle w:val="ListParagraph"/>
        <w:numPr>
          <w:ilvl w:val="0"/>
          <w:numId w:val="3"/>
        </w:numPr>
        <w:spacing w:after="60" w:before="0" w:line="276"/>
      </w:pPr>
      <w:r>
        <w:rPr>
          <w:rFonts w:ascii="Times New Roman" w:cs="Times New Roman" w:eastAsia="Times New Roman" w:hAnsi="Times New Roman"/>
          <w:sz w:val="24"/>
          <w:szCs w:val="24"/>
        </w:rPr>
        <w:t xml:space="preserve">Наименование и цель работы.</w:t>
      </w:r>
    </w:p>
    <w:p>
      <w:pPr>
        <w:pStyle w:val="ListParagraph"/>
        <w:numPr>
          <w:ilvl w:val="0"/>
          <w:numId w:val="3"/>
        </w:numPr>
        <w:spacing w:after="60" w:before="0" w:line="276"/>
      </w:pPr>
      <w:r>
        <w:rPr>
          <w:rFonts w:ascii="Times New Roman" w:cs="Times New Roman" w:eastAsia="Times New Roman" w:hAnsi="Times New Roman"/>
          <w:sz w:val="24"/>
          <w:szCs w:val="24"/>
        </w:rPr>
        <w:t xml:space="preserve">Схемы исследуемых входных цепей.</w:t>
      </w:r>
    </w:p>
    <w:p>
      <w:pPr>
        <w:pStyle w:val="ListParagraph"/>
        <w:numPr>
          <w:ilvl w:val="0"/>
          <w:numId w:val="3"/>
        </w:numPr>
        <w:spacing w:after="60" w:before="0" w:line="276"/>
      </w:pPr>
      <w:r>
        <w:rPr>
          <w:rFonts w:ascii="Times New Roman" w:cs="Times New Roman" w:eastAsia="Times New Roman" w:hAnsi="Times New Roman"/>
          <w:sz w:val="24"/>
          <w:szCs w:val="24"/>
        </w:rPr>
        <w:t xml:space="preserve">Результаты измерений для трех видов связи антенны с контуром.</w:t>
      </w:r>
    </w:p>
    <w:p>
      <w:pPr>
        <w:spacing w:after="80" w:before="0" w:line="276"/>
        <w:jc w:val="both"/>
      </w:pPr>
      <w:r>
        <w:rPr>
          <w:rFonts w:ascii="Times New Roman" w:cs="Times New Roman" w:eastAsia="Times New Roman" w:hAnsi="Times New Roman"/>
          <w:sz w:val="24"/>
          <w:szCs w:val="24"/>
        </w:rPr>
        <w:t xml:space="preserve">3.1. Таблицы с результатами измерений, полученных при выполнении всех трех заданий.</w:t>
      </w:r>
    </w:p>
    <w:p>
      <w:pPr>
        <w:spacing w:after="80" w:before="0" w:line="276"/>
        <w:jc w:val="both"/>
      </w:pPr>
      <w:r>
        <w:rPr>
          <w:rFonts w:ascii="Times New Roman" w:cs="Times New Roman" w:eastAsia="Times New Roman" w:hAnsi="Times New Roman"/>
          <w:sz w:val="24"/>
          <w:szCs w:val="24"/>
        </w:rPr>
        <w:t xml:space="preserve">3.2. Расчетные величины нормированного коэффициента передачи Kᵤ₀ к минимальному значению (Kᵤ₀)min: ᴺKᵤ₀ / (Kᵤ₀)min = Uрез / (Uрез)min, где (Uрез)min – минимальное значение резонансного выходного напряжения в диапазоне настройки входной цепи для данного вида связи.</w:t>
      </w:r>
    </w:p>
    <w:p>
      <w:pPr>
        <w:spacing w:after="80" w:before="0" w:line="276"/>
        <w:jc w:val="both"/>
      </w:pPr>
      <w:r>
        <w:rPr>
          <w:rFonts w:ascii="Times New Roman" w:cs="Times New Roman" w:eastAsia="Times New Roman" w:hAnsi="Times New Roman"/>
          <w:sz w:val="24"/>
          <w:szCs w:val="24"/>
        </w:rPr>
        <w:t xml:space="preserve">3.3. Зависимости ᴺKᵤ₀/(Kᵤ₀)min = F(fс), построенные на одном графике для задания 1 и на другом графике для заданий 2 и 3.</w:t>
      </w:r>
    </w:p>
    <w:p>
      <w:pPr>
        <w:spacing w:after="80" w:before="0" w:line="276"/>
        <w:jc w:val="both"/>
      </w:pPr>
      <w:r>
        <w:rPr>
          <w:rFonts w:ascii="Times New Roman" w:cs="Times New Roman" w:eastAsia="Times New Roman" w:hAnsi="Times New Roman"/>
          <w:sz w:val="24"/>
          <w:szCs w:val="24"/>
        </w:rPr>
        <w:t xml:space="preserve">3.4. Результаты измерения собственной резонансной частоты fА (задание 4).</w:t>
      </w:r>
    </w:p>
    <w:p>
      <w:pPr>
        <w:spacing w:after="80" w:before="0" w:line="276"/>
        <w:jc w:val="both"/>
      </w:pPr>
      <w:r>
        <w:rPr>
          <w:rFonts w:ascii="Times New Roman" w:cs="Times New Roman" w:eastAsia="Times New Roman" w:hAnsi="Times New Roman"/>
          <w:sz w:val="24"/>
          <w:szCs w:val="24"/>
        </w:rPr>
        <w:t xml:space="preserve">3.5. Результаты измерения и расчета вносимой расстройки в начале и конце диапазона настройки входной цепи для С1, С2 и С3 (задание 5).</w:t>
      </w:r>
    </w:p>
    <w:p>
      <w:pPr>
        <w:spacing w:after="80" w:before="0" w:line="276"/>
        <w:jc w:val="both"/>
      </w:pPr>
      <w:r>
        <w:rPr>
          <w:rFonts w:ascii="Times New Roman" w:cs="Times New Roman" w:eastAsia="Times New Roman" w:hAnsi="Times New Roman"/>
          <w:sz w:val="24"/>
          <w:szCs w:val="24"/>
        </w:rPr>
        <w:t xml:space="preserve">3.6. Таблицы с результатами измерения резонансных характеристик, графики зависимостей Uвых/Uрез = F(fс – fрез) для заданий 6 и 7.</w:t>
      </w:r>
    </w:p>
    <w:p>
      <w:pPr>
        <w:pStyle w:val="ListParagraph"/>
        <w:numPr>
          <w:ilvl w:val="0"/>
          <w:numId w:val="3"/>
        </w:numPr>
        <w:spacing w:after="60" w:before="0" w:line="276"/>
      </w:pPr>
      <w:r>
        <w:rPr>
          <w:rFonts w:ascii="Times New Roman" w:cs="Times New Roman" w:eastAsia="Times New Roman" w:hAnsi="Times New Roman"/>
          <w:sz w:val="24"/>
          <w:szCs w:val="24"/>
        </w:rPr>
        <w:t xml:space="preserve">Анализ полученных результатов.</w:t>
      </w:r>
    </w:p>
    <w:p>
      <w:pPr>
        <w:pStyle w:val="ListParagraph"/>
        <w:numPr>
          <w:ilvl w:val="0"/>
          <w:numId w:val="3"/>
        </w:numPr>
        <w:spacing w:after="60" w:before="0" w:line="276"/>
      </w:pPr>
      <w:r>
        <w:rPr>
          <w:rFonts w:ascii="Times New Roman" w:cs="Times New Roman" w:eastAsia="Times New Roman" w:hAnsi="Times New Roman"/>
          <w:sz w:val="24"/>
          <w:szCs w:val="24"/>
        </w:rPr>
        <w:t xml:space="preserve">Выводы.</w:t>
      </w:r>
    </w:p>
    <w:p>
      <w:pPr>
        <w:spacing w:after="80" w:before="0" w:line="276"/>
        <w:jc w:val="both"/>
      </w:pPr>
      <w:r>
        <w:rPr>
          <w:rFonts w:ascii="Times New Roman" w:cs="Times New Roman" w:eastAsia="Times New Roman" w:hAnsi="Times New Roman"/>
          <w:sz w:val="24"/>
          <w:szCs w:val="24"/>
        </w:rPr>
        <w:t xml:space="preserve">Анализ полученных результатов моделирования (сравнение с данными экспериментального исследования аналогичных ВЦ, сравнение полученных характеристик между собой с формулированием вывода о достоинствах и недостатках каждой схемы ВЦ и т.д.).</w:t>
      </w:r>
    </w:p>
    <w:p>
      <w:pPr>
        <w:pBdr>
          <w:bottom w:val="single" w:color="1F5C99" w:sz="6" w:space="1"/>
        </w:pBdr>
        <w:spacing w:after="120" w:before="120"/>
      </w:pPr>
    </w:p>
    <w:p>
      <w:pPr>
        <w:pStyle w:val="Heading2"/>
        <w:spacing w:after="160" w:before="200"/>
        <w:jc w:val="center"/>
      </w:pPr>
      <w:r>
        <w:rPr>
          <w:rFonts w:ascii="Arial" w:cs="Arial" w:eastAsia="Arial" w:hAnsi="Arial"/>
          <w:b/>
          <w:bCs/>
          <w:color w:val="1F5C99"/>
          <w:sz w:val="26"/>
          <w:szCs w:val="26"/>
        </w:rPr>
        <w:t xml:space="preserve">Контрольные вопросы</w:t>
      </w:r>
    </w:p>
    <w:p>
      <w:pPr>
        <w:pStyle w:val="ListParagraph"/>
        <w:numPr>
          <w:ilvl w:val="0"/>
          <w:numId w:val="3"/>
        </w:numPr>
        <w:spacing w:after="60" w:before="0" w:line="276"/>
      </w:pPr>
      <w:r>
        <w:rPr>
          <w:rFonts w:ascii="Times New Roman" w:cs="Times New Roman" w:eastAsia="Times New Roman" w:hAnsi="Times New Roman"/>
          <w:sz w:val="24"/>
          <w:szCs w:val="24"/>
        </w:rPr>
        <w:t xml:space="preserve">Назначение, принцип работы и схемы входных цепей. Достоинства и недостатки различных вариантов схем.</w:t>
      </w:r>
    </w:p>
    <w:p>
      <w:pPr>
        <w:pStyle w:val="ListParagraph"/>
        <w:numPr>
          <w:ilvl w:val="0"/>
          <w:numId w:val="3"/>
        </w:numPr>
        <w:spacing w:after="60" w:before="0" w:line="276"/>
      </w:pPr>
      <w:r>
        <w:rPr>
          <w:rFonts w:ascii="Times New Roman" w:cs="Times New Roman" w:eastAsia="Times New Roman" w:hAnsi="Times New Roman"/>
          <w:sz w:val="24"/>
          <w:szCs w:val="24"/>
        </w:rPr>
        <w:t xml:space="preserve">Что представляет собой обобщенная эквивалентная схема одноконтурных входных цепей? Как, пользуясь обобщенной эквивалентной схемой, получить соотношение для определения резонансного коэффициента передачи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 определить избирательность входной цепи по зеркальному каналу и каналу прямого прохождения? Как рассчитать полосу пропускания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 определить коэффициент шума входной цепи? Какие меры следует предпринимать для уменьшения коэффициента шума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 определяются коэффициенты включения, обеспечивающие максимальный коэффициент передачи входной цепи? Как изменяются избирательные свойства входной цепи при выборе коэффициентов включения, обеспечивающих ее максимальный коэффициент передачи? Из каких соображений при проектировании входных цепей выбираются коэффициенты включения?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 определяются резонансные коэффициенты передачи входных цепей с внешнеемкостной и индуктивной связями контура с антенной? Какие режимы работы входной цепи с индуктивной связью целесообразно использовать на практике?</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Какие эффекты могут возникать во входных цепях, перестраиваемых с помощью варикапов? Что следует предпринимать для уменьшения влияния нелинейности характеристик варикапа?</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Какова методика измерения коэффициента передачи входной цепи?</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Какова методика измерения избирательности входной цепи по зеркальному каналу и каналу прямого прохождения?</w:t>
      </w:r>
    </w:p>
    <w:p>
      <w:pPr>
        <w:pStyle w:val="ListParagraph"/>
        <w:numPr>
          <w:ilvl w:val="0"/>
          <w:numId w:val="3"/>
        </w:numPr>
        <w:spacing w:after="60" w:before="0" w:line="276"/>
      </w:pPr>
      <w:r>
        <w:rPr>
          <w:rFonts w:ascii="Times New Roman" w:cs="Times New Roman" w:eastAsia="Times New Roman" w:hAnsi="Times New Roman"/>
          <w:sz w:val="24"/>
          <w:szCs w:val="24"/>
        </w:rPr>
        <w:t xml:space="preserve">Каковы принципы моделирования входных цепей? В чем преимущества и недостатки моделирования?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right"/>
    </w:pPr>
    <w:r>
      <w:rPr>
        <w:rFonts w:ascii="Arial" w:cs="Arial" w:eastAsia="Arial" w:hAnsi="Arial"/>
        <w:color w:val="666666"/>
        <w:sz w:val="18"/>
        <w:szCs w:val="18"/>
      </w:rPr>
      <w:t xml:space="preserve">УОС-04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pPr>
    <w:r>
      <w:rPr>
        <w:rFonts w:ascii="Arial" w:cs="Arial" w:eastAsia="Arial" w:hAnsi="Arial"/>
        <w:color w:val="666666"/>
        <w:sz w:val="18"/>
        <w:szCs w:val="18"/>
      </w:rPr>
      <w:t xml:space="preserve">Устройства приема и обработки сигналов. Лаб. практикум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e0b59d68b887c8865e17538ba6ff531e6604e1.png"/><Relationship Id="rId10" Type="http://schemas.openxmlformats.org/officeDocument/2006/relationships/image" Target="media/650548d7070e9e8202ba662c886d497a2bdb82d3.png"/><Relationship Id="rId11" Type="http://schemas.openxmlformats.org/officeDocument/2006/relationships/image" Target="media/4f6f1149e46a1626a53a70b418c69714d30d8d20.png"/><Relationship Id="rId12" Type="http://schemas.openxmlformats.org/officeDocument/2006/relationships/image" Target="media/3bf81668369990474265efdf63b684906311c991.png"/><Relationship Id="rId13" Type="http://schemas.openxmlformats.org/officeDocument/2006/relationships/image" Target="media/2a5f68b830d39e57261f997add2b8e162e66dd2e.png"/><Relationship Id="rId14" Type="http://schemas.openxmlformats.org/officeDocument/2006/relationships/image" Target="media/5a48f9d3da3b36be54a11cdeddcd67fb0ed9827d.png"/><Relationship Id="rId15" Type="http://schemas.openxmlformats.org/officeDocument/2006/relationships/image" Target="media/c7f3ab6af25d7f1ff5b73c08e96d81e568612220.png"/><Relationship Id="rId16" Type="http://schemas.openxmlformats.org/officeDocument/2006/relationships/image" Target="media/f28c71860b4379188f6889915149e4e1a1bc3035.png"/><Relationship Id="rId17" Type="http://schemas.openxmlformats.org/officeDocument/2006/relationships/image" Target="media/c893843db60dbf3556980056894f341fc3f802e8.png"/><Relationship Id="rId18" Type="http://schemas.openxmlformats.org/officeDocument/2006/relationships/image" Target="media/a25dfc8110a13ebe47d741a0e2ded3d6414899dc.png"/><Relationship Id="rId19" Type="http://schemas.openxmlformats.org/officeDocument/2006/relationships/image" Target="media/7b37e68f6b3d5726875a5eee642828afb3a19c8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2026-05-14T06:47:58.485Z</dcterms:created>
  <dcterms:modified xsi:type="dcterms:W3CDTF">2026-05-14T06:47:58.514Z</dcterms:modified>
</cp:coreProperties>
</file>

<file path=docProps/custom.xml><?xml version="1.0" encoding="utf-8"?>
<Properties xmlns="http://schemas.openxmlformats.org/officeDocument/2006/custom-properties" xmlns:vt="http://schemas.openxmlformats.org/officeDocument/2006/docPropsVTypes"/>
</file>