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rPr>
      </w:pPr>
      <w:r>
        <w:rPr>
          <w:rFonts w:cs="Times New Roman" w:ascii="Times New Roman" w:hAnsi="Times New Roman"/>
          <w:b/>
          <w:sz w:val="24"/>
          <w:szCs w:val="24"/>
        </w:rPr>
        <w:t>Appendix: Database description</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
        </w:numPr>
        <w:spacing w:lineRule="auto" w:line="240" w:before="0" w:after="0"/>
        <w:contextualSpacing/>
        <w:jc w:val="center"/>
        <w:rPr>
          <w:rFonts w:ascii="Times New Roman" w:hAnsi="Times New Roman" w:cs="Times New Roman"/>
          <w:sz w:val="24"/>
          <w:szCs w:val="24"/>
        </w:rPr>
      </w:pPr>
      <w:r>
        <w:rPr>
          <w:rFonts w:cs="Times New Roman" w:ascii="Times New Roman" w:hAnsi="Times New Roman"/>
          <w:sz w:val="24"/>
          <w:szCs w:val="24"/>
        </w:rPr>
        <w:t>Archival sources</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The archival sources are alumni lists, professional association membership lists, and corporate directories. The list of schools includes all major mining and metallurgical engineering programs in the United States with nearly comprehensive coverage from 1870-1915, as well as several major school programs in Mexico, England, Germany, and France. The two corporate directories include all significant mining and metallurgical firms in the Anglo-American sphere, operating in mining districts around the world. Full bibliographic citations are available on request. </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u w:val="single"/>
        </w:rPr>
      </w:pPr>
      <w:r>
        <w:rPr>
          <w:rFonts w:cs="Times New Roman" w:ascii="Times New Roman" w:hAnsi="Times New Roman"/>
          <w:b/>
          <w:bCs/>
          <w:sz w:val="24"/>
          <w:szCs w:val="24"/>
          <w:u w:val="single"/>
        </w:rPr>
        <w:t>Alumni lists</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Arizona, 1895-1915</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Camborne School of Mines (UK), 1898-1940</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 xml:space="preserve">Colorado School of Mines, 1883-1905 </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Columbia University, School of Mines, 1867-1929</w:t>
      </w:r>
    </w:p>
    <w:p>
      <w:pPr>
        <w:pStyle w:val="Normal"/>
        <w:ind w:hanging="360" w:left="360"/>
        <w:rPr>
          <w:rFonts w:ascii="Times New Roman" w:hAnsi="Times New Roman" w:cs="Times New Roman"/>
          <w:sz w:val="24"/>
          <w:szCs w:val="24"/>
          <w:lang w:val="es-MX"/>
        </w:rPr>
      </w:pPr>
      <w:r>
        <w:rPr>
          <w:rFonts w:cs="Times New Roman" w:ascii="Times New Roman" w:hAnsi="Times New Roman"/>
          <w:sz w:val="24"/>
          <w:szCs w:val="24"/>
          <w:lang w:val="es-MX"/>
        </w:rPr>
        <w:t>Escuela Nacional Ingenieros (Mexico), 1868-1905</w:t>
      </w:r>
    </w:p>
    <w:p>
      <w:pPr>
        <w:pStyle w:val="Normal"/>
        <w:ind w:hanging="360" w:left="360"/>
        <w:rPr>
          <w:rFonts w:ascii="Times New Roman" w:hAnsi="Times New Roman" w:cs="Times New Roman"/>
          <w:sz w:val="24"/>
          <w:szCs w:val="24"/>
          <w:lang w:val="es-MX"/>
        </w:rPr>
      </w:pPr>
      <w:r>
        <w:rPr>
          <w:rFonts w:cs="Times New Roman" w:ascii="Times New Roman" w:hAnsi="Times New Roman"/>
          <w:sz w:val="24"/>
          <w:szCs w:val="24"/>
          <w:lang w:val="es-MX"/>
        </w:rPr>
        <w:t>École National des Mines (France), 1871-1922</w:t>
      </w:r>
    </w:p>
    <w:p>
      <w:pPr>
        <w:pStyle w:val="Normal"/>
        <w:ind w:hanging="360" w:left="360"/>
        <w:rPr>
          <w:rFonts w:ascii="Times New Roman" w:hAnsi="Times New Roman" w:cs="Times New Roman"/>
          <w:sz w:val="24"/>
          <w:szCs w:val="24"/>
          <w:lang w:val="es-MX"/>
        </w:rPr>
      </w:pPr>
      <w:r>
        <w:rPr>
          <w:rFonts w:cs="Times New Roman" w:ascii="Times New Roman" w:hAnsi="Times New Roman"/>
          <w:sz w:val="24"/>
          <w:szCs w:val="24"/>
          <w:lang w:val="es-MX"/>
        </w:rPr>
        <w:t>École Nationale des Mines de Saint-Étienne (France), 1871-1922</w:t>
      </w:r>
    </w:p>
    <w:p>
      <w:pPr>
        <w:pStyle w:val="Normal"/>
        <w:ind w:hanging="360" w:left="360"/>
        <w:rPr>
          <w:rFonts w:ascii="Times New Roman" w:hAnsi="Times New Roman" w:cs="Times New Roman"/>
          <w:sz w:val="24"/>
          <w:szCs w:val="24"/>
          <w:lang w:val="es-MX"/>
        </w:rPr>
      </w:pPr>
      <w:r>
        <w:rPr>
          <w:rFonts w:cs="Times New Roman" w:ascii="Times New Roman" w:hAnsi="Times New Roman"/>
          <w:sz w:val="24"/>
          <w:szCs w:val="24"/>
          <w:lang w:val="es-MX"/>
        </w:rPr>
        <w:t>BergAkademie Freiberg (Germany), 1766-1939</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Harvard University, 1811-1919</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Lehigh University, 1874-1917</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 xml:space="preserve">Michigan College of Mines, </w:t>
        <w:tab/>
        <w:t>1888-1909</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Missouri School of Mines, 1874-1915</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MIT, 1861-1940</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Montana School of Mines, 1903-1925</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Pennsylvania State College, School of Mines, 1861-1916</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Royal School of Mines (UK), 1812-1920</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Stanford University, 1892-1899</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Minnesota, Minnesota School of Mines, 1902-1924</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Nevada, Mackay School of Mines, 1876-1917</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New Mexico, 1890-1921</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South Dakota, 1888-1915</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University of West Virginia, 1905-1919/20</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Worcester Polytechnic, 1871-1926</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 xml:space="preserve">Yale University, Sheffield Scientific School (Mining and Metallurgy), </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Total number of cells: 1,980,712</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Total number of individuals: 66591</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r>
    </w:p>
    <w:p>
      <w:pPr>
        <w:pStyle w:val="Normal"/>
        <w:ind w:hanging="360" w:left="360"/>
        <w:rPr>
          <w:rFonts w:ascii="Times New Roman" w:hAnsi="Times New Roman" w:cs="Times New Roman"/>
          <w:sz w:val="24"/>
          <w:szCs w:val="24"/>
        </w:rPr>
      </w:pPr>
      <w:r>
        <w:rPr>
          <w:rFonts w:cs="Times New Roman" w:ascii="Times New Roman" w:hAnsi="Times New Roman"/>
          <w:b/>
          <w:sz w:val="24"/>
          <w:szCs w:val="24"/>
          <w:u w:val="single"/>
        </w:rPr>
        <w:t>Professional Association – AIME</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American Institute of Mining Engineers. [members &amp; associates lists]</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ab/>
        <w:t>1873-1896, 1896, 1898-99, 1901-03, 1906, 1912</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t>Total number of cells: 289,548</w:t>
      </w:r>
    </w:p>
    <w:p>
      <w:pPr>
        <w:pStyle w:val="Normal"/>
        <w:ind w:hanging="360" w:left="360"/>
        <w:rPr>
          <w:rFonts w:ascii="Times New Roman" w:hAnsi="Times New Roman" w:cs="Times New Roman"/>
          <w:sz w:val="24"/>
          <w:szCs w:val="24"/>
        </w:rPr>
      </w:pPr>
      <w:r>
        <w:rPr>
          <w:rFonts w:cs="Times New Roman" w:ascii="Times New Roman" w:hAnsi="Times New Roman"/>
          <w:sz w:val="24"/>
          <w:szCs w:val="24"/>
        </w:rPr>
      </w:r>
    </w:p>
    <w:p>
      <w:pPr>
        <w:pStyle w:val="Normal"/>
        <w:ind w:hanging="360" w:left="360"/>
        <w:rPr>
          <w:rFonts w:ascii="Times New Roman" w:hAnsi="Times New Roman" w:cs="Times New Roman"/>
          <w:sz w:val="24"/>
          <w:szCs w:val="24"/>
        </w:rPr>
      </w:pPr>
      <w:r>
        <w:rPr>
          <w:rFonts w:cs="Times New Roman" w:ascii="Times New Roman" w:hAnsi="Times New Roman"/>
          <w:b/>
          <w:sz w:val="24"/>
          <w:szCs w:val="24"/>
          <w:u w:val="single"/>
        </w:rPr>
        <w:t>Corporate Directories</w:t>
      </w:r>
    </w:p>
    <w:p>
      <w:pPr>
        <w:pStyle w:val="Normal"/>
        <w:ind w:hanging="360" w:left="360"/>
        <w:rPr>
          <w:rFonts w:ascii="Times New Roman" w:hAnsi="Times New Roman" w:cs="Times New Roman"/>
          <w:sz w:val="24"/>
          <w:szCs w:val="24"/>
        </w:rPr>
      </w:pPr>
      <w:r>
        <w:rPr>
          <w:rFonts w:cs="Times New Roman" w:ascii="Times New Roman" w:hAnsi="Times New Roman"/>
          <w:sz w:val="24"/>
          <w:szCs w:val="24"/>
          <w:u w:val="single"/>
        </w:rPr>
        <w:t>American Mining Manual</w:t>
      </w:r>
      <w:r>
        <w:rPr>
          <w:rFonts w:cs="Times New Roman" w:ascii="Times New Roman" w:hAnsi="Times New Roman"/>
          <w:sz w:val="24"/>
          <w:szCs w:val="24"/>
        </w:rPr>
        <w:t xml:space="preserve"> (AMM; sometimes International Mining Manual), embracing the principal operating metal mines, mills, smelting &amp; refining plants of the United States, Mexico and Canada and coal mines of the western states, Mexico and Canada. Alexander R. Dunbar, ed. Denver: Western Mining Directory Co.: 1907, 1911, 1916, 1919, 1920, 1922 </w:t>
      </w:r>
    </w:p>
    <w:p>
      <w:pPr>
        <w:pStyle w:val="Normal"/>
        <w:ind w:hanging="360" w:left="360"/>
        <w:rPr>
          <w:rFonts w:ascii="Times New Roman" w:hAnsi="Times New Roman" w:cs="Times New Roman"/>
          <w:sz w:val="24"/>
          <w:szCs w:val="24"/>
        </w:rPr>
      </w:pPr>
      <w:r>
        <w:rPr>
          <w:rFonts w:cs="Times New Roman" w:ascii="Times New Roman" w:hAnsi="Times New Roman"/>
          <w:sz w:val="24"/>
          <w:szCs w:val="24"/>
          <w:u w:val="single"/>
        </w:rPr>
        <w:t>Mining Year Book</w:t>
      </w:r>
      <w:r>
        <w:rPr>
          <w:rFonts w:cs="Times New Roman" w:ascii="Times New Roman" w:hAnsi="Times New Roman"/>
          <w:sz w:val="24"/>
          <w:szCs w:val="24"/>
        </w:rPr>
        <w:t xml:space="preserve"> (MYB) containing full particulars of mining companies. Walter R. Skinner. London: The Financial Times: 1887-1889, 1891, 1893-1895, 1903, 1908-1923 </w:t>
      </w:r>
    </w:p>
    <w:p>
      <w:pPr>
        <w:pStyle w:val="Normal"/>
        <w:ind w:hanging="360" w:left="360"/>
        <w:rPr>
          <w:rFonts w:ascii="Times New Roman" w:hAnsi="Times New Roman" w:cs="Times New Roman"/>
          <w:sz w:val="24"/>
          <w:szCs w:val="24"/>
        </w:rPr>
      </w:pPr>
      <w:r>
        <w:rPr>
          <w:rFonts w:cs="Times New Roman" w:ascii="Times New Roman" w:hAnsi="Times New Roman"/>
          <w:sz w:val="24"/>
          <w:szCs w:val="24"/>
          <w:u w:val="single"/>
        </w:rPr>
        <w:t>The Mexican Magazine</w:t>
      </w:r>
      <w:r>
        <w:rPr>
          <w:rFonts w:cs="Times New Roman" w:ascii="Times New Roman" w:hAnsi="Times New Roman"/>
          <w:sz w:val="24"/>
          <w:szCs w:val="24"/>
        </w:rPr>
        <w:t>. México, D.F. 1926</w:t>
      </w:r>
    </w:p>
    <w:p>
      <w:pPr>
        <w:pStyle w:val="Normal"/>
        <w:jc w:val="both"/>
        <w:rPr>
          <w:rFonts w:ascii="Times New Roman" w:hAnsi="Times New Roman" w:cs="Times New Roman"/>
          <w:sz w:val="24"/>
          <w:szCs w:val="24"/>
        </w:rPr>
      </w:pPr>
      <w:r>
        <w:rPr>
          <w:rFonts w:cs="Times New Roman" w:ascii="Times New Roman" w:hAnsi="Times New Roman"/>
          <w:sz w:val="24"/>
          <w:szCs w:val="24"/>
        </w:rPr>
        <w:t>Total number of cells: 15,141,420</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jc w:val="center"/>
        <w:rPr>
          <w:rFonts w:ascii="Times New Roman" w:hAnsi="Times New Roman" w:cs="Times New Roman"/>
          <w:sz w:val="24"/>
          <w:szCs w:val="24"/>
        </w:rPr>
      </w:pPr>
      <w:r>
        <w:rPr>
          <w:rFonts w:cs="Times New Roman" w:ascii="Times New Roman" w:hAnsi="Times New Roman"/>
          <w:sz w:val="24"/>
          <w:szCs w:val="24"/>
        </w:rPr>
        <w:t>Extraction, cleaning, and name parsing</w:t>
      </w:r>
    </w:p>
    <w:p>
      <w:pPr>
        <w:pStyle w:val="Normal"/>
        <w:jc w:val="both"/>
        <w:rPr>
          <w:rFonts w:ascii="Times New Roman" w:hAnsi="Times New Roman" w:cs="Times New Roman"/>
          <w:sz w:val="24"/>
          <w:szCs w:val="24"/>
        </w:rPr>
      </w:pPr>
      <w:r>
        <w:rPr>
          <w:rFonts w:cs="Times New Roman" w:ascii="Times New Roman" w:hAnsi="Times New Roman"/>
          <w:sz w:val="24"/>
          <w:szCs w:val="24"/>
        </w:rPr>
        <w:t>The extraction process follows the digitized text documents generated through Hathitrust or through Adobe, file by file. The source format and the accuracy of the OCR require a specific combination of automated extraction, visual classification, and data validation. The cleaning and classification process used regular expressions in tidyverse,</w:t>
      </w:r>
      <w:r>
        <w:rPr>
          <w:rStyle w:val="FootnoteReference"/>
          <w:rFonts w:cs="Times New Roman" w:ascii="Times New Roman" w:hAnsi="Times New Roman"/>
          <w:sz w:val="24"/>
          <w:szCs w:val="24"/>
        </w:rPr>
        <w:footnoteReference w:id="2"/>
      </w:r>
      <w:r>
        <w:rPr>
          <w:rFonts w:cs="Times New Roman" w:ascii="Times New Roman" w:hAnsi="Times New Roman"/>
          <w:sz w:val="24"/>
          <w:szCs w:val="24"/>
        </w:rPr>
        <w:t xml:space="preserve"> and several iterations of parsing through openrefine.</w:t>
      </w:r>
      <w:r>
        <w:rPr>
          <w:rStyle w:val="FootnoteReference"/>
          <w:rFonts w:cs="Times New Roman" w:ascii="Times New Roman" w:hAnsi="Times New Roman"/>
          <w:sz w:val="24"/>
          <w:szCs w:val="24"/>
        </w:rPr>
        <w:footnoteReference w:id="3"/>
      </w:r>
      <w:r>
        <w:rPr>
          <w:rFonts w:cs="Times New Roman" w:ascii="Times New Roman" w:hAnsi="Times New Roman"/>
          <w:sz w:val="24"/>
          <w:szCs w:val="24"/>
        </w:rPr>
        <w:t xml:space="preserve"> See our code (alumni.R and corpis.R) for the specific steps used for the different types of sources; all codes are available on request. </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t xml:space="preserve">Name parsing for individuals was elaborated through a simplification of the name. Names appeared in the sources in several forms, from full names with titles to abbreviations with last names and initials. Some of them had different orthographies (as for Mc or Mac, or elimination of "von" or "de"), which further complicated the parsing. We simplified the orthographies and the structure into last name and initials to consolidate them. See the file combo.R for the specific coding steps of consolidation. </w:t>
      </w:r>
    </w:p>
    <w:p>
      <w:pPr>
        <w:pStyle w:val="Normal"/>
        <w:ind w:firstLine="360"/>
        <w:jc w:val="both"/>
        <w:rPr>
          <w:rFonts w:ascii="Times New Roman" w:hAnsi="Times New Roman" w:cs="Times New Roman"/>
          <w:sz w:val="24"/>
          <w:szCs w:val="24"/>
        </w:rPr>
      </w:pPr>
      <w:r>
        <w:rPr>
          <w:rFonts w:cs="Times New Roman" w:ascii="Times New Roman" w:hAnsi="Times New Roman"/>
          <w:sz w:val="24"/>
          <w:szCs w:val="24"/>
        </w:rPr>
        <w:t>Name parsing for organizations is more complicated, as organizations changed their name, consolidated with others, were absorbed or simply registered as a subsidiary on some occasions.</w:t>
      </w:r>
      <w:r>
        <w:rPr>
          <w:rStyle w:val="FootnoteReference"/>
          <w:rFonts w:cs="Times New Roman" w:ascii="Times New Roman" w:hAnsi="Times New Roman"/>
          <w:sz w:val="24"/>
          <w:szCs w:val="24"/>
        </w:rPr>
        <w:footnoteReference w:id="4"/>
      </w:r>
      <w:r>
        <w:rPr>
          <w:rFonts w:cs="Times New Roman" w:ascii="Times New Roman" w:hAnsi="Times New Roman"/>
          <w:sz w:val="24"/>
          <w:szCs w:val="24"/>
        </w:rPr>
        <w:t xml:space="preserve"> Naming authorities contain a small amount of information for these entities, as thousands of firms appeared and disappeared in a relatively short amount of time. Consequently, the name parsing was a combination of cleaning through regular expressions, searches through the Virtual International Authority File database,</w:t>
      </w:r>
      <w:r>
        <w:rPr>
          <w:rStyle w:val="FootnoteReference"/>
          <w:rFonts w:cs="Times New Roman" w:ascii="Times New Roman" w:hAnsi="Times New Roman"/>
          <w:sz w:val="24"/>
          <w:szCs w:val="24"/>
        </w:rPr>
        <w:footnoteReference w:id="5"/>
      </w:r>
      <w:r>
        <w:rPr>
          <w:rFonts w:cs="Times New Roman" w:ascii="Times New Roman" w:hAnsi="Times New Roman"/>
          <w:sz w:val="24"/>
          <w:szCs w:val="24"/>
        </w:rPr>
        <w:t xml:space="preserve"> and use of openrefine. See the file corpis.R and combo.R for the specific criteria. </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jc w:val="center"/>
        <w:rPr>
          <w:rFonts w:ascii="Times New Roman" w:hAnsi="Times New Roman" w:cs="Times New Roman"/>
          <w:sz w:val="24"/>
          <w:szCs w:val="24"/>
        </w:rPr>
      </w:pPr>
      <w:r>
        <w:rPr>
          <w:rFonts w:cs="Times New Roman" w:ascii="Times New Roman" w:hAnsi="Times New Roman"/>
          <w:sz w:val="24"/>
          <w:szCs w:val="24"/>
        </w:rPr>
        <w:t>General characteristics of the database</w:t>
      </w:r>
    </w:p>
    <w:p>
      <w:pPr>
        <w:pStyle w:val="Normal"/>
        <w:jc w:val="both"/>
        <w:rPr>
          <w:rFonts w:ascii="Times New Roman" w:hAnsi="Times New Roman" w:cs="Times New Roman"/>
          <w:sz w:val="24"/>
          <w:szCs w:val="24"/>
        </w:rPr>
      </w:pPr>
      <w:r>
        <w:rPr>
          <w:rFonts w:cs="Times New Roman" w:ascii="Times New Roman" w:hAnsi="Times New Roman"/>
          <w:sz w:val="24"/>
          <w:szCs w:val="24"/>
        </w:rPr>
        <w:t>The database was compiled using R software into a tidy format. Values, or the discrete pieces of information, are organized in variables, with all values with the same attribute and observations, and all values measured in the same unit.</w:t>
      </w:r>
      <w:r>
        <w:rPr>
          <w:rStyle w:val="FootnoteReference"/>
          <w:rFonts w:cs="Times New Roman" w:ascii="Times New Roman" w:hAnsi="Times New Roman"/>
          <w:sz w:val="24"/>
          <w:szCs w:val="24"/>
        </w:rPr>
        <w:footnoteReference w:id="6"/>
      </w:r>
      <w:r>
        <w:rPr>
          <w:rFonts w:cs="Times New Roman" w:ascii="Times New Roman" w:hAnsi="Times New Roman"/>
          <w:sz w:val="24"/>
          <w:szCs w:val="24"/>
        </w:rPr>
        <w:t xml:space="preserve"> Throughout the cleaning process, we can identify three units that conform to the database: rows of text, individuals, and organizations. </w:t>
      </w:r>
    </w:p>
    <w:p>
      <w:pPr>
        <w:pStyle w:val="Normal"/>
        <w:jc w:val="both"/>
        <w:rPr>
          <w:rFonts w:ascii="Times New Roman" w:hAnsi="Times New Roman" w:eastAsia="Times New Roman" w:cs="Times New Roman"/>
          <w:color w:val="000000"/>
          <w:sz w:val="24"/>
          <w:szCs w:val="24"/>
        </w:rPr>
      </w:pPr>
      <w:r>
        <w:rPr>
          <w:rFonts w:cs="Times New Roman" w:ascii="Times New Roman" w:hAnsi="Times New Roman"/>
          <w:sz w:val="24"/>
          <w:szCs w:val="24"/>
        </w:rPr>
        <w:tab/>
        <w:t xml:space="preserve">The units as rows of text are the original form of extraction on the database. The classification process then identifies the type of information through regular expressions but keeping a particular row ID (which allows us to trace back the data mining process). A single row can then contain an observation of the pattern that is the focus of the original source, either an individual-centered list or an organizational-centered list. In many cases, a combination between several rows appears. Non-classified information and trash were eliminated from this original text-centered dataset in the cleaning process, and the total number of values in this dataset is </w:t>
      </w:r>
      <w:r>
        <w:rPr>
          <w:rFonts w:eastAsia="Times New Roman" w:cs="Times New Roman" w:ascii="Times New Roman" w:hAnsi="Times New Roman"/>
          <w:color w:val="000000"/>
          <w:sz w:val="24"/>
          <w:szCs w:val="24"/>
        </w:rPr>
        <w:t>18,210,654.</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t xml:space="preserve">The classification process then proceeds to identify the patterns of occurrence of information in every row and the relationship with other rows. While keeping the row ID, the classification assigns characteristics from other rows into a single unit. This transforms the database from one centered on rows of text, in which the observation is a line, into two types of datasets: one centered around individuals (in which individuals are the units) and one centered around organizations/companies (in which companies are the units). The properties of the different rows are classified into attributes of organizations (capital, incorporation, technology, employees, etc.) and individuals' characteristics (place of origin, education, employment, etc.). </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t xml:space="preserve">The dataset centered around individuals contains 315,137 observations of 15 variables, corresponding to 124,451 unique individuals. The dataset centered around organizations contains 116,780 observations of 16 variables, corresponding to 52,206 unique organizations. Both datasets can be described as unbalanced data panels, like other datasets around firms and individuals, with a </w:t>
      </w:r>
      <w:r>
        <w:rPr>
          <w:rFonts w:cs="Times New Roman" w:ascii="Times New Roman" w:hAnsi="Times New Roman"/>
          <w:i/>
          <w:iCs/>
          <w:sz w:val="24"/>
          <w:szCs w:val="24"/>
        </w:rPr>
        <w:t xml:space="preserve">long </w:t>
      </w:r>
      <w:r>
        <w:rPr>
          <w:rFonts w:cs="Times New Roman" w:ascii="Times New Roman" w:hAnsi="Times New Roman"/>
          <w:sz w:val="24"/>
          <w:szCs w:val="24"/>
        </w:rPr>
        <w:t xml:space="preserve">or </w:t>
      </w:r>
      <w:r>
        <w:rPr>
          <w:rFonts w:cs="Times New Roman" w:ascii="Times New Roman" w:hAnsi="Times New Roman"/>
          <w:i/>
          <w:iCs/>
          <w:sz w:val="24"/>
          <w:szCs w:val="24"/>
        </w:rPr>
        <w:t xml:space="preserve">stacked </w:t>
      </w:r>
      <w:r>
        <w:rPr>
          <w:rFonts w:cs="Times New Roman" w:ascii="Times New Roman" w:hAnsi="Times New Roman"/>
          <w:sz w:val="24"/>
          <w:szCs w:val="24"/>
        </w:rPr>
        <w:t>structure. The voluntary reporting, the transformations of corporate names and government agencies, and the sole existence of new actors (individuals, universities, and corporations, among others) appearing in the mining world make the construction of a complete dataset impossible.</w:t>
      </w:r>
      <w:r>
        <w:rPr>
          <w:rStyle w:val="FootnoteCharacters"/>
          <w:rFonts w:cs="Times New Roman" w:ascii="Times New Roman" w:hAnsi="Times New Roman"/>
          <w:sz w:val="24"/>
          <w:szCs w:val="24"/>
        </w:rPr>
        <w:t xml:space="preserve"> </w:t>
      </w:r>
      <w:r>
        <w:rPr>
          <w:rStyle w:val="FootnoteReference"/>
          <w:rFonts w:cs="Times New Roman" w:ascii="Times New Roman" w:hAnsi="Times New Roman"/>
          <w:sz w:val="24"/>
          <w:szCs w:val="24"/>
        </w:rPr>
        <w:footnoteReference w:id="7"/>
      </w:r>
      <w:r>
        <w:rPr>
          <w:rFonts w:cs="Times New Roman" w:ascii="Times New Roman" w:hAnsi="Times New Roman"/>
          <w:sz w:val="24"/>
          <w:szCs w:val="24"/>
        </w:rPr>
        <w:t xml:space="preserve"> Nevertheless, we have no information to suspect that the missing observations are nonrandom, as incentives to report did not change during the period. Plot 1 shows the temporal density of individuals in the database, and Plot 2 shows the temporal density of companies in the database. </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t>It is difficult to know from the dataset the gender composition, but we used the genderdata package to make historical predictions of sex assigned at birth. We predicted the sex assigned at birth of 70,834 individuals, almost 55% of the sample: from them, around 2.6% might have been female, and 97.4% might have been male.</w:t>
      </w:r>
      <w:r>
        <w:rPr>
          <w:rStyle w:val="FootnoteReference"/>
          <w:rFonts w:cs="Times New Roman" w:ascii="Times New Roman" w:hAnsi="Times New Roman"/>
          <w:sz w:val="24"/>
          <w:szCs w:val="24"/>
        </w:rPr>
        <w:footnoteReference w:id="8"/>
      </w:r>
      <w:r>
        <w:rPr>
          <w:rFonts w:cs="Times New Roman" w:ascii="Times New Roman" w:hAnsi="Times New Roman"/>
          <w:sz w:val="24"/>
          <w:szCs w:val="24"/>
        </w:rPr>
        <w:t xml:space="preserve"> The geographical distribution of the database is heavily concentrated in the North Atlantic for both the individual-centered dataset and the organization-centered dataset. We can identify 242,629 geolocations on the individual-centered dataset, corresponding to 23,644 different locations corresponding to 98,501 different individuals. We can identify 563,693 geolocations on the organization-centered dataset, corresponding to 3,105 locations and 21,063 different organizations.</w:t>
      </w:r>
      <w:r>
        <w:rPr>
          <w:rStyle w:val="FootnoteReference"/>
          <w:rFonts w:cs="Times New Roman" w:ascii="Times New Roman" w:hAnsi="Times New Roman"/>
          <w:sz w:val="24"/>
          <w:szCs w:val="24"/>
        </w:rPr>
        <w:footnoteReference w:id="9"/>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t>Plot 1. Total number of individuals in the individual-centered dataset.</w:t>
      </w:r>
      <w:r>
        <w:rPr/>
        <w:t xml:space="preserve"> </w:t>
      </w:r>
      <w:r>
        <w:rPr/>
        <w:drawing>
          <wp:inline distT="0" distB="0" distL="0" distR="0">
            <wp:extent cx="5490210" cy="2543175"/>
            <wp:effectExtent l="0" t="0" r="0" b="0"/>
            <wp:docPr id="1"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hart, histogram&#10;&#10;Description automatically generated"/>
                    <pic:cNvPicPr>
                      <a:picLocks noChangeAspect="1" noChangeArrowheads="1"/>
                    </pic:cNvPicPr>
                  </pic:nvPicPr>
                  <pic:blipFill>
                    <a:blip r:embed="rId2"/>
                    <a:stretch>
                      <a:fillRect/>
                    </a:stretch>
                  </pic:blipFill>
                  <pic:spPr bwMode="auto">
                    <a:xfrm>
                      <a:off x="0" y="0"/>
                      <a:ext cx="5490210" cy="2543175"/>
                    </a:xfrm>
                    <a:prstGeom prst="rect">
                      <a:avLst/>
                    </a:prstGeom>
                    <a:noFill/>
                  </pic:spPr>
                </pic:pic>
              </a:graphicData>
            </a:graphic>
          </wp:inline>
        </w:drawing>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20"/>
        <w:jc w:val="center"/>
        <w:rPr>
          <w:rFonts w:ascii="Times New Roman" w:hAnsi="Times New Roman" w:cs="Times New Roman"/>
          <w:sz w:val="24"/>
          <w:szCs w:val="24"/>
        </w:rPr>
      </w:pPr>
      <w:r>
        <w:rPr>
          <w:rFonts w:cs="Times New Roman" w:ascii="Times New Roman" w:hAnsi="Times New Roman"/>
          <w:sz w:val="24"/>
          <w:szCs w:val="24"/>
        </w:rPr>
        <w:t>Plot 2. Total number of organizations in the organization-centered dataset.</w:t>
      </w:r>
    </w:p>
    <w:p>
      <w:pPr>
        <w:pStyle w:val="Normal"/>
        <w:jc w:val="center"/>
        <w:rPr/>
      </w:pPr>
      <w:r>
        <w:rPr/>
        <w:drawing>
          <wp:inline distT="0" distB="0" distL="0" distR="0">
            <wp:extent cx="5448300" cy="252412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448300" cy="2524125"/>
                    </a:xfrm>
                    <a:prstGeom prst="rect">
                      <a:avLst/>
                    </a:prstGeom>
                    <a:noFill/>
                  </pic:spPr>
                </pic:pic>
              </a:graphicData>
            </a:graphic>
          </wp:inline>
        </w:drawing>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59" w:before="0" w:after="16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Plot 3. Geolocation of individuals in the individual-centered dataset</w:t>
      </w:r>
    </w:p>
    <w:p>
      <w:pPr>
        <w:pStyle w:val="Normal"/>
        <w:jc w:val="center"/>
        <w:rPr>
          <w:rFonts w:ascii="Times New Roman" w:hAnsi="Times New Roman" w:cs="Times New Roman"/>
          <w:sz w:val="24"/>
          <w:szCs w:val="24"/>
        </w:rPr>
      </w:pPr>
      <w:r>
        <w:rPr/>
        <w:drawing>
          <wp:inline distT="0" distB="0" distL="0" distR="0">
            <wp:extent cx="5781675" cy="2678430"/>
            <wp:effectExtent l="0" t="0" r="0" b="0"/>
            <wp:docPr id="3"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Graphical user interface&#10;&#10;Description automatically generated with medium confidence"/>
                    <pic:cNvPicPr>
                      <a:picLocks noChangeAspect="1" noChangeArrowheads="1"/>
                    </pic:cNvPicPr>
                  </pic:nvPicPr>
                  <pic:blipFill>
                    <a:blip r:embed="rId4"/>
                    <a:stretch>
                      <a:fillRect/>
                    </a:stretch>
                  </pic:blipFill>
                  <pic:spPr bwMode="auto">
                    <a:xfrm>
                      <a:off x="0" y="0"/>
                      <a:ext cx="5781675" cy="2678430"/>
                    </a:xfrm>
                    <a:prstGeom prst="rect">
                      <a:avLst/>
                    </a:prstGeom>
                    <a:noFill/>
                  </pic:spPr>
                </pic:pic>
              </a:graphicData>
            </a:graphic>
          </wp:inline>
        </w:drawing>
      </w:r>
    </w:p>
    <w:p>
      <w:pPr>
        <w:pStyle w:val="Normal"/>
        <w:jc w:val="center"/>
        <w:rPr>
          <w:rFonts w:ascii="Times New Roman" w:hAnsi="Times New Roman" w:cs="Times New Roman"/>
          <w:sz w:val="24"/>
          <w:szCs w:val="24"/>
        </w:rPr>
      </w:pPr>
      <w:r>
        <w:rPr>
          <w:rFonts w:cs="Times New Roman" w:ascii="Times New Roman" w:hAnsi="Times New Roman"/>
          <w:sz w:val="24"/>
          <w:szCs w:val="24"/>
        </w:rPr>
        <w:t>Plot 4. Geolocation of organizations in the organization-centered dataset</w:t>
      </w:r>
    </w:p>
    <w:p>
      <w:pPr>
        <w:pStyle w:val="Normal"/>
        <w:jc w:val="center"/>
        <w:rPr>
          <w:rFonts w:ascii="Times New Roman" w:hAnsi="Times New Roman" w:cs="Times New Roman"/>
          <w:sz w:val="24"/>
          <w:szCs w:val="24"/>
        </w:rPr>
      </w:pPr>
      <w:r>
        <w:rPr/>
        <w:drawing>
          <wp:inline distT="0" distB="0" distL="0" distR="0">
            <wp:extent cx="5777865" cy="2676525"/>
            <wp:effectExtent l="0" t="0" r="0" b="0"/>
            <wp:docPr id="4" name="Picture 5" descr="A map of the worl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 map of the world&#10;&#10;Description automatically generated with medium confidence"/>
                    <pic:cNvPicPr>
                      <a:picLocks noChangeAspect="1" noChangeArrowheads="1"/>
                    </pic:cNvPicPr>
                  </pic:nvPicPr>
                  <pic:blipFill>
                    <a:blip r:embed="rId5"/>
                    <a:stretch>
                      <a:fillRect/>
                    </a:stretch>
                  </pic:blipFill>
                  <pic:spPr bwMode="auto">
                    <a:xfrm>
                      <a:off x="0" y="0"/>
                      <a:ext cx="5777865" cy="2676525"/>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jc w:val="center"/>
        <w:rPr>
          <w:rFonts w:ascii="Times New Roman" w:hAnsi="Times New Roman" w:cs="Times New Roman"/>
          <w:sz w:val="24"/>
          <w:szCs w:val="24"/>
        </w:rPr>
      </w:pPr>
      <w:r>
        <w:rPr>
          <w:rFonts w:cs="Times New Roman" w:ascii="Times New Roman" w:hAnsi="Times New Roman"/>
          <w:sz w:val="24"/>
          <w:szCs w:val="24"/>
        </w:rPr>
        <w:t>Validation</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There are four levels of possible errors in the final database: errors in the extraction process through the OCR; errors in the cleaning process; errors in classification between different kinds of information; and errors in parsing, both for individuals and organizations. </w:t>
      </w:r>
    </w:p>
    <w:p>
      <w:pPr>
        <w:pStyle w:val="Normal"/>
        <w:jc w:val="both"/>
        <w:rPr>
          <w:rFonts w:ascii="Times New Roman" w:hAnsi="Times New Roman" w:cs="Times New Roman"/>
          <w:sz w:val="24"/>
          <w:szCs w:val="24"/>
        </w:rPr>
      </w:pPr>
      <w:r>
        <w:rPr>
          <w:rFonts w:cs="Times New Roman" w:ascii="Times New Roman" w:hAnsi="Times New Roman"/>
          <w:sz w:val="24"/>
          <w:szCs w:val="24"/>
        </w:rPr>
        <w:tab/>
        <w:t xml:space="preserve">We conducted three assessments of the types of mistakes present in the database in 2020 and 2021 that measured the most common errors and the overall accuracy of the methodology. We separated the text-centered dataset into five categories according to the quantity of data. Then, a randomized representative sample at 95% significance of the rows of the database was evaluated by a researcher, comparing them with the original source and making informed decisions about the mistakes in the process. See the files alumni.R, corpis.R and test.xlxs for the specific algorithms used for randomizing the evaluation and the test sample. The main results are in the following table. </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t>Table 1. Validation of representative samples of the dataset</w:t>
      </w:r>
    </w:p>
    <w:tbl>
      <w:tblPr>
        <w:tblW w:w="937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14"/>
        <w:gridCol w:w="1441"/>
        <w:gridCol w:w="1350"/>
        <w:gridCol w:w="1326"/>
        <w:gridCol w:w="1431"/>
        <w:gridCol w:w="1310"/>
      </w:tblGrid>
      <w:tr>
        <w:trPr>
          <w:trHeight w:val="298" w:hRule="atLeast"/>
        </w:trPr>
        <w:tc>
          <w:tcPr>
            <w:tcW w:w="2514" w:type="dxa"/>
            <w:tcBorders>
              <w:top w:val="single" w:sz="4" w:space="0" w:color="000000"/>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r>
              <w:rPr>
                <w:rFonts w:eastAsia="Times New Roman" w:cs="Times New Roman" w:ascii="Times New Roman" w:hAnsi="Times New Roman"/>
                <w:color w:val="000000"/>
                <w:sz w:val="24"/>
                <w:szCs w:val="24"/>
              </w:rPr>
              <w:t>Item</w:t>
            </w:r>
          </w:p>
        </w:tc>
        <w:tc>
          <w:tcPr>
            <w:tcW w:w="1441"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MYB (n=409)</w:t>
            </w:r>
          </w:p>
        </w:tc>
        <w:tc>
          <w:tcPr>
            <w:tcW w:w="1350"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AMM (n=384)</w:t>
            </w:r>
          </w:p>
        </w:tc>
        <w:tc>
          <w:tcPr>
            <w:tcW w:w="1326"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MMM (n=368)</w:t>
            </w:r>
          </w:p>
        </w:tc>
        <w:tc>
          <w:tcPr>
            <w:tcW w:w="1431"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ALUMNI (n=384)</w:t>
            </w:r>
          </w:p>
        </w:tc>
        <w:tc>
          <w:tcPr>
            <w:tcW w:w="1310"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AIME (n=382)</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Company/Organization</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43.77%</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73.84%</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92.18%</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72.62%</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89.73%</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Capital</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99.27%</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98.78%</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96.82%</w:t>
            </w:r>
          </w:p>
        </w:tc>
        <w:tc>
          <w:tcPr>
            <w:tcW w:w="143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10"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Year Registered</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99.27%</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98.29%</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99.76%</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79.95%</w:t>
            </w:r>
          </w:p>
        </w:tc>
        <w:tc>
          <w:tcPr>
            <w:tcW w:w="1310"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93.46%</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96.50%</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89.00%</w:t>
            </w:r>
          </w:p>
        </w:tc>
        <w:tc>
          <w:tcPr>
            <w:tcW w:w="143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92.42%</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Last name</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88.75%</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83.13%</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74.08%</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94.62%</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86.55%</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First name</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94.13%</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97.56%</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94.62%</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93.89%</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86.55%</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Middle name</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91.69%</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87.78%</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76.53%</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66.99%</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86.55%</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96.58%</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98.29%</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96.33%</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76.77%</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95.35%</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Nationality</w:t>
            </w:r>
          </w:p>
        </w:tc>
        <w:tc>
          <w:tcPr>
            <w:tcW w:w="144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50"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26"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43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99.51%</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Education</w:t>
            </w:r>
          </w:p>
        </w:tc>
        <w:tc>
          <w:tcPr>
            <w:tcW w:w="144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50"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26"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431" w:type="dxa"/>
            <w:tcBorders>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100.00%</w:t>
            </w:r>
          </w:p>
        </w:tc>
      </w:tr>
      <w:tr>
        <w:trPr>
          <w:trHeight w:val="298" w:hRule="atLeast"/>
        </w:trPr>
        <w:tc>
          <w:tcPr>
            <w:tcW w:w="2514"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Overall (n=1927)</w:t>
            </w:r>
          </w:p>
        </w:tc>
        <w:tc>
          <w:tcPr>
            <w:tcW w:w="144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88.36%</w:t>
            </w:r>
          </w:p>
        </w:tc>
        <w:tc>
          <w:tcPr>
            <w:tcW w:w="135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91.77%</w:t>
            </w:r>
          </w:p>
        </w:tc>
        <w:tc>
          <w:tcPr>
            <w:tcW w:w="1326"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89.91%</w:t>
            </w:r>
          </w:p>
        </w:tc>
        <w:tc>
          <w:tcPr>
            <w:tcW w:w="1431"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80.81%</w:t>
            </w:r>
          </w:p>
        </w:tc>
        <w:tc>
          <w:tcPr>
            <w:tcW w:w="1310"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92.08%</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Although the overall accuracy was 88.59%, the disparity of the results with the original sources in essential items ("Company" in the corporate lists and alumni list, and the role in the alumni lists) motivated a general revision of the different steps of cleaning, classifying, and parsing in the complete dataset. After the database extension and the modification of the steps, the dataset was consolidated, and a second revision of the accuracy was made. Again, a randomized representative sample at a 95% confidence level was completed. (comboprueba.xlsx) The company name for corporate sources parsing doubled to 84.09%, and the identification of "middle name" in alumni lists improved to 96.92%. These are the results of the accuracy of the new integrated dataset (combo4.csv and crp.csv). </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t>Table 2. Second validation of representative sample</w:t>
      </w:r>
    </w:p>
    <w:tbl>
      <w:tblPr>
        <w:tblW w:w="330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246"/>
        <w:gridCol w:w="1055"/>
      </w:tblGrid>
      <w:tr>
        <w:trPr>
          <w:trHeight w:val="288" w:hRule="atLeast"/>
        </w:trPr>
        <w:tc>
          <w:tcPr>
            <w:tcW w:w="2246" w:type="dxa"/>
            <w:tcBorders>
              <w:top w:val="single" w:sz="4" w:space="0" w:color="000000"/>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Item</w:t>
            </w:r>
          </w:p>
        </w:tc>
        <w:tc>
          <w:tcPr>
            <w:tcW w:w="1055" w:type="dxa"/>
            <w:tcBorders>
              <w:top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Accuracy</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Last name</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94.01%</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First name</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93.75%</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Middle name</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93.75%</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Education</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100.00%</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Company/organization</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94.53%</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94.01%</w:t>
            </w:r>
          </w:p>
        </w:tc>
      </w:tr>
      <w:tr>
        <w:trPr>
          <w:trHeight w:val="288" w:hRule="atLeast"/>
        </w:trPr>
        <w:tc>
          <w:tcPr>
            <w:tcW w:w="2246" w:type="dxa"/>
            <w:tcBorders>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w:t>
            </w:r>
          </w:p>
        </w:tc>
        <w:tc>
          <w:tcPr>
            <w:tcW w:w="1055" w:type="dxa"/>
            <w:tcBorders>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100.00%</w:t>
            </w:r>
          </w:p>
        </w:tc>
      </w:tr>
      <w:tr>
        <w:trPr>
          <w:trHeight w:val="288" w:hRule="atLeast"/>
        </w:trPr>
        <w:tc>
          <w:tcPr>
            <w:tcW w:w="2246" w:type="dxa"/>
            <w:tcBorders>
              <w:top w:val="single" w:sz="4" w:space="0" w:color="000000"/>
              <w:left w:val="single" w:sz="4" w:space="0" w:color="000000"/>
              <w:bottom w:val="single" w:sz="4" w:space="0" w:color="000000"/>
              <w:right w:val="single" w:sz="4" w:space="0" w:color="000000"/>
            </w:tcBorders>
            <w:vAlign w:val="bottom"/>
          </w:tcPr>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Overall (n=384)</w:t>
            </w:r>
          </w:p>
        </w:tc>
        <w:tc>
          <w:tcPr>
            <w:tcW w:w="1055" w:type="dxa"/>
            <w:tcBorders>
              <w:top w:val="single" w:sz="4" w:space="0" w:color="000000"/>
              <w:bottom w:val="single" w:sz="4" w:space="0" w:color="000000"/>
              <w:right w:val="single" w:sz="4" w:space="0" w:color="000000"/>
            </w:tcBorders>
            <w:vAlign w:val="bottom"/>
          </w:tcPr>
          <w:p>
            <w:pPr>
              <w:pStyle w:val="Normal"/>
              <w:jc w:val="righ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95.72%</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A third assessment of the database looked at the matching of names across different sources, pairing on one side names from the MYB list and, on the other, names in the whole database (including MYB but from different years/sections). This third assessment focused on the probability of false positives or locating spurious matches of information from different sources through a common simplified name. While false negatives in matching (by minor variations on orthography or variations in the reporting of middle names) are possible in the database, false positivity is a more significant concern as it might overestimate the connectivity of individuals and organizations in the dataset. In short, type I errors are considered more costly for this analysis than the existence of type II errors and, therefore, the minimization of false positives is privileged. </w:t>
      </w:r>
    </w:p>
    <w:p>
      <w:pPr>
        <w:pStyle w:val="Normal"/>
        <w:jc w:val="both"/>
        <w:rPr>
          <w:rFonts w:ascii="Times New Roman" w:hAnsi="Times New Roman" w:cs="Times New Roman"/>
          <w:sz w:val="24"/>
          <w:szCs w:val="24"/>
        </w:rPr>
      </w:pPr>
      <w:r>
        <w:rPr>
          <w:rFonts w:cs="Times New Roman" w:ascii="Times New Roman" w:hAnsi="Times New Roman"/>
          <w:sz w:val="24"/>
          <w:szCs w:val="24"/>
        </w:rPr>
        <w:tab/>
        <w:t xml:space="preserve">A spurious match could be caused by: convergent errors in the OCR; convergent errors in the cleaning and classification process; coincidence in the last name, the first letter of the first name, and the first letter of the middle name. We generated a randomized representative sample at 95% significance for matching information through a simplified name. Then a researcher validated the parsing as true or false positives by looking at the two original sources and the contextual information. From all the above causes, false positives represented just 1.83% of the test sample (n=382). See the files combo.R and testmat.xlsx for the complete information on this test. After this process, a visual examination of the most prominent 2000 organizations in the database was conducted and manually corrected for the errors described above. Most of the corrections involved not the misidentification of the company but a spelling mistake that was carried out from the OCR. No further accuracy assessment has been made on the manually corrected datasets (combo5_1.csv and crp3.csv). </w:t>
      </w:r>
    </w:p>
    <w:p>
      <w:pPr>
        <w:pStyle w:val="Normal"/>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pPr>
      <w:r>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Calibri">
    <w:charset w:val="00"/>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OCR extraction through Hathitrust .txt file, Adobe PDF OCR and tesseract. </w:t>
      </w:r>
      <w:r>
        <w:fldChar w:fldCharType="begin"/>
      </w:r>
      <w:r>
        <w:rPr/>
        <w:instrText xml:space="preserve">ADDIN ZOTERO_ITEM CSL_CITATION {"citationID":"1wuv83fr","properties":{"formattedCitation":"Hadley Wickham et al., \\uc0\\u8220{}Welcome to the Tidyverse,\\uc0\\u8221{} {\\i{}Journal of Open Source Software} 4, no. 43 (2019): 1686; Jeroen Ooms, \\uc0\\u8220{}Tesseract: Open Source OCR Engine,\\uc0\\u8221{} {\\i{}See Https://CRAN. R-Project. Org/Package= Tesseract. R Package Version} 4 (2019).","plainCitation":"Hadley Wickham et al., “Welcome to the Tidyverse,” Journal of Open Source Software 4, no. 43 (2019): 1686; Jeroen Ooms, “Tesseract: Open Source OCR Engine,” See Https://CRAN. R-Project. Org/Package= Tesseract. R Package Version 4 (2019).","noteIndex":1},"citationItems":[{"id":1509,"uris":["http://zotero.org/groups/4707791/items/U85WCPNH"],"itemData":{"id":1509,"type":"article-journal","container-title":"Journal of open source software","issue":"43","note":"ISBN: 2475-9066","page":"1686","title":"Welcome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issued":{"date-parts":[["2019"]]}}},{"id":1510,"uris":["http://zotero.org/groups/4707791/items/HZM4MZ4J"],"itemData":{"id":1510,"type":"article-journal","container-title":"See https://CRAN. R-project. org/package= tesseract. R package version","title":"tesseract: Open Source OCR Engine","volume":"4","author":[{"family":"Ooms","given":"Jeroen"}],"issued":{"date-parts":[["2019"]]}}}],"schema":"https://github.com/citation-style-language/schema/raw/master/csl-citation.json"}</w:instrText>
      </w:r>
      <w:r>
        <w:rPr/>
      </w:r>
      <w:r>
        <w:rPr/>
        <w:fldChar w:fldCharType="separate"/>
      </w:r>
      <w:r>
        <w:rPr/>
      </w:r>
      <w:r>
        <w:rPr>
          <w:rFonts w:cs="Calibri" w:ascii="Calibri" w:hAnsi="Calibri"/>
          <w:szCs w:val="24"/>
        </w:rPr>
        <w:t xml:space="preserve">Hadley Wickham et al., “Welcome to the Tidyverse,” </w:t>
      </w:r>
      <w:r>
        <w:rPr>
          <w:rFonts w:cs="Calibri" w:ascii="Calibri" w:hAnsi="Calibri"/>
          <w:i/>
          <w:iCs/>
          <w:szCs w:val="24"/>
        </w:rPr>
        <w:t>Journal of Open Source Software</w:t>
      </w:r>
      <w:r>
        <w:rPr>
          <w:rFonts w:cs="Calibri" w:ascii="Calibri" w:hAnsi="Calibri"/>
          <w:szCs w:val="24"/>
        </w:rPr>
        <w:t xml:space="preserve"> 4, no. 43 (2019): 1686; Jeroen Ooms, “Tesseract: Open Source OCR Engine,” </w:t>
      </w:r>
      <w:r>
        <w:rPr>
          <w:rFonts w:cs="Calibri" w:ascii="Calibri" w:hAnsi="Calibri"/>
          <w:i/>
          <w:iCs/>
          <w:szCs w:val="24"/>
        </w:rPr>
        <w:t>See Https://CRAN. R-Project. Org/Package= Tesseract. R Package Version</w:t>
      </w:r>
      <w:r>
        <w:rPr>
          <w:rFonts w:cs="Calibri" w:ascii="Calibri" w:hAnsi="Calibri"/>
          <w:szCs w:val="24"/>
        </w:rPr>
        <w:t xml:space="preserve"> 4 (2019).</w:t>
      </w:r>
      <w:r/>
      <w:r>
        <w:rPr/>
        <w:fldChar w:fldCharType="end"/>
      </w:r>
      <w:r>
        <w:rPr/>
      </w:r>
    </w:p>
  </w:footnote>
  <w:footnote w:id="3">
    <w:p>
      <w:pPr>
        <w:pStyle w:val="Normal"/>
        <w:jc w:val="both"/>
        <w:rPr>
          <w:rFonts w:ascii="Times New Roman" w:hAnsi="Times New Roman" w:eastAsia="Times New Roman" w:cs="Times New Roman"/>
          <w:sz w:val="20"/>
          <w:szCs w:val="2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an evaluation of this open software in </w:t>
      </w:r>
      <w:r>
        <w:fldChar w:fldCharType="begin"/>
      </w:r>
      <w:r>
        <w:rPr>
          <w:sz w:val="20"/>
          <w:szCs w:val="20"/>
          <w:rFonts w:cs="Times New Roman" w:ascii="Times New Roman" w:hAnsi="Times New Roman"/>
        </w:rPr>
        <w:instrText xml:space="preserve">ADDIN ZOTERO_ITEM CSL_CITATION {"citationID":"OMGwFa09","properties":{"formattedCitation":"Dessislava Petrova-Antonova and Rumyana Tancheva, \\uc0\\u8220{}Data Cleaning: A Case Study with OpenRefine and Trifacta Wrangler,\\uc0\\u8221{} in {\\i{}International Conference on the Quality of Information and Communications Technology} (Springer, 2020), 32\\uc0\\u8211{}40.","plainCitation":"Dessislava Petrova-Antonova and Rumyana Tancheva, “Data Cleaning: A Case Study with OpenRefine and Trifacta Wrangler,” in International Conference on the Quality of Information and Communications Technology (Springer, 2020), 32–40.","noteIndex":2},"citationItems":[{"id":1511,"uris":["http://zotero.org/groups/4707791/items/S2BF29V2"],"itemData":{"id":1511,"type":"paper-conference","container-title":"International Conference on the Quality of Information and Communications Technology","page":"32-40","publisher":"Springer","title":"Data cleaning: a case study with OpenRefine and trifacta wrangler","author":[{"family":"Petrova-Antonova","given":"Dessislava"},{"family":"Tancheva","given":"Rumyana"}],"issued":{"date-parts":[["2020"]]}}}],"schema":"https://github.com/citation-style-language/schema/raw/master/csl-citation.json"}</w:instrText>
      </w:r>
      <w:r>
        <w:rPr>
          <w:rFonts w:cs="Times New Roman" w:ascii="Times New Roman" w:hAnsi="Times New Roman"/>
          <w:sz w:val="20"/>
          <w:szCs w:val="20"/>
        </w:rPr>
      </w:r>
      <w:r>
        <w:rPr>
          <w:sz w:val="20"/>
          <w:szCs w:val="20"/>
          <w:rFonts w:cs="Times New Roman" w:ascii="Times New Roman" w:hAnsi="Times New Roman"/>
        </w:rPr>
        <w:fldChar w:fldCharType="separate"/>
      </w:r>
      <w:r>
        <w:rPr>
          <w:rFonts w:cs="Times New Roman" w:ascii="Times New Roman" w:hAnsi="Times New Roman"/>
          <w:sz w:val="20"/>
          <w:szCs w:val="20"/>
        </w:rPr>
      </w:r>
      <w:r>
        <w:rPr>
          <w:rFonts w:cs="Times New Roman" w:ascii="Times New Roman" w:hAnsi="Times New Roman"/>
          <w:sz w:val="20"/>
          <w:szCs w:val="24"/>
        </w:rPr>
        <w:t xml:space="preserve">Dessislava Petrova-Antonova and Rumyana Tancheva, “Data Cleaning: A Case Study with OpenRefine and Trifacta Wrangler,” in </w:t>
      </w:r>
      <w:r>
        <w:rPr>
          <w:rFonts w:cs="Times New Roman" w:ascii="Times New Roman" w:hAnsi="Times New Roman"/>
          <w:i/>
          <w:iCs/>
          <w:sz w:val="20"/>
          <w:szCs w:val="24"/>
        </w:rPr>
        <w:t>International Conference on the Quality of Information and Communications Technology</w:t>
      </w:r>
      <w:r>
        <w:rPr>
          <w:rFonts w:cs="Times New Roman" w:ascii="Times New Roman" w:hAnsi="Times New Roman"/>
          <w:sz w:val="20"/>
          <w:szCs w:val="24"/>
        </w:rPr>
        <w:t xml:space="preserve"> (Springer, 2020), 32–40.</w:t>
      </w:r>
      <w:r/>
      <w:r>
        <w:rPr>
          <w:sz w:val="20"/>
          <w:szCs w:val="20"/>
          <w:rFonts w:cs="Times New Roman" w:ascii="Times New Roman" w:hAnsi="Times New Roman"/>
        </w:rPr>
        <w:fldChar w:fldCharType="end"/>
      </w:r>
      <w:r>
        <w:rPr>
          <w:rFonts w:cs="Times New Roman" w:ascii="Times New Roman" w:hAnsi="Times New Roman"/>
          <w:sz w:val="20"/>
          <w:szCs w:val="20"/>
        </w:rPr>
      </w:r>
    </w:p>
  </w:footnote>
  <w:footnote w:id="4">
    <w:p>
      <w:pPr>
        <w:pStyle w:val="Normal"/>
        <w:jc w:val="both"/>
        <w:rPr>
          <w:rFonts w:ascii="Times New Roman" w:hAnsi="Times New Roman" w:eastAsia="Times New Roman" w:cs="Times New Roman"/>
          <w:sz w:val="20"/>
          <w:szCs w:val="20"/>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See a longer discussion of the problems of name parsing for organizations in </w:t>
      </w:r>
      <w:r>
        <w:fldChar w:fldCharType="begin"/>
      </w:r>
      <w:r>
        <w:rPr>
          <w:sz w:val="20"/>
          <w:szCs w:val="20"/>
          <w:rFonts w:cs="Times New Roman" w:ascii="Times New Roman" w:hAnsi="Times New Roman"/>
        </w:rPr>
        <w:instrText xml:space="preserve">ADDIN ZOTERO_ITEM CSL_CITATION {"citationID":"yR1nHgGZ","properties":{"formattedCitation":"KaiLi Song et al., \\uc0\\u8220{}Research on Organization Name Matching Based on Word Vector,\\uc0\\u8221{} in {\\i{}Journal of Physics: Conference Series}, vol. 1684 (IOP Publishing, 2020), 012085.","plainCitation":"KaiLi Song et al., “Research on Organization Name Matching Based on Word Vector,” in Journal of Physics: Conference Series, vol. 1684 (IOP Publishing, 2020), 012085.","noteIndex":4},"citationItems":[{"id":1512,"uris":["http://zotero.org/groups/4707791/items/SRFG8BC6"],"itemData":{"id":1512,"type":"paper-conference","container-title":"Journal of Physics: Conference Series","ISBN":"1742-6596","note":"issue: 1","page":"012085","publisher":"IOP Publishing","title":"Research on Organization Name Matching Based on Word Vector","volume":"1684","author":[{"family":"Song","given":"KaiLi"},{"family":"Li","given":"YunLing"},{"family":"Yao","given":"LuLu"},{"family":"Wang","given":"Yuan"}],"issued":{"date-parts":[["2020"]]}}}],"schema":"https://github.com/citation-style-language/schema/raw/master/csl-citation.json"}</w:instrText>
      </w:r>
      <w:r>
        <w:rPr>
          <w:rFonts w:cs="Times New Roman" w:ascii="Times New Roman" w:hAnsi="Times New Roman"/>
          <w:sz w:val="20"/>
          <w:szCs w:val="20"/>
        </w:rPr>
      </w:r>
      <w:r>
        <w:rPr>
          <w:sz w:val="20"/>
          <w:szCs w:val="20"/>
          <w:rFonts w:cs="Times New Roman" w:ascii="Times New Roman" w:hAnsi="Times New Roman"/>
        </w:rPr>
        <w:fldChar w:fldCharType="separate"/>
      </w:r>
      <w:r>
        <w:rPr>
          <w:rFonts w:cs="Times New Roman" w:ascii="Times New Roman" w:hAnsi="Times New Roman"/>
          <w:sz w:val="20"/>
          <w:szCs w:val="20"/>
        </w:rPr>
      </w:r>
      <w:r>
        <w:rPr>
          <w:rFonts w:cs="Times New Roman" w:ascii="Times New Roman" w:hAnsi="Times New Roman"/>
          <w:sz w:val="20"/>
          <w:szCs w:val="24"/>
        </w:rPr>
        <w:t xml:space="preserve">KaiLi Song et al., “Research on Organization Name Matching Based on Word Vector,” in </w:t>
      </w:r>
      <w:r>
        <w:rPr>
          <w:rFonts w:cs="Times New Roman" w:ascii="Times New Roman" w:hAnsi="Times New Roman"/>
          <w:i/>
          <w:iCs/>
          <w:sz w:val="20"/>
          <w:szCs w:val="24"/>
        </w:rPr>
        <w:t>Journal of Physics: Conference Series</w:t>
      </w:r>
      <w:r>
        <w:rPr>
          <w:rFonts w:cs="Times New Roman" w:ascii="Times New Roman" w:hAnsi="Times New Roman"/>
          <w:sz w:val="20"/>
          <w:szCs w:val="24"/>
        </w:rPr>
        <w:t>, vol. 1684 (IOP Publishing, 2020), 012085.</w:t>
      </w:r>
      <w:r/>
      <w:r>
        <w:rPr>
          <w:sz w:val="20"/>
          <w:szCs w:val="20"/>
          <w:rFonts w:cs="Times New Roman" w:ascii="Times New Roman" w:hAnsi="Times New Roman"/>
        </w:rPr>
        <w:fldChar w:fldCharType="end"/>
      </w:r>
      <w:r>
        <w:rPr>
          <w:rFonts w:cs="Times New Roman" w:ascii="Times New Roman" w:hAnsi="Times New Roman"/>
          <w:sz w:val="20"/>
          <w:szCs w:val="20"/>
        </w:rPr>
      </w:r>
    </w:p>
  </w:footnote>
  <w:footnote w:id="5">
    <w:p>
      <w:pPr>
        <w:pStyle w:val="FootnoteText"/>
        <w:jc w:val="both"/>
        <w:rPr>
          <w:rFonts w:ascii="Times New Roman" w:hAnsi="Times New Roman" w:cs="Times New Roman"/>
        </w:rPr>
      </w:pPr>
      <w:r>
        <w:rPr>
          <w:rStyle w:val="FootnoteCharacters"/>
        </w:rPr>
        <w:footnoteRef/>
      </w:r>
      <w:r>
        <w:rPr>
          <w:rFonts w:cs="Times New Roman" w:ascii="Times New Roman" w:hAnsi="Times New Roman"/>
        </w:rPr>
        <w:t xml:space="preserve"> </w:t>
      </w:r>
      <w:r>
        <w:fldChar w:fldCharType="begin"/>
      </w:r>
      <w:r>
        <w:rPr>
          <w:rFonts w:cs="Times New Roman" w:ascii="Times New Roman" w:hAnsi="Times New Roman"/>
        </w:rPr>
        <w:instrText xml:space="preserve">ADDIN ZOTERO_ITEM CSL_CITATION {"citationID":"tY0fh4Q2","properties":{"formattedCitation":"Stefanie Schneider, \\uc0\\u8220{}Viafr: Interface to the \\uc0\\u8216{}VIAF\\uc0\\u8217{} ('Virtual International Authority File\\uc0\\u8217{}),\\uc0\\u8221{} {\\i{}API. R Package Version 0.2.0.}, n.d., https://CRAN.R-project.org/package=viafr.","plainCitation":"Stefanie Schneider, “Viafr: Interface to the ‘VIAF’ ('Virtual International Authority File’),” API. R Package Version 0.2.0., n.d., https://CRAN.R-project.org/package=viafr.","noteIndex":5},"citationItems":[{"id":1522,"uris":["http://zotero.org/groups/4707791/items/H2GVHANB"],"itemData":{"id":1522,"type":"article-journal","container-title":"API. R package version 0.2.0.","title":"viafr: Interface to the 'VIAF' ('Virtual International Authority File')","URL":"https://CRAN.R-project.org/package=viafr","author":[{"family":"Schneider","given":"Stefanie"}]}}],"schema":"https://github.com/citation-style-language/schema/raw/master/csl-citation.json"}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szCs w:val="24"/>
        </w:rPr>
        <w:t xml:space="preserve">Stefanie Schneider, “Viafr: Interface to the ‘VIAF’ ('Virtual International Authority File’),” </w:t>
      </w:r>
      <w:r>
        <w:rPr>
          <w:rFonts w:cs="Times New Roman" w:ascii="Times New Roman" w:hAnsi="Times New Roman"/>
          <w:i/>
          <w:iCs/>
          <w:szCs w:val="24"/>
        </w:rPr>
        <w:t>API. R Package Version 0.2.0.</w:t>
      </w:r>
      <w:r>
        <w:rPr>
          <w:rFonts w:cs="Times New Roman" w:ascii="Times New Roman" w:hAnsi="Times New Roman"/>
          <w:szCs w:val="24"/>
        </w:rPr>
        <w:t>, n.d., https://CRAN.R-project.org/package=viafr.</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On the limitations of the VIAF authority file methodology see </w:t>
      </w:r>
      <w:r>
        <w:fldChar w:fldCharType="begin"/>
      </w:r>
      <w:r>
        <w:rPr>
          <w:rFonts w:cs="Times New Roman" w:ascii="Times New Roman" w:hAnsi="Times New Roman"/>
        </w:rPr>
        <w:instrText xml:space="preserve">ADDIN ZOTERO_ITEM CSL_CITATION {"citationID":"2PZDeLCq","properties":{"formattedCitation":"Carlo Bianchini, Stefano Bargioni, and Camillo Carlo Pellizzari di San Girolamo, \\uc0\\u8220{}Beyond VIAF,\\uc0\\u8221{} {\\i{}Information Technology and Libraries} 40, no. 2 (2021).","plainCitation":"Carlo Bianchini, Stefano Bargioni, and Camillo Carlo Pellizzari di San Girolamo, “Beyond VIAF,” Information Technology and Libraries 40, no. 2 (2021).","noteIndex":5},"citationItems":[{"id":1513,"uris":["http://zotero.org/groups/4707791/items/Z9IQI5TG"],"itemData":{"id":1513,"type":"article-journal","container-title":"Information Technology and Libraries","issue":"2","note":"ISBN: 2163-5226","title":"Beyond VIAF","volume":"40","author":[{"family":"Bianchini","given":"Carlo"},{"family":"Bargioni","given":"Stefano"},{"family":"San Girolamo","given":"Camillo Carlo Pellizzari","non-dropping-particle":"di"}],"issued":{"date-parts":[["2021"]]}}}],"schema":"https://github.com/citation-style-language/schema/raw/master/csl-citation.json"}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szCs w:val="24"/>
        </w:rPr>
        <w:t xml:space="preserve">Carlo Bianchini, Stefano Bargioni, and Camillo Carlo Pellizzari di San Girolamo, “Beyond VIAF,” </w:t>
      </w:r>
      <w:r>
        <w:rPr>
          <w:rFonts w:cs="Times New Roman" w:ascii="Times New Roman" w:hAnsi="Times New Roman"/>
          <w:i/>
          <w:iCs/>
          <w:szCs w:val="24"/>
        </w:rPr>
        <w:t>Information Technology and Libraries</w:t>
      </w:r>
      <w:r>
        <w:rPr>
          <w:rFonts w:cs="Times New Roman" w:ascii="Times New Roman" w:hAnsi="Times New Roman"/>
          <w:szCs w:val="24"/>
        </w:rPr>
        <w:t xml:space="preserve"> 40, no. 2 (2021).</w:t>
      </w:r>
      <w:r/>
      <w:r>
        <w:rPr>
          <w:rFonts w:cs="Times New Roman" w:ascii="Times New Roman" w:hAnsi="Times New Roman"/>
        </w:rPr>
        <w:fldChar w:fldCharType="end"/>
      </w:r>
      <w:r>
        <w:rPr>
          <w:rFonts w:cs="Times New Roman" w:ascii="Times New Roman" w:hAnsi="Times New Roman"/>
        </w:rPr>
      </w:r>
    </w:p>
  </w:footnote>
  <w:footnote w:id="6">
    <w:p>
      <w:pPr>
        <w:pStyle w:val="Normal"/>
        <w:jc w:val="both"/>
        <w:rPr>
          <w:rFonts w:ascii="Times New Roman" w:hAnsi="Times New Roman" w:eastAsia="Times New Roman" w:cs="Times New Roman"/>
          <w:sz w:val="20"/>
          <w:szCs w:val="20"/>
        </w:rPr>
      </w:pPr>
      <w:r>
        <w:rPr>
          <w:rStyle w:val="FootnoteCharacters"/>
        </w:rPr>
        <w:footnoteRef/>
      </w:r>
      <w:r>
        <w:rPr>
          <w:rFonts w:cs="Times New Roman" w:ascii="Times New Roman" w:hAnsi="Times New Roman"/>
          <w:sz w:val="20"/>
          <w:szCs w:val="20"/>
        </w:rPr>
        <w:t xml:space="preserve"> </w:t>
      </w:r>
      <w:r>
        <w:fldChar w:fldCharType="begin"/>
      </w:r>
      <w:r>
        <w:rPr>
          <w:sz w:val="20"/>
          <w:szCs w:val="20"/>
          <w:rFonts w:cs="Times New Roman" w:ascii="Times New Roman" w:hAnsi="Times New Roman"/>
        </w:rPr>
        <w:instrText xml:space="preserve">ADDIN ZOTERO_ITEM CSL_CITATION {"citationID":"c2BMNh9x","properties":{"formattedCitation":"Hadley Wickham, \\uc0\\u8220{}Tidy Data,\\uc0\\u8221{} {\\i{}Journal of Statistical Software} 59, no. 1 (2014): 1\\uc0\\u8211{}23; Julia Silge and David Robinson, \\uc0\\u8220{}Tidytext: Text Mining and Analysis Using Tidy Data Principles in R,\\uc0\\u8221{} {\\i{}Journal of Open Source Software} 1, no. 3 (2016): 37.","plainCitation":"Hadley Wickham, “Tidy Data,” Journal of Statistical Software 59, no. 1 (2014): 1–23; Julia Silge and David Robinson, “Tidytext: Text Mining and Analysis Using Tidy Data Principles in R,” Journal of Open Source Software 1, no. 3 (2016): 37.","noteIndex":6},"citationItems":[{"id":1523,"uris":["http://zotero.org/groups/4707791/items/KXQ6GTU4"],"itemData":{"id":1523,"type":"article-journal","container-title":"Journal of statistical software","issue":"1","page":"1-23","title":"Tidy data","volume":"59","author":[{"family":"Wickham","given":"Hadley"}],"issued":{"date-parts":[["2014"]]}}},{"id":1514,"uris":["http://zotero.org/groups/4707791/items/FMCU2YLK"],"itemData":{"id":1514,"type":"article-journal","container-title":"Journal of Open Source Software","issue":"3","note":"ISBN: 2475-9066","page":"37","title":"tidytext: Text mining and analysis using tidy data principles in R","volume":"1","author":[{"family":"Silge","given":"Julia"},{"family":"Robinson","given":"David"}],"issued":{"date-parts":[["2016"]]}}}],"schema":"https://github.com/citation-style-language/schema/raw/master/csl-citation.json"}</w:instrText>
      </w:r>
      <w:r>
        <w:rPr>
          <w:rFonts w:cs="Times New Roman" w:ascii="Times New Roman" w:hAnsi="Times New Roman"/>
          <w:sz w:val="20"/>
          <w:szCs w:val="20"/>
        </w:rPr>
      </w:r>
      <w:r>
        <w:rPr>
          <w:sz w:val="20"/>
          <w:szCs w:val="20"/>
          <w:rFonts w:cs="Times New Roman" w:ascii="Times New Roman" w:hAnsi="Times New Roman"/>
        </w:rPr>
        <w:fldChar w:fldCharType="separate"/>
      </w:r>
      <w:r>
        <w:rPr>
          <w:rFonts w:cs="Times New Roman" w:ascii="Times New Roman" w:hAnsi="Times New Roman"/>
          <w:sz w:val="20"/>
          <w:szCs w:val="20"/>
        </w:rPr>
      </w:r>
      <w:r>
        <w:rPr>
          <w:rFonts w:cs="Times New Roman" w:ascii="Times New Roman" w:hAnsi="Times New Roman"/>
          <w:sz w:val="20"/>
          <w:szCs w:val="24"/>
        </w:rPr>
        <w:t xml:space="preserve">Hadley Wickham, “Tidy Data,” </w:t>
      </w:r>
      <w:r>
        <w:rPr>
          <w:rFonts w:cs="Times New Roman" w:ascii="Times New Roman" w:hAnsi="Times New Roman"/>
          <w:i/>
          <w:iCs/>
          <w:sz w:val="20"/>
          <w:szCs w:val="24"/>
        </w:rPr>
        <w:t>Journal of Statistical Software</w:t>
      </w:r>
      <w:r>
        <w:rPr>
          <w:rFonts w:cs="Times New Roman" w:ascii="Times New Roman" w:hAnsi="Times New Roman"/>
          <w:sz w:val="20"/>
          <w:szCs w:val="24"/>
        </w:rPr>
        <w:t xml:space="preserve"> 59, no. 1 (2014): 1–23; Julia Silge and David Robinson, “Tidytext: Text Mining and Analysis Using Tidy Data Principles in R,” </w:t>
      </w:r>
      <w:r>
        <w:rPr>
          <w:rFonts w:cs="Times New Roman" w:ascii="Times New Roman" w:hAnsi="Times New Roman"/>
          <w:i/>
          <w:iCs/>
          <w:sz w:val="20"/>
          <w:szCs w:val="24"/>
        </w:rPr>
        <w:t>Journal of Open Source Software</w:t>
      </w:r>
      <w:r>
        <w:rPr>
          <w:rFonts w:cs="Times New Roman" w:ascii="Times New Roman" w:hAnsi="Times New Roman"/>
          <w:sz w:val="20"/>
          <w:szCs w:val="24"/>
        </w:rPr>
        <w:t xml:space="preserve"> 1, no. 3 (2016): 37.</w:t>
      </w:r>
      <w:r/>
      <w:r>
        <w:rPr>
          <w:sz w:val="20"/>
          <w:szCs w:val="20"/>
          <w:rFonts w:cs="Times New Roman" w:ascii="Times New Roman" w:hAnsi="Times New Roman"/>
        </w:rPr>
        <w:fldChar w:fldCharType="end"/>
      </w:r>
      <w:r>
        <w:rPr>
          <w:rFonts w:cs="Times New Roman" w:ascii="Times New Roman" w:hAnsi="Times New Roman"/>
          <w:sz w:val="20"/>
          <w:szCs w:val="20"/>
        </w:rPr>
      </w:r>
    </w:p>
  </w:footnote>
  <w:footnote w:id="7">
    <w:p>
      <w:pPr>
        <w:pStyle w:val="FootnoteText"/>
        <w:jc w:val="both"/>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See some of the implications of missing data in panel analysis with similar datasets (individuals that self report in waves and firms in the market) in: </w:t>
      </w:r>
      <w:r>
        <w:fldChar w:fldCharType="begin"/>
      </w:r>
      <w:r>
        <w:rPr>
          <w:rFonts w:cs="Times New Roman" w:ascii="Times New Roman" w:hAnsi="Times New Roman"/>
        </w:rPr>
        <w:instrText xml:space="preserve">ADDIN ZOTERO_ITEM CSL_CITATION {"citationID":"7EkA4sbw","properties":{"formattedCitation":"Badi H. Baltagi and Young-Jae Chang, \\uc0\\u8220{}Incomplete Panels: A Comparative Study of Alternative Estimators for the Unbalanced One-Way Error Component Regression Model,\\uc0\\u8221{} {\\i{}Journal of Econometrics} 62, no. 2 (1994): 67\\uc0\\u8211{}89; Badi H. Baltagi and Seuck Heun Song, \\uc0\\u8220{}Unbalanced Panel Data: A Survey,\\uc0\\u8221{} {\\i{}Statistical Papers} 47, no. 4 (2006): 493\\uc0\\u8211{}523; Rebekah Young and David R. Johnson, \\uc0\\u8220{}Handling Missing Values in Longitudinal Panel Data with Multiple Imputation,\\uc0\\u8221{} {\\i{}Journal of Marriage and Family} 77, no. 1 (2015): 277\\uc0\\u8211{}94.","plainCitation":"Badi H. Baltagi and Young-Jae Chang, “Incomplete Panels: A Comparative Study of Alternative Estimators for the Unbalanced One-Way Error Component Regression Model,” Journal of Econometrics 62, no. 2 (1994): 67–89; Badi H. Baltagi and Seuck Heun Song, “Unbalanced Panel Data: A Survey,” Statistical Papers 47, no. 4 (2006): 493–523; Rebekah Young and David R. Johnson, “Handling Missing Values in Longitudinal Panel Data with Multiple Imputation,” Journal of Marriage and Family 77, no. 1 (2015): 277–94.","noteIndex":7},"citationItems":[{"id":1515,"uris":["http://zotero.org/groups/4707791/items/QCX5ZBVN"],"itemData":{"id":1515,"type":"article-journal","container-title":"Journal of Econometrics","issue":"2","note":"ISBN: 0304-4076\npublisher: Elsevier","page":"67-89","title":"Incomplete panels: A comparative study of alternative estimators for the unbalanced one-way error component regression model","volume":"62","author":[{"family":"Baltagi","given":"Badi H."},{"family":"Chang","given":"Young-Jae"}],"issued":{"date-parts":[["1994"]]}}},{"id":1516,"uris":["http://zotero.org/groups/4707791/items/7UAST7CM"],"itemData":{"id":1516,"type":"article-journal","container-title":"Statistical Papers","issue":"4","note":"ISBN: 1613-9798\npublisher: Springer","page":"493-523","title":"Unbalanced panel data: A survey","volume":"47","author":[{"family":"Baltagi","given":"Badi H."},{"family":"Song","given":"Seuck Heun"}],"issued":{"date-parts":[["2006"]]}}},{"id":1517,"uris":["http://zotero.org/groups/4707791/items/XST9LQ4I"],"itemData":{"id":1517,"type":"article-journal","container-title":"Journal of Marriage and Family","issue":"1","note":"ISBN: 0022-2445\npublisher: Wiley Online Library","page":"277-294","title":"Handling missing values in longitudinal panel data with multiple imputation","volume":"77","author":[{"family":"Young","given":"Rebekah"},{"family":"Johnson","given":"David R."}],"issued":{"date-parts":[["2015"]]}}}],"schema":"https://github.com/citation-style-language/schema/raw/master/csl-citation.json"}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szCs w:val="24"/>
        </w:rPr>
        <w:t xml:space="preserve">Badi H. Baltagi and Young-Jae Chang, “Incomplete Panels: A Comparative Study of Alternative Estimators for the Unbalanced One-Way Error Component Regression Model,” </w:t>
      </w:r>
      <w:r>
        <w:rPr>
          <w:rFonts w:cs="Times New Roman" w:ascii="Times New Roman" w:hAnsi="Times New Roman"/>
          <w:i/>
          <w:iCs/>
          <w:szCs w:val="24"/>
        </w:rPr>
        <w:t>Journal of Econometrics</w:t>
      </w:r>
      <w:r>
        <w:rPr>
          <w:rFonts w:cs="Times New Roman" w:ascii="Times New Roman" w:hAnsi="Times New Roman"/>
          <w:szCs w:val="24"/>
        </w:rPr>
        <w:t xml:space="preserve"> 62, no. 2 (1994): 67–89; Badi H. Baltagi and Seuck Heun Song, “Unbalanced Panel Data: A Survey,” </w:t>
      </w:r>
      <w:r>
        <w:rPr>
          <w:rFonts w:cs="Times New Roman" w:ascii="Times New Roman" w:hAnsi="Times New Roman"/>
          <w:i/>
          <w:iCs/>
          <w:szCs w:val="24"/>
        </w:rPr>
        <w:t>Statistical Papers</w:t>
      </w:r>
      <w:r>
        <w:rPr>
          <w:rFonts w:cs="Times New Roman" w:ascii="Times New Roman" w:hAnsi="Times New Roman"/>
          <w:szCs w:val="24"/>
        </w:rPr>
        <w:t xml:space="preserve"> 47, no. 4 (2006): 493–523; Rebekah Young and David R. Johnson, “Handling Missing Values in Longitudinal Panel Data with Multiple Imputation,” </w:t>
      </w:r>
      <w:r>
        <w:rPr>
          <w:rFonts w:cs="Times New Roman" w:ascii="Times New Roman" w:hAnsi="Times New Roman"/>
          <w:i/>
          <w:iCs/>
          <w:szCs w:val="24"/>
        </w:rPr>
        <w:t>Journal of Marriage and Family</w:t>
      </w:r>
      <w:r>
        <w:rPr>
          <w:rFonts w:cs="Times New Roman" w:ascii="Times New Roman" w:hAnsi="Times New Roman"/>
          <w:szCs w:val="24"/>
        </w:rPr>
        <w:t xml:space="preserve"> 77, no. 1 (2015): 277–94.</w:t>
      </w:r>
      <w:r/>
      <w:r>
        <w:rPr>
          <w:rFonts w:cs="Times New Roman" w:ascii="Times New Roman" w:hAnsi="Times New Roman"/>
        </w:rPr>
        <w:fldChar w:fldCharType="end"/>
      </w:r>
      <w:r>
        <w:rPr>
          <w:rFonts w:cs="Times New Roman" w:ascii="Times New Roman" w:hAnsi="Times New Roman"/>
        </w:rPr>
      </w:r>
    </w:p>
  </w:footnote>
  <w:footnote w:id="8">
    <w:p>
      <w:pPr>
        <w:pStyle w:val="HTMLPreformatted"/>
        <w:jc w:val="both"/>
        <w:rPr>
          <w:rFonts w:ascii="Times New Roman" w:hAnsi="Times New Roman" w:cs="Times New Roman"/>
        </w:rPr>
      </w:pPr>
      <w:r>
        <w:rPr>
          <w:rStyle w:val="FootnoteCharacters"/>
        </w:rPr>
        <w:footnoteRef/>
      </w:r>
      <w:r>
        <w:rPr>
          <w:rFonts w:cs="Times New Roman" w:ascii="Times New Roman" w:hAnsi="Times New Roman"/>
        </w:rPr>
        <w:t xml:space="preserve"> </w:t>
      </w:r>
      <w:r>
        <w:fldChar w:fldCharType="begin"/>
      </w:r>
      <w:r>
        <w:rPr>
          <w:rFonts w:cs="Times New Roman" w:ascii="Times New Roman" w:hAnsi="Times New Roman"/>
        </w:rPr>
        <w:instrText xml:space="preserve">ADDIN ZOTERO_ITEM CSL_CITATION {"citationID":"7vtqElTg","properties":{"formattedCitation":"Lincoln Mullen, \\uc0\\u8220{}Gender: Predict Gender from Names Using Historical Data,\\uc0\\u8221{} {\\i{}R Package Version 0.6.0.}, n.d.; Cameron Blevins and Lincoln Mullen, \\uc0\\u8220{}Jane, John... Leslie? A Historical Method for Algorithmic Gender Prediction.,\\uc0\\u8221{} {\\i{}DHQ: Digital Humanities Quarterly} 9, no. 3 (2015).","plainCitation":"Lincoln Mullen, “Gender: Predict Gender from Names Using Historical Data,” R Package Version 0.6.0., n.d.; Cameron Blevins and Lincoln Mullen, “Jane, John... Leslie? A Historical Method for Algorithmic Gender Prediction.,” DHQ: Digital Humanities Quarterly 9, no. 3 (2015).","noteIndex":8},"citationItems":[{"id":1524,"uris":["http://zotero.org/groups/4707791/items/ZE5N4QUH"],"itemData":{"id":1524,"type":"article-journal","container-title":"R package version 0.6.0.","title":"gender: Predict Gender from Names Using Historical Data","author":[{"family":"Mullen","given":"Lincoln"}]}},{"id":1518,"uris":["http://zotero.org/groups/4707791/items/UGI3C9FU"],"itemData":{"id":1518,"type":"article-journal","container-title":"DHQ: Digital Humanities Quarterly","issue":"3","note":"ISBN: 1938-4122","title":"Jane, John... Leslie? A Historical Method for Algorithmic Gender Prediction.","volume":"9","author":[{"family":"Blevins","given":"Cameron"},{"family":"Mullen","given":"Lincoln"}],"issued":{"date-parts":[["2015"]]}}}],"schema":"https://github.com/citation-style-language/schema/raw/master/csl-citation.json"}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szCs w:val="24"/>
        </w:rPr>
        <w:t xml:space="preserve">Lincoln Mullen, “Gender: Predict Gender from Names Using Historical Data,” </w:t>
      </w:r>
      <w:r>
        <w:rPr>
          <w:rFonts w:cs="Times New Roman" w:ascii="Times New Roman" w:hAnsi="Times New Roman"/>
          <w:i/>
          <w:iCs/>
          <w:szCs w:val="24"/>
        </w:rPr>
        <w:t>R Package Version 0.6.0.</w:t>
      </w:r>
      <w:r>
        <w:rPr>
          <w:rFonts w:cs="Times New Roman" w:ascii="Times New Roman" w:hAnsi="Times New Roman"/>
          <w:szCs w:val="24"/>
        </w:rPr>
        <w:t xml:space="preserve">, n.d.; Cameron Blevins and Lincoln Mullen, “Jane, John... Leslie? A Historical Method for Algorithmic Gender Prediction.,” </w:t>
      </w:r>
      <w:r>
        <w:rPr>
          <w:rFonts w:cs="Times New Roman" w:ascii="Times New Roman" w:hAnsi="Times New Roman"/>
          <w:i/>
          <w:iCs/>
          <w:szCs w:val="24"/>
        </w:rPr>
        <w:t>DHQ: Digital Humanities Quarterly</w:t>
      </w:r>
      <w:r>
        <w:rPr>
          <w:rFonts w:cs="Times New Roman" w:ascii="Times New Roman" w:hAnsi="Times New Roman"/>
          <w:szCs w:val="24"/>
        </w:rPr>
        <w:t xml:space="preserve"> 9, no. 3 (2015).</w:t>
      </w:r>
      <w:r/>
      <w:r>
        <w:rPr>
          <w:rFonts w:cs="Times New Roman" w:ascii="Times New Roman" w:hAnsi="Times New Roman"/>
        </w:rPr>
        <w:fldChar w:fldCharType="end"/>
      </w:r>
      <w:r>
        <w:rPr>
          <w:rFonts w:cs="Times New Roman" w:ascii="Times New Roman" w:hAnsi="Times New Roman"/>
        </w:rPr>
      </w:r>
    </w:p>
  </w:footnote>
  <w:footnote w:id="9">
    <w:p>
      <w:pPr>
        <w:pStyle w:val="FootnoteText"/>
        <w:jc w:val="both"/>
        <w:rPr/>
      </w:pPr>
      <w:r>
        <w:rPr>
          <w:rStyle w:val="FootnoteCharacters"/>
        </w:rPr>
        <w:footnoteRef/>
      </w:r>
      <w:r>
        <w:rPr/>
        <w:t xml:space="preserve"> </w:t>
      </w:r>
      <w:r>
        <w:rPr/>
        <w:t xml:space="preserve">Using the Google API for geolocation, the ggmap package and the countrycode package for mapping. </w:t>
      </w:r>
      <w:r>
        <w:fldChar w:fldCharType="begin"/>
      </w:r>
      <w:r>
        <w:rPr/>
        <w:instrText xml:space="preserve">ADDIN ZOTERO_ITEM CSL_CITATION {"citationID":"qmttq2A4","properties":{"formattedCitation":"David J. Kahle and Hadley Wickham, \\uc0\\u8220{}Ggmap: Spatial Visualization with Ggplot2.,\\uc0\\u8221{} {\\i{}R J.} 5, no. 1 (2013): 144; Vincent Arel-Bundock, Nils Enevoldsen, and C. J. Yetman, \\uc0\\u8220{}Countrycode: An R Package to Convert Country Names and Country Codes,\\uc0\\u8221{} {\\i{}Journal of Open Source Software} 3, no. 28 (2018): 848; Andy South, \\uc0\\u8220{}Rworldmap: A New R Package for Mapping Global Data.,\\uc0\\u8221{} {\\i{}R Journal} 3, no. 1 (2011).","plainCitation":"David J. Kahle and Hadley Wickham, “Ggmap: Spatial Visualization with Ggplot2.,” R J. 5, no. 1 (2013): 144; Vincent Arel-Bundock, Nils Enevoldsen, and C. J. Yetman, “Countrycode: An R Package to Convert Country Names and Country Codes,” Journal of Open Source Software 3, no. 28 (2018): 848; Andy South, “Rworldmap: A New R Package for Mapping Global Data.,” R Journal 3, no. 1 (2011).","noteIndex":9},"citationItems":[{"id":1519,"uris":["http://zotero.org/groups/4707791/items/D3LETZJ3"],"itemData":{"id":1519,"type":"article-journal","container-title":"R J.","issue":"1","page":"144","title":"ggmap: spatial visualization with ggplot2.","volume":"5","author":[{"family":"Kahle","given":"David J."},{"family":"Wickham","given":"Hadley"}],"issued":{"date-parts":[["2013"]]}}},{"id":1520,"uris":["http://zotero.org/groups/4707791/items/HX322UUU"],"itemData":{"id":1520,"type":"article-journal","container-title":"Journal of Open Source Software","issue":"28","note":"ISBN: 2475-9066","page":"848","title":"countrycode: An R package to convert country names and country codes","volume":"3","author":[{"family":"Arel-Bundock","given":"Vincent"},{"family":"Enevoldsen","given":"Nils"},{"family":"Yetman","given":"C. J."}],"issued":{"date-parts":[["2018"]]}}},{"id":1521,"uris":["http://zotero.org/groups/4707791/items/U4355HQT"],"itemData":{"id":1521,"type":"article-journal","container-title":"R Journal","issue":"1","note":"ISBN: 2073-4859","title":"rworldmap: a new R package for mapping global data.","volume":"3","author":[{"family":"South","given":"Andy"}],"issued":{"date-parts":[["2011"]]}}}],"schema":"https://github.com/citation-style-language/schema/raw/master/csl-citation.json"}</w:instrText>
      </w:r>
      <w:r>
        <w:rPr/>
      </w:r>
      <w:r>
        <w:rPr/>
        <w:fldChar w:fldCharType="separate"/>
      </w:r>
      <w:r>
        <w:rPr/>
      </w:r>
      <w:r>
        <w:rPr>
          <w:rFonts w:cs="Calibri" w:ascii="Calibri" w:hAnsi="Calibri"/>
          <w:szCs w:val="24"/>
        </w:rPr>
        <w:t xml:space="preserve">David J. Kahle and Hadley Wickham, “Ggmap: Spatial Visualization with Ggplot2.,” </w:t>
      </w:r>
      <w:r>
        <w:rPr>
          <w:rFonts w:cs="Calibri" w:ascii="Calibri" w:hAnsi="Calibri"/>
          <w:i/>
          <w:iCs/>
          <w:szCs w:val="24"/>
        </w:rPr>
        <w:t>R J.</w:t>
      </w:r>
      <w:r>
        <w:rPr>
          <w:rFonts w:cs="Calibri" w:ascii="Calibri" w:hAnsi="Calibri"/>
          <w:szCs w:val="24"/>
        </w:rPr>
        <w:t xml:space="preserve"> 5, no. 1 (2013): 144; Vincent Arel-Bundock, Nils Enevoldsen, and C. J. Yetman, “Countrycode: An R Package to Convert Country Names and Country Codes,” </w:t>
      </w:r>
      <w:r>
        <w:rPr>
          <w:rFonts w:cs="Calibri" w:ascii="Calibri" w:hAnsi="Calibri"/>
          <w:i/>
          <w:iCs/>
          <w:szCs w:val="24"/>
        </w:rPr>
        <w:t>Journal of Open Source Software</w:t>
      </w:r>
      <w:r>
        <w:rPr>
          <w:rFonts w:cs="Calibri" w:ascii="Calibri" w:hAnsi="Calibri"/>
          <w:szCs w:val="24"/>
        </w:rPr>
        <w:t xml:space="preserve"> 3, no. 28 (2018): 848; Andy South, “Rworldmap: A New R Package for Mapping Global Data.,” </w:t>
      </w:r>
      <w:r>
        <w:rPr>
          <w:rFonts w:cs="Calibri" w:ascii="Calibri" w:hAnsi="Calibri"/>
          <w:i/>
          <w:iCs/>
          <w:szCs w:val="24"/>
        </w:rPr>
        <w:t>R Journal</w:t>
      </w:r>
      <w:r>
        <w:rPr>
          <w:rFonts w:cs="Calibri" w:ascii="Calibri" w:hAnsi="Calibri"/>
          <w:szCs w:val="24"/>
        </w:rPr>
        <w:t xml:space="preserve"> 3, no. 1 (2011).</w:t>
      </w:r>
      <w:r>
        <w:rPr/>
      </w:r>
      <w:r>
        <w:rPr/>
        <w:fldChar w:fldCharType="end"/>
      </w: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ayNLMwMTExsjCwNLY0tzRT0lEKTi0uzszPAykwrQUAxMfAx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2e38"/>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Text"/>
    <w:uiPriority w:val="99"/>
    <w:semiHidden/>
    <w:qFormat/>
    <w:rsid w:val="00492e38"/>
    <w:rPr>
      <w:sz w:val="20"/>
      <w:szCs w:val="20"/>
    </w:rPr>
  </w:style>
  <w:style w:type="character" w:styleId="FootnoteCharacters">
    <w:name w:val="Footnote Characters"/>
    <w:basedOn w:val="DefaultParagraphFont"/>
    <w:uiPriority w:val="99"/>
    <w:semiHidden/>
    <w:unhideWhenUsed/>
    <w:qFormat/>
    <w:rsid w:val="00492e38"/>
    <w:rPr>
      <w:vertAlign w:val="superscript"/>
    </w:rPr>
  </w:style>
  <w:style w:type="character" w:styleId="FootnoteReference">
    <w:name w:val="footnote reference"/>
    <w:rPr>
      <w:vertAlign w:val="superscript"/>
    </w:rPr>
  </w:style>
  <w:style w:type="character" w:styleId="HTMLPreformattedChar" w:customStyle="1">
    <w:name w:val="HTML Preformatted Char"/>
    <w:basedOn w:val="DefaultParagraphFont"/>
    <w:link w:val="HTMLPreformatted"/>
    <w:uiPriority w:val="99"/>
    <w:qFormat/>
    <w:rsid w:val="00fd71b6"/>
    <w:rPr>
      <w:rFonts w:ascii="Courier New" w:hAnsi="Courier New" w:eastAsia="Times New Roman" w:cs="Courier New"/>
      <w:sz w:val="20"/>
      <w:szCs w:val="20"/>
    </w:rPr>
  </w:style>
  <w:style w:type="character" w:styleId="HTMLCode">
    <w:name w:val="HTML Code"/>
    <w:basedOn w:val="DefaultParagraphFont"/>
    <w:uiPriority w:val="99"/>
    <w:semiHidden/>
    <w:unhideWhenUsed/>
    <w:qFormat/>
    <w:rsid w:val="00fd71b6"/>
    <w:rPr>
      <w:rFonts w:ascii="Courier New" w:hAnsi="Courier New" w:eastAsia="Times New Roman" w:cs="Courier New"/>
      <w:sz w:val="20"/>
      <w:szCs w:val="20"/>
    </w:rPr>
  </w:style>
  <w:style w:type="character" w:styleId="Hyperlink">
    <w:name w:val="Hyperlink"/>
    <w:basedOn w:val="DefaultParagraphFont"/>
    <w:uiPriority w:val="99"/>
    <w:unhideWhenUsed/>
    <w:rsid w:val="00767e1e"/>
    <w:rPr>
      <w:color w:themeColor="hyperlink" w:val="0563C1"/>
      <w:u w:val="single"/>
    </w:rPr>
  </w:style>
  <w:style w:type="character" w:styleId="UnresolvedMention">
    <w:name w:val="Unresolved Mention"/>
    <w:basedOn w:val="DefaultParagraphFont"/>
    <w:uiPriority w:val="99"/>
    <w:semiHidden/>
    <w:unhideWhenUsed/>
    <w:qFormat/>
    <w:rsid w:val="00767e1e"/>
    <w:rPr>
      <w:color w:val="605E5C"/>
      <w:shd w:fill="E1DFDD" w:val="clea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link w:val="FootnoteTextChar"/>
    <w:uiPriority w:val="99"/>
    <w:semiHidden/>
    <w:unhideWhenUsed/>
    <w:rsid w:val="00492e38"/>
    <w:pPr/>
    <w:rPr>
      <w:sz w:val="20"/>
      <w:szCs w:val="20"/>
    </w:rPr>
  </w:style>
  <w:style w:type="paragraph" w:styleId="ListParagraph">
    <w:name w:val="List Paragraph"/>
    <w:basedOn w:val="Normal"/>
    <w:uiPriority w:val="34"/>
    <w:qFormat/>
    <w:rsid w:val="00492e38"/>
    <w:pPr>
      <w:spacing w:lineRule="auto" w:line="257" w:before="0" w:after="160"/>
      <w:ind w:left="720"/>
      <w:contextualSpacing/>
    </w:pPr>
    <w:rPr/>
  </w:style>
  <w:style w:type="paragraph" w:styleId="HTMLPreformatted">
    <w:name w:val="HTML Preformatted"/>
    <w:basedOn w:val="Normal"/>
    <w:link w:val="HTMLPreformattedChar"/>
    <w:uiPriority w:val="99"/>
    <w:unhideWhenUsed/>
    <w:qFormat/>
    <w:rsid w:val="00fd71b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13DC4-630B-470B-9499-58600234F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7</Pages>
  <Words>2260</Words>
  <Characters>13169</Characters>
  <Paragraphs>162</Paragraphs>
  <CharactersWithSpaces>15318</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
  <dcterms:created xsi:type="dcterms:W3CDTF">2022-05-12T15:53:00Z</dcterms:created>
  <dcterms:modified xsi:type="dcterms:W3CDTF">2026-02-05T19:39:45Z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id="mUkn1GnB"/&gt;&lt;style id="http://www.zotero.org/styles/chicago-fullnote-bibliography" locale="en-US" hasBibliography="1" bibliographyStyleHasBeenSet="0"/&gt;&lt;prefs&gt;&lt;pref name="fieldType" value="Field"/&gt;&lt;</vt:lpwstr>
  </property>
  <property fmtid="{D5CDD505-2E9C-101B-9397-08002B2CF9AE}" pid="3" name="ZOTERO_PREF_2">
    <vt:lpwstr>pref name="automaticJournalAbbreviations" value="true"/&gt;&lt;pref name="noteType" value="1"/&gt;&lt;/prefs&gt;&lt;/data&gt;</vt:lpwstr>
  </property>
</Properties>
</file>