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59B63" w14:textId="0DBE6997" w:rsidR="00492E38" w:rsidRDefault="00492E38" w:rsidP="004850AC">
      <w:pPr>
        <w:jc w:val="center"/>
        <w:rPr>
          <w:rFonts w:ascii="Times New Roman" w:hAnsi="Times New Roman" w:cs="Times New Roman"/>
          <w:b/>
          <w:sz w:val="24"/>
          <w:szCs w:val="24"/>
        </w:rPr>
      </w:pPr>
      <w:r>
        <w:rPr>
          <w:rFonts w:ascii="Times New Roman" w:hAnsi="Times New Roman" w:cs="Times New Roman"/>
          <w:b/>
          <w:sz w:val="24"/>
          <w:szCs w:val="24"/>
        </w:rPr>
        <w:t>Appendix:</w:t>
      </w:r>
      <w:r w:rsidR="001A37E0">
        <w:rPr>
          <w:rFonts w:ascii="Times New Roman" w:hAnsi="Times New Roman" w:cs="Times New Roman"/>
          <w:b/>
          <w:sz w:val="24"/>
          <w:szCs w:val="24"/>
        </w:rPr>
        <w:t xml:space="preserve"> </w:t>
      </w:r>
      <w:r>
        <w:rPr>
          <w:rFonts w:ascii="Times New Roman" w:hAnsi="Times New Roman" w:cs="Times New Roman"/>
          <w:b/>
          <w:sz w:val="24"/>
          <w:szCs w:val="24"/>
        </w:rPr>
        <w:t>Database description</w:t>
      </w:r>
    </w:p>
    <w:p w14:paraId="72A70E16" w14:textId="77777777" w:rsidR="00492E38" w:rsidRDefault="00492E38" w:rsidP="004850AC">
      <w:pPr>
        <w:jc w:val="center"/>
        <w:rPr>
          <w:rFonts w:ascii="Times New Roman" w:hAnsi="Times New Roman" w:cs="Times New Roman"/>
          <w:sz w:val="24"/>
          <w:szCs w:val="24"/>
        </w:rPr>
      </w:pPr>
    </w:p>
    <w:p w14:paraId="0DD45C34" w14:textId="77777777" w:rsidR="00492E38" w:rsidRDefault="00492E38" w:rsidP="004850AC">
      <w:pPr>
        <w:pStyle w:val="ListParagraph"/>
        <w:numPr>
          <w:ilvl w:val="0"/>
          <w:numId w:val="1"/>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Archival sources</w:t>
      </w:r>
    </w:p>
    <w:p w14:paraId="26E1F442" w14:textId="77777777"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 xml:space="preserve">The archival sources are alumni lists, professional association membership lists, and corporate directories. The list of schools includes all major mining and metallurgical engineering programs in the United States with nearly comprehensive coverage from 1870-1915, as well as several major school programs in Mexico, England, Germany, and France. The two corporate directories include all significant mining and metallurgical firms in the Anglo-American sphere, operating in mining districts around the world. Full bibliographic citations are available on request. </w:t>
      </w:r>
    </w:p>
    <w:p w14:paraId="456458C0" w14:textId="77777777" w:rsidR="00492E38" w:rsidRDefault="00492E38" w:rsidP="004850AC">
      <w:pPr>
        <w:jc w:val="both"/>
        <w:rPr>
          <w:rFonts w:ascii="Times New Roman" w:hAnsi="Times New Roman" w:cs="Times New Roman"/>
          <w:sz w:val="24"/>
          <w:szCs w:val="24"/>
        </w:rPr>
      </w:pPr>
    </w:p>
    <w:p w14:paraId="35AD903F" w14:textId="77777777" w:rsidR="00492E38" w:rsidRDefault="00492E38" w:rsidP="004850AC">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Alumni lists</w:t>
      </w:r>
    </w:p>
    <w:p w14:paraId="5E839A33"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University of Arizona, 1895-1915</w:t>
      </w:r>
    </w:p>
    <w:p w14:paraId="433D75AE"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Camborne School of Mines (UK), 1898-1940</w:t>
      </w:r>
    </w:p>
    <w:p w14:paraId="27D85FF7" w14:textId="68BA7714"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Colorado School of Mines,</w:t>
      </w:r>
      <w:r w:rsidR="001A37E0">
        <w:rPr>
          <w:rFonts w:ascii="Times New Roman" w:hAnsi="Times New Roman" w:cs="Times New Roman"/>
          <w:sz w:val="24"/>
          <w:szCs w:val="24"/>
        </w:rPr>
        <w:t xml:space="preserve"> </w:t>
      </w:r>
      <w:r>
        <w:rPr>
          <w:rFonts w:ascii="Times New Roman" w:hAnsi="Times New Roman" w:cs="Times New Roman"/>
          <w:sz w:val="24"/>
          <w:szCs w:val="24"/>
        </w:rPr>
        <w:t xml:space="preserve">1883-1905 </w:t>
      </w:r>
    </w:p>
    <w:p w14:paraId="32E652B5"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Columbia University, School of Mines, 1867-1929</w:t>
      </w:r>
    </w:p>
    <w:p w14:paraId="48FFCAA3" w14:textId="77777777" w:rsidR="00492E38" w:rsidRDefault="00492E38" w:rsidP="004850AC">
      <w:pPr>
        <w:ind w:left="360" w:hanging="360"/>
        <w:rPr>
          <w:rFonts w:ascii="Times New Roman" w:hAnsi="Times New Roman" w:cs="Times New Roman"/>
          <w:sz w:val="24"/>
          <w:szCs w:val="24"/>
          <w:lang w:val="es-MX"/>
        </w:rPr>
      </w:pPr>
      <w:r>
        <w:rPr>
          <w:rFonts w:ascii="Times New Roman" w:hAnsi="Times New Roman" w:cs="Times New Roman"/>
          <w:sz w:val="24"/>
          <w:szCs w:val="24"/>
          <w:lang w:val="es-MX"/>
        </w:rPr>
        <w:t>Escuela Nacional Ingenieros (</w:t>
      </w:r>
      <w:proofErr w:type="spellStart"/>
      <w:r>
        <w:rPr>
          <w:rFonts w:ascii="Times New Roman" w:hAnsi="Times New Roman" w:cs="Times New Roman"/>
          <w:sz w:val="24"/>
          <w:szCs w:val="24"/>
          <w:lang w:val="es-MX"/>
        </w:rPr>
        <w:t>Mexico</w:t>
      </w:r>
      <w:proofErr w:type="spellEnd"/>
      <w:r>
        <w:rPr>
          <w:rFonts w:ascii="Times New Roman" w:hAnsi="Times New Roman" w:cs="Times New Roman"/>
          <w:sz w:val="24"/>
          <w:szCs w:val="24"/>
          <w:lang w:val="es-MX"/>
        </w:rPr>
        <w:t>), 1868-1905</w:t>
      </w:r>
    </w:p>
    <w:p w14:paraId="180DA3BD" w14:textId="77777777" w:rsidR="00492E38" w:rsidRDefault="00492E38" w:rsidP="004850AC">
      <w:pPr>
        <w:ind w:left="360" w:hanging="360"/>
        <w:rPr>
          <w:rFonts w:ascii="Times New Roman" w:hAnsi="Times New Roman" w:cs="Times New Roman"/>
          <w:sz w:val="24"/>
          <w:szCs w:val="24"/>
          <w:lang w:val="es-MX"/>
        </w:rPr>
      </w:pPr>
      <w:proofErr w:type="spellStart"/>
      <w:r>
        <w:rPr>
          <w:rFonts w:ascii="Times New Roman" w:hAnsi="Times New Roman" w:cs="Times New Roman"/>
          <w:sz w:val="24"/>
          <w:szCs w:val="24"/>
          <w:lang w:val="es-MX"/>
        </w:rPr>
        <w:t>École</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National</w:t>
      </w:r>
      <w:proofErr w:type="spellEnd"/>
      <w:r>
        <w:rPr>
          <w:rFonts w:ascii="Times New Roman" w:hAnsi="Times New Roman" w:cs="Times New Roman"/>
          <w:sz w:val="24"/>
          <w:szCs w:val="24"/>
          <w:lang w:val="es-MX"/>
        </w:rPr>
        <w:t xml:space="preserve"> </w:t>
      </w:r>
      <w:proofErr w:type="gramStart"/>
      <w:r>
        <w:rPr>
          <w:rFonts w:ascii="Times New Roman" w:hAnsi="Times New Roman" w:cs="Times New Roman"/>
          <w:sz w:val="24"/>
          <w:szCs w:val="24"/>
          <w:lang w:val="es-MX"/>
        </w:rPr>
        <w:t>des Mines</w:t>
      </w:r>
      <w:proofErr w:type="gramEnd"/>
      <w:r>
        <w:rPr>
          <w:rFonts w:ascii="Times New Roman" w:hAnsi="Times New Roman" w:cs="Times New Roman"/>
          <w:sz w:val="24"/>
          <w:szCs w:val="24"/>
          <w:lang w:val="es-MX"/>
        </w:rPr>
        <w:t xml:space="preserve"> (France), 1871-1922</w:t>
      </w:r>
    </w:p>
    <w:p w14:paraId="5E4F38F0" w14:textId="77777777" w:rsidR="00492E38" w:rsidRPr="00B2485D" w:rsidRDefault="00492E38" w:rsidP="004850AC">
      <w:pPr>
        <w:ind w:left="360" w:hanging="360"/>
        <w:rPr>
          <w:rFonts w:ascii="Times New Roman" w:hAnsi="Times New Roman" w:cs="Times New Roman"/>
          <w:sz w:val="24"/>
          <w:szCs w:val="24"/>
          <w:lang w:val="es-MX"/>
        </w:rPr>
      </w:pPr>
      <w:proofErr w:type="spellStart"/>
      <w:r w:rsidRPr="00B2485D">
        <w:rPr>
          <w:rFonts w:ascii="Times New Roman" w:hAnsi="Times New Roman" w:cs="Times New Roman"/>
          <w:sz w:val="24"/>
          <w:szCs w:val="24"/>
          <w:lang w:val="es-MX"/>
        </w:rPr>
        <w:t>École</w:t>
      </w:r>
      <w:proofErr w:type="spellEnd"/>
      <w:r w:rsidRPr="00B2485D">
        <w:rPr>
          <w:rFonts w:ascii="Times New Roman" w:hAnsi="Times New Roman" w:cs="Times New Roman"/>
          <w:sz w:val="24"/>
          <w:szCs w:val="24"/>
          <w:lang w:val="es-MX"/>
        </w:rPr>
        <w:t xml:space="preserve"> </w:t>
      </w:r>
      <w:proofErr w:type="spellStart"/>
      <w:r w:rsidRPr="00B2485D">
        <w:rPr>
          <w:rFonts w:ascii="Times New Roman" w:hAnsi="Times New Roman" w:cs="Times New Roman"/>
          <w:sz w:val="24"/>
          <w:szCs w:val="24"/>
          <w:lang w:val="es-MX"/>
        </w:rPr>
        <w:t>Nationale</w:t>
      </w:r>
      <w:proofErr w:type="spellEnd"/>
      <w:r w:rsidRPr="00B2485D">
        <w:rPr>
          <w:rFonts w:ascii="Times New Roman" w:hAnsi="Times New Roman" w:cs="Times New Roman"/>
          <w:sz w:val="24"/>
          <w:szCs w:val="24"/>
          <w:lang w:val="es-MX"/>
        </w:rPr>
        <w:t xml:space="preserve"> </w:t>
      </w:r>
      <w:proofErr w:type="gramStart"/>
      <w:r w:rsidRPr="00B2485D">
        <w:rPr>
          <w:rFonts w:ascii="Times New Roman" w:hAnsi="Times New Roman" w:cs="Times New Roman"/>
          <w:sz w:val="24"/>
          <w:szCs w:val="24"/>
          <w:lang w:val="es-MX"/>
        </w:rPr>
        <w:t>des Mines</w:t>
      </w:r>
      <w:proofErr w:type="gramEnd"/>
      <w:r w:rsidRPr="00B2485D">
        <w:rPr>
          <w:rFonts w:ascii="Times New Roman" w:hAnsi="Times New Roman" w:cs="Times New Roman"/>
          <w:sz w:val="24"/>
          <w:szCs w:val="24"/>
          <w:lang w:val="es-MX"/>
        </w:rPr>
        <w:t xml:space="preserve"> de Saint-Étienne (France), 1871-1922</w:t>
      </w:r>
    </w:p>
    <w:p w14:paraId="204840A2" w14:textId="77777777" w:rsidR="00492E38" w:rsidRPr="00D56B96" w:rsidRDefault="00492E38" w:rsidP="004850AC">
      <w:pPr>
        <w:ind w:left="360" w:hanging="360"/>
        <w:rPr>
          <w:rFonts w:ascii="Times New Roman" w:hAnsi="Times New Roman" w:cs="Times New Roman"/>
          <w:sz w:val="24"/>
          <w:szCs w:val="24"/>
          <w:lang w:val="es-MX"/>
        </w:rPr>
      </w:pPr>
      <w:proofErr w:type="spellStart"/>
      <w:r w:rsidRPr="00D56B96">
        <w:rPr>
          <w:rFonts w:ascii="Times New Roman" w:hAnsi="Times New Roman" w:cs="Times New Roman"/>
          <w:sz w:val="24"/>
          <w:szCs w:val="24"/>
          <w:lang w:val="es-MX"/>
        </w:rPr>
        <w:t>BergAkademie</w:t>
      </w:r>
      <w:proofErr w:type="spellEnd"/>
      <w:r w:rsidRPr="00D56B96">
        <w:rPr>
          <w:rFonts w:ascii="Times New Roman" w:hAnsi="Times New Roman" w:cs="Times New Roman"/>
          <w:sz w:val="24"/>
          <w:szCs w:val="24"/>
          <w:lang w:val="es-MX"/>
        </w:rPr>
        <w:t xml:space="preserve"> Freiberg (</w:t>
      </w:r>
      <w:proofErr w:type="spellStart"/>
      <w:r w:rsidRPr="00D56B96">
        <w:rPr>
          <w:rFonts w:ascii="Times New Roman" w:hAnsi="Times New Roman" w:cs="Times New Roman"/>
          <w:sz w:val="24"/>
          <w:szCs w:val="24"/>
          <w:lang w:val="es-MX"/>
        </w:rPr>
        <w:t>Germany</w:t>
      </w:r>
      <w:proofErr w:type="spellEnd"/>
      <w:r w:rsidRPr="00D56B96">
        <w:rPr>
          <w:rFonts w:ascii="Times New Roman" w:hAnsi="Times New Roman" w:cs="Times New Roman"/>
          <w:sz w:val="24"/>
          <w:szCs w:val="24"/>
          <w:lang w:val="es-MX"/>
        </w:rPr>
        <w:t>), 1766-1939</w:t>
      </w:r>
    </w:p>
    <w:p w14:paraId="0EE43A7B"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Harvard University, 1811-1919</w:t>
      </w:r>
    </w:p>
    <w:p w14:paraId="64A439ED"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Lehigh University, 1874-1917</w:t>
      </w:r>
    </w:p>
    <w:p w14:paraId="0B4F309D"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 xml:space="preserve">Michigan College of Mines, </w:t>
      </w:r>
      <w:r>
        <w:rPr>
          <w:rFonts w:ascii="Times New Roman" w:hAnsi="Times New Roman" w:cs="Times New Roman"/>
          <w:sz w:val="24"/>
          <w:szCs w:val="24"/>
        </w:rPr>
        <w:tab/>
        <w:t>1888-1909</w:t>
      </w:r>
    </w:p>
    <w:p w14:paraId="78089FA5"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Missouri School of Mines, 1874-1915</w:t>
      </w:r>
    </w:p>
    <w:p w14:paraId="7DE16803"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MIT, 1861-1940</w:t>
      </w:r>
    </w:p>
    <w:p w14:paraId="4B602AA8" w14:textId="787EB3A4"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Montana School of Mines,</w:t>
      </w:r>
      <w:r w:rsidR="001A37E0">
        <w:rPr>
          <w:rFonts w:ascii="Times New Roman" w:hAnsi="Times New Roman" w:cs="Times New Roman"/>
          <w:sz w:val="24"/>
          <w:szCs w:val="24"/>
        </w:rPr>
        <w:t xml:space="preserve"> </w:t>
      </w:r>
      <w:r>
        <w:rPr>
          <w:rFonts w:ascii="Times New Roman" w:hAnsi="Times New Roman" w:cs="Times New Roman"/>
          <w:sz w:val="24"/>
          <w:szCs w:val="24"/>
        </w:rPr>
        <w:t>1903-1925</w:t>
      </w:r>
    </w:p>
    <w:p w14:paraId="43515AB4"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Pennsylvania State College, School of Mines, 1861-1916</w:t>
      </w:r>
    </w:p>
    <w:p w14:paraId="231185E8"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Royal School of Mines (UK), 1812-1920</w:t>
      </w:r>
    </w:p>
    <w:p w14:paraId="724AD8F0"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Stanford University, 1892-1899</w:t>
      </w:r>
    </w:p>
    <w:p w14:paraId="3C717037"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University of Minnesota, Minnesota School of Mines, 1902-1924</w:t>
      </w:r>
    </w:p>
    <w:p w14:paraId="66EABFBA"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University of Nevada, Mackay School of Mines, 1876-1917</w:t>
      </w:r>
    </w:p>
    <w:p w14:paraId="56CA22ED"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University of New Mexico, 1890-1921</w:t>
      </w:r>
    </w:p>
    <w:p w14:paraId="23AACE91"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University of South Dakota, 1888-1915</w:t>
      </w:r>
    </w:p>
    <w:p w14:paraId="6AC35CCD"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University of West Virginia, 1905-1919/20</w:t>
      </w:r>
    </w:p>
    <w:p w14:paraId="63CC134A"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Worcester Polytechnic, 1871-1926</w:t>
      </w:r>
    </w:p>
    <w:p w14:paraId="270CF086"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 xml:space="preserve">Yale University, Sheffield Scientific School (Mining and Metallurgy), </w:t>
      </w:r>
    </w:p>
    <w:p w14:paraId="36741B13"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Total number of cells: 1,980,712</w:t>
      </w:r>
    </w:p>
    <w:p w14:paraId="1F3F6BF1"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Total number of individuals: 66591</w:t>
      </w:r>
    </w:p>
    <w:p w14:paraId="5F1CAD54" w14:textId="77777777" w:rsidR="00492E38" w:rsidRDefault="00492E38" w:rsidP="004850AC">
      <w:pPr>
        <w:ind w:left="360" w:hanging="360"/>
        <w:rPr>
          <w:rFonts w:ascii="Times New Roman" w:hAnsi="Times New Roman" w:cs="Times New Roman"/>
          <w:sz w:val="24"/>
          <w:szCs w:val="24"/>
        </w:rPr>
      </w:pPr>
    </w:p>
    <w:p w14:paraId="6A3252DE"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b/>
          <w:sz w:val="24"/>
          <w:szCs w:val="24"/>
          <w:u w:val="single"/>
        </w:rPr>
        <w:t>Professional Association – AIME</w:t>
      </w:r>
    </w:p>
    <w:p w14:paraId="27A2094F" w14:textId="3B5C3DD3"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American Institute of Mining Engineers.</w:t>
      </w:r>
      <w:r w:rsidR="001A37E0">
        <w:rPr>
          <w:rFonts w:ascii="Times New Roman" w:hAnsi="Times New Roman" w:cs="Times New Roman"/>
          <w:sz w:val="24"/>
          <w:szCs w:val="24"/>
        </w:rPr>
        <w:t xml:space="preserve"> </w:t>
      </w:r>
      <w:r>
        <w:rPr>
          <w:rFonts w:ascii="Times New Roman" w:hAnsi="Times New Roman" w:cs="Times New Roman"/>
          <w:sz w:val="24"/>
          <w:szCs w:val="24"/>
        </w:rPr>
        <w:t>[members &amp; associates lists]</w:t>
      </w:r>
    </w:p>
    <w:p w14:paraId="0E4BDC71"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ab/>
        <w:t>1873-1896, 1896, 1898-99, 1901-03, 1906, 1912</w:t>
      </w:r>
    </w:p>
    <w:p w14:paraId="0F548C22"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Total number of cells: 289,548</w:t>
      </w:r>
    </w:p>
    <w:p w14:paraId="3990A6DB" w14:textId="77777777" w:rsidR="00492E38" w:rsidRDefault="00492E38" w:rsidP="004850AC">
      <w:pPr>
        <w:ind w:left="360" w:hanging="360"/>
        <w:rPr>
          <w:rFonts w:ascii="Times New Roman" w:hAnsi="Times New Roman" w:cs="Times New Roman"/>
          <w:sz w:val="24"/>
          <w:szCs w:val="24"/>
        </w:rPr>
      </w:pPr>
    </w:p>
    <w:p w14:paraId="7D5DE35E"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b/>
          <w:sz w:val="24"/>
          <w:szCs w:val="24"/>
          <w:u w:val="single"/>
        </w:rPr>
        <w:t>Corporate Directories</w:t>
      </w:r>
    </w:p>
    <w:p w14:paraId="15E875C0" w14:textId="46F66F65"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u w:val="single"/>
        </w:rPr>
        <w:t>American Mining Manual</w:t>
      </w:r>
      <w:r>
        <w:rPr>
          <w:rFonts w:ascii="Times New Roman" w:hAnsi="Times New Roman" w:cs="Times New Roman"/>
          <w:sz w:val="24"/>
          <w:szCs w:val="24"/>
        </w:rPr>
        <w:t xml:space="preserve"> (AMM; sometimes International Mining Manual), embracing the principal operating metal mines, mills, smelting &amp; refining plants of the United States, </w:t>
      </w:r>
      <w:r>
        <w:rPr>
          <w:rFonts w:ascii="Times New Roman" w:hAnsi="Times New Roman" w:cs="Times New Roman"/>
          <w:sz w:val="24"/>
          <w:szCs w:val="24"/>
        </w:rPr>
        <w:lastRenderedPageBreak/>
        <w:t xml:space="preserve">Mexico and Canada and coal mines of the western states, </w:t>
      </w:r>
      <w:proofErr w:type="gramStart"/>
      <w:r>
        <w:rPr>
          <w:rFonts w:ascii="Times New Roman" w:hAnsi="Times New Roman" w:cs="Times New Roman"/>
          <w:sz w:val="24"/>
          <w:szCs w:val="24"/>
        </w:rPr>
        <w:t>Mexico</w:t>
      </w:r>
      <w:proofErr w:type="gramEnd"/>
      <w:r>
        <w:rPr>
          <w:rFonts w:ascii="Times New Roman" w:hAnsi="Times New Roman" w:cs="Times New Roman"/>
          <w:sz w:val="24"/>
          <w:szCs w:val="24"/>
        </w:rPr>
        <w:t xml:space="preserve"> and Canada.</w:t>
      </w:r>
      <w:r w:rsidR="001A37E0">
        <w:rPr>
          <w:rFonts w:ascii="Times New Roman" w:hAnsi="Times New Roman" w:cs="Times New Roman"/>
          <w:sz w:val="24"/>
          <w:szCs w:val="24"/>
        </w:rPr>
        <w:t xml:space="preserve"> </w:t>
      </w:r>
      <w:r>
        <w:rPr>
          <w:rFonts w:ascii="Times New Roman" w:hAnsi="Times New Roman" w:cs="Times New Roman"/>
          <w:sz w:val="24"/>
          <w:szCs w:val="24"/>
        </w:rPr>
        <w:t>Alexander R. Dunbar, ed.</w:t>
      </w:r>
      <w:r w:rsidR="001A37E0">
        <w:rPr>
          <w:rFonts w:ascii="Times New Roman" w:hAnsi="Times New Roman" w:cs="Times New Roman"/>
          <w:sz w:val="24"/>
          <w:szCs w:val="24"/>
        </w:rPr>
        <w:t xml:space="preserve"> </w:t>
      </w:r>
      <w:r>
        <w:rPr>
          <w:rFonts w:ascii="Times New Roman" w:hAnsi="Times New Roman" w:cs="Times New Roman"/>
          <w:sz w:val="24"/>
          <w:szCs w:val="24"/>
        </w:rPr>
        <w:t xml:space="preserve">Denver: Western Mining Directory Co.: 1907, 1911, 1916, 1919, 1920, 1922 </w:t>
      </w:r>
    </w:p>
    <w:p w14:paraId="11FA101C"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u w:val="single"/>
        </w:rPr>
        <w:t xml:space="preserve">Mining </w:t>
      </w:r>
      <w:proofErr w:type="gramStart"/>
      <w:r>
        <w:rPr>
          <w:rFonts w:ascii="Times New Roman" w:hAnsi="Times New Roman" w:cs="Times New Roman"/>
          <w:sz w:val="24"/>
          <w:szCs w:val="24"/>
          <w:u w:val="single"/>
        </w:rPr>
        <w:t>Year Book</w:t>
      </w:r>
      <w:proofErr w:type="gramEnd"/>
      <w:r>
        <w:rPr>
          <w:rFonts w:ascii="Times New Roman" w:hAnsi="Times New Roman" w:cs="Times New Roman"/>
          <w:sz w:val="24"/>
          <w:szCs w:val="24"/>
        </w:rPr>
        <w:t xml:space="preserve"> (MYB) containing full particulars of mining companies. Walter R. Skinner. London: The Financial Times: 1887-1889, 1891, 1893-1895, 1903, 1908-1923 </w:t>
      </w:r>
    </w:p>
    <w:p w14:paraId="4148AEFB" w14:textId="117AA4BB"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u w:val="single"/>
        </w:rPr>
        <w:t>The Mexican Magazine</w:t>
      </w:r>
      <w:r>
        <w:rPr>
          <w:rFonts w:ascii="Times New Roman" w:hAnsi="Times New Roman" w:cs="Times New Roman"/>
          <w:sz w:val="24"/>
          <w:szCs w:val="24"/>
        </w:rPr>
        <w:t>. México, D.F.</w:t>
      </w:r>
      <w:r w:rsidR="001A37E0">
        <w:rPr>
          <w:rFonts w:ascii="Times New Roman" w:hAnsi="Times New Roman" w:cs="Times New Roman"/>
          <w:sz w:val="24"/>
          <w:szCs w:val="24"/>
        </w:rPr>
        <w:t xml:space="preserve"> </w:t>
      </w:r>
      <w:r>
        <w:rPr>
          <w:rFonts w:ascii="Times New Roman" w:hAnsi="Times New Roman" w:cs="Times New Roman"/>
          <w:sz w:val="24"/>
          <w:szCs w:val="24"/>
        </w:rPr>
        <w:t>1926</w:t>
      </w:r>
    </w:p>
    <w:p w14:paraId="1C6D9E7D" w14:textId="77777777"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Total number of cells: 15,141,420</w:t>
      </w:r>
    </w:p>
    <w:p w14:paraId="3465E9F1" w14:textId="77777777" w:rsidR="00492E38" w:rsidRDefault="00492E38" w:rsidP="004850AC">
      <w:pPr>
        <w:jc w:val="both"/>
        <w:rPr>
          <w:rFonts w:ascii="Times New Roman" w:hAnsi="Times New Roman" w:cs="Times New Roman"/>
          <w:sz w:val="24"/>
          <w:szCs w:val="24"/>
        </w:rPr>
      </w:pPr>
    </w:p>
    <w:p w14:paraId="44CC95CC" w14:textId="77777777" w:rsidR="00492E38" w:rsidRDefault="00492E38" w:rsidP="004850AC">
      <w:pPr>
        <w:pStyle w:val="ListParagraph"/>
        <w:numPr>
          <w:ilvl w:val="0"/>
          <w:numId w:val="1"/>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Extraction, cleaning, and name parsing</w:t>
      </w:r>
    </w:p>
    <w:p w14:paraId="779B8561" w14:textId="59F26CC0"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 xml:space="preserve">The extraction process follows the digitized text documents generated through </w:t>
      </w:r>
      <w:proofErr w:type="spellStart"/>
      <w:r>
        <w:rPr>
          <w:rFonts w:ascii="Times New Roman" w:hAnsi="Times New Roman" w:cs="Times New Roman"/>
          <w:sz w:val="24"/>
          <w:szCs w:val="24"/>
        </w:rPr>
        <w:t>Hathitrust</w:t>
      </w:r>
      <w:proofErr w:type="spellEnd"/>
      <w:r>
        <w:rPr>
          <w:rFonts w:ascii="Times New Roman" w:hAnsi="Times New Roman" w:cs="Times New Roman"/>
          <w:sz w:val="24"/>
          <w:szCs w:val="24"/>
        </w:rPr>
        <w:t xml:space="preserve"> or through Adobe, file by file. The source format and the accuracy of the OCR require a specific combination of automated extraction, visual classification, and data validation. The cleaning and classification process used regular expressions in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w:t>
      </w:r>
      <w:r w:rsidR="002F6D70">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and several iterations of parsing through </w:t>
      </w:r>
      <w:proofErr w:type="spellStart"/>
      <w:r>
        <w:rPr>
          <w:rFonts w:ascii="Times New Roman" w:hAnsi="Times New Roman" w:cs="Times New Roman"/>
          <w:sz w:val="24"/>
          <w:szCs w:val="24"/>
        </w:rPr>
        <w:t>openrefine</w:t>
      </w:r>
      <w:proofErr w:type="spellEnd"/>
      <w:r>
        <w:rPr>
          <w:rFonts w:ascii="Times New Roman" w:hAnsi="Times New Roman" w:cs="Times New Roman"/>
          <w:sz w:val="24"/>
          <w:szCs w:val="24"/>
        </w:rPr>
        <w:t>.</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See our code (</w:t>
      </w:r>
      <w:proofErr w:type="spellStart"/>
      <w:proofErr w:type="gramStart"/>
      <w:r>
        <w:rPr>
          <w:rFonts w:ascii="Times New Roman" w:hAnsi="Times New Roman" w:cs="Times New Roman"/>
          <w:sz w:val="24"/>
          <w:szCs w:val="24"/>
        </w:rPr>
        <w:t>alumni.R</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corpis.R</w:t>
      </w:r>
      <w:proofErr w:type="spellEnd"/>
      <w:r>
        <w:rPr>
          <w:rFonts w:ascii="Times New Roman" w:hAnsi="Times New Roman" w:cs="Times New Roman"/>
          <w:sz w:val="24"/>
          <w:szCs w:val="24"/>
        </w:rPr>
        <w:t>)</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for the specific steps used for the different types of sources; all codes are available on request. </w:t>
      </w:r>
    </w:p>
    <w:p w14:paraId="2458C503" w14:textId="77777777" w:rsidR="00492E38" w:rsidRDefault="00492E38" w:rsidP="004850AC">
      <w:pPr>
        <w:ind w:firstLine="720"/>
        <w:jc w:val="both"/>
        <w:rPr>
          <w:rFonts w:ascii="Times New Roman" w:hAnsi="Times New Roman" w:cs="Times New Roman"/>
          <w:sz w:val="24"/>
          <w:szCs w:val="24"/>
        </w:rPr>
      </w:pPr>
      <w:r>
        <w:rPr>
          <w:rFonts w:ascii="Times New Roman" w:hAnsi="Times New Roman" w:cs="Times New Roman"/>
          <w:sz w:val="24"/>
          <w:szCs w:val="24"/>
        </w:rPr>
        <w:t xml:space="preserve">Name parsing for individuals was elaborated through a simplification of the name. Names appeared in the sources in several forms, from full names with titles to abbreviations with last names and initials. Some of them had different orthographies (as for Mc or Mac, or elimination of "von" or "de"), which further complicated the parsing. We simplified the orthographies and the structure into last name and initials to consolidate them. See the file </w:t>
      </w:r>
      <w:proofErr w:type="spellStart"/>
      <w:proofErr w:type="gramStart"/>
      <w:r>
        <w:rPr>
          <w:rFonts w:ascii="Times New Roman" w:hAnsi="Times New Roman" w:cs="Times New Roman"/>
          <w:sz w:val="24"/>
          <w:szCs w:val="24"/>
        </w:rPr>
        <w:t>combo.R</w:t>
      </w:r>
      <w:proofErr w:type="spellEnd"/>
      <w:proofErr w:type="gramEnd"/>
      <w:r>
        <w:rPr>
          <w:rFonts w:ascii="Times New Roman" w:hAnsi="Times New Roman" w:cs="Times New Roman"/>
          <w:sz w:val="24"/>
          <w:szCs w:val="24"/>
        </w:rPr>
        <w:t xml:space="preserve"> for the specific coding steps of consolidation. </w:t>
      </w:r>
    </w:p>
    <w:p w14:paraId="7C8AD7C8" w14:textId="77777777" w:rsidR="00492E38" w:rsidRDefault="00492E38" w:rsidP="004850AC">
      <w:pPr>
        <w:ind w:firstLine="360"/>
        <w:jc w:val="both"/>
        <w:rPr>
          <w:rFonts w:ascii="Times New Roman" w:hAnsi="Times New Roman" w:cs="Times New Roman"/>
          <w:sz w:val="24"/>
          <w:szCs w:val="24"/>
        </w:rPr>
      </w:pPr>
      <w:r>
        <w:rPr>
          <w:rFonts w:ascii="Times New Roman" w:hAnsi="Times New Roman" w:cs="Times New Roman"/>
          <w:sz w:val="24"/>
          <w:szCs w:val="24"/>
        </w:rPr>
        <w:t xml:space="preserve">Name parsing for organizations is more complicated, as organizations changed their name, consolidated with others, were </w:t>
      </w:r>
      <w:proofErr w:type="gramStart"/>
      <w:r>
        <w:rPr>
          <w:rFonts w:ascii="Times New Roman" w:hAnsi="Times New Roman" w:cs="Times New Roman"/>
          <w:sz w:val="24"/>
          <w:szCs w:val="24"/>
        </w:rPr>
        <w:t>absorbed</w:t>
      </w:r>
      <w:proofErr w:type="gramEnd"/>
      <w:r>
        <w:rPr>
          <w:rFonts w:ascii="Times New Roman" w:hAnsi="Times New Roman" w:cs="Times New Roman"/>
          <w:sz w:val="24"/>
          <w:szCs w:val="24"/>
        </w:rPr>
        <w:t xml:space="preserve"> or simply registered as a subsidiary on some occasions.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Naming authorities contain a small amount of information for these entities, as thousands of firms appeared and disappeared in a relatively short amount of time. Consequently, the name parsing was a combination of cleaning through regular expressions, searches through the Virtual International Authority File database,</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and use of </w:t>
      </w:r>
      <w:proofErr w:type="spellStart"/>
      <w:r>
        <w:rPr>
          <w:rFonts w:ascii="Times New Roman" w:hAnsi="Times New Roman" w:cs="Times New Roman"/>
          <w:sz w:val="24"/>
          <w:szCs w:val="24"/>
        </w:rPr>
        <w:t>openrefine</w:t>
      </w:r>
      <w:proofErr w:type="spellEnd"/>
      <w:r>
        <w:rPr>
          <w:rFonts w:ascii="Times New Roman" w:hAnsi="Times New Roman" w:cs="Times New Roman"/>
          <w:sz w:val="24"/>
          <w:szCs w:val="24"/>
        </w:rPr>
        <w:t xml:space="preserve">. See the file </w:t>
      </w:r>
      <w:proofErr w:type="spellStart"/>
      <w:proofErr w:type="gramStart"/>
      <w:r>
        <w:rPr>
          <w:rFonts w:ascii="Times New Roman" w:hAnsi="Times New Roman" w:cs="Times New Roman"/>
          <w:sz w:val="24"/>
          <w:szCs w:val="24"/>
        </w:rPr>
        <w:t>corpis.R</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combo.R</w:t>
      </w:r>
      <w:proofErr w:type="spellEnd"/>
      <w:r>
        <w:rPr>
          <w:rFonts w:ascii="Times New Roman" w:hAnsi="Times New Roman" w:cs="Times New Roman"/>
          <w:sz w:val="24"/>
          <w:szCs w:val="24"/>
        </w:rPr>
        <w:t xml:space="preserve"> for the specific criteria. </w:t>
      </w:r>
    </w:p>
    <w:p w14:paraId="75850FBC" w14:textId="77777777" w:rsidR="00492E38" w:rsidRDefault="00492E38" w:rsidP="004850AC">
      <w:pPr>
        <w:jc w:val="both"/>
        <w:rPr>
          <w:rFonts w:ascii="Times New Roman" w:hAnsi="Times New Roman" w:cs="Times New Roman"/>
          <w:sz w:val="24"/>
          <w:szCs w:val="24"/>
        </w:rPr>
      </w:pPr>
    </w:p>
    <w:p w14:paraId="0CB997B6" w14:textId="77777777" w:rsidR="00492E38" w:rsidRDefault="00492E38" w:rsidP="004850AC">
      <w:pPr>
        <w:pStyle w:val="ListParagraph"/>
        <w:numPr>
          <w:ilvl w:val="0"/>
          <w:numId w:val="1"/>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General characteristics of the database</w:t>
      </w:r>
    </w:p>
    <w:p w14:paraId="123C239E" w14:textId="77777777"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 xml:space="preserve">The database was compiled using R software into a tidy format. Values, or the discrete pieces of information, are organized in variables, with all values with the same attribute and observations, </w:t>
      </w:r>
      <w:r>
        <w:rPr>
          <w:rFonts w:ascii="Times New Roman" w:hAnsi="Times New Roman" w:cs="Times New Roman"/>
          <w:sz w:val="24"/>
          <w:szCs w:val="24"/>
        </w:rPr>
        <w:lastRenderedPageBreak/>
        <w:t>and all values measured in the same unit.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Throughout the cleaning process, we can identify three units that conform to the database: rows of text, individuals, and organizations. </w:t>
      </w:r>
    </w:p>
    <w:p w14:paraId="282F2DE8" w14:textId="77777777" w:rsidR="00492E38" w:rsidRDefault="00492E38" w:rsidP="004850AC">
      <w:pPr>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t xml:space="preserve">The units as rows of text are the original form of extraction on the database. The classification process then identifies the type of information through regular expressions but keeping a particular row ID (which allows us to trace back the data mining process). A single row can then contain an observation of the pattern that is the focus of the original source, either an individual-centered list or an organizational-centered list. In many cases, a combination between several rows appears. Non-classified information and trash were eliminated from this original text-centered dataset in the cleaning process, and the total number of values in this dataset is </w:t>
      </w:r>
      <w:r>
        <w:rPr>
          <w:rFonts w:ascii="Times New Roman" w:eastAsia="Times New Roman" w:hAnsi="Times New Roman" w:cs="Times New Roman"/>
          <w:color w:val="000000"/>
          <w:sz w:val="24"/>
          <w:szCs w:val="24"/>
        </w:rPr>
        <w:t>18,210,654.</w:t>
      </w:r>
    </w:p>
    <w:p w14:paraId="3500D807" w14:textId="66CCD6B8" w:rsidR="00492E38" w:rsidRDefault="00492E38" w:rsidP="004850AC">
      <w:pPr>
        <w:ind w:firstLine="720"/>
        <w:jc w:val="both"/>
        <w:rPr>
          <w:rFonts w:ascii="Times New Roman" w:hAnsi="Times New Roman" w:cs="Times New Roman"/>
          <w:sz w:val="24"/>
          <w:szCs w:val="24"/>
        </w:rPr>
      </w:pPr>
      <w:r>
        <w:rPr>
          <w:rFonts w:ascii="Times New Roman" w:hAnsi="Times New Roman" w:cs="Times New Roman"/>
          <w:sz w:val="24"/>
          <w:szCs w:val="24"/>
        </w:rPr>
        <w:t xml:space="preserve">The classification process then proceeds to identify the patterns of occurrence of information in every row and the relationship with other rows. While keeping the row ID, the classification assigns characteristics from other rows into a single unit. This transforms the database from one centered on rows of text, in which the observation is a line, into two types of datasets: one centered around individuals (in which individuals are the units) and one centered around organizations/companies (in which companies are the units). The </w:t>
      </w:r>
      <w:r w:rsidR="006818CC">
        <w:rPr>
          <w:rFonts w:ascii="Times New Roman" w:hAnsi="Times New Roman" w:cs="Times New Roman"/>
          <w:sz w:val="24"/>
          <w:szCs w:val="24"/>
        </w:rPr>
        <w:t>properties</w:t>
      </w:r>
      <w:r>
        <w:rPr>
          <w:rFonts w:ascii="Times New Roman" w:hAnsi="Times New Roman" w:cs="Times New Roman"/>
          <w:sz w:val="24"/>
          <w:szCs w:val="24"/>
        </w:rPr>
        <w:t xml:space="preserve"> of the different rows are classified into attributes of organizations (capital, incorporation, technology, employees, etc.) and individuals' </w:t>
      </w:r>
      <w:r w:rsidR="006818CC">
        <w:rPr>
          <w:rFonts w:ascii="Times New Roman" w:hAnsi="Times New Roman" w:cs="Times New Roman"/>
          <w:sz w:val="24"/>
          <w:szCs w:val="24"/>
        </w:rPr>
        <w:t>characteristic</w:t>
      </w:r>
      <w:r>
        <w:rPr>
          <w:rFonts w:ascii="Times New Roman" w:hAnsi="Times New Roman" w:cs="Times New Roman"/>
          <w:sz w:val="24"/>
          <w:szCs w:val="24"/>
        </w:rPr>
        <w:t xml:space="preserve">s (place of origin, education, employment, etc.). </w:t>
      </w:r>
    </w:p>
    <w:p w14:paraId="7C6C479A" w14:textId="1C8D4AAE" w:rsidR="00492E38" w:rsidRDefault="00492E38" w:rsidP="004850AC">
      <w:pPr>
        <w:ind w:firstLine="720"/>
        <w:jc w:val="both"/>
        <w:rPr>
          <w:rFonts w:ascii="Times New Roman" w:hAnsi="Times New Roman" w:cs="Times New Roman"/>
          <w:sz w:val="24"/>
          <w:szCs w:val="24"/>
        </w:rPr>
      </w:pPr>
      <w:r>
        <w:rPr>
          <w:rFonts w:ascii="Times New Roman" w:hAnsi="Times New Roman" w:cs="Times New Roman"/>
          <w:sz w:val="24"/>
          <w:szCs w:val="24"/>
        </w:rPr>
        <w:t xml:space="preserve">The dataset centered around individuals contains 315,137 observations of 15 variables, corresponding to 124,451 unique individuals. The dataset centered around organizations contains 116,780 observations of 16 variables, corresponding to 52,206 unique organizations. </w:t>
      </w:r>
      <w:r w:rsidR="001A37E0">
        <w:rPr>
          <w:rFonts w:ascii="Times New Roman" w:hAnsi="Times New Roman" w:cs="Times New Roman"/>
          <w:sz w:val="24"/>
          <w:szCs w:val="24"/>
        </w:rPr>
        <w:t>Both datasets can be described as</w:t>
      </w:r>
      <w:r w:rsidR="00B2485D">
        <w:rPr>
          <w:rFonts w:ascii="Times New Roman" w:hAnsi="Times New Roman" w:cs="Times New Roman"/>
          <w:sz w:val="24"/>
          <w:szCs w:val="24"/>
        </w:rPr>
        <w:t xml:space="preserve"> </w:t>
      </w:r>
      <w:r w:rsidR="001A37E0">
        <w:rPr>
          <w:rFonts w:ascii="Times New Roman" w:hAnsi="Times New Roman" w:cs="Times New Roman"/>
          <w:sz w:val="24"/>
          <w:szCs w:val="24"/>
        </w:rPr>
        <w:t>unbalanced data panels, like other datasets around firms and individuals</w:t>
      </w:r>
      <w:r w:rsidR="00E97389">
        <w:rPr>
          <w:rFonts w:ascii="Times New Roman" w:hAnsi="Times New Roman" w:cs="Times New Roman"/>
          <w:sz w:val="24"/>
          <w:szCs w:val="24"/>
        </w:rPr>
        <w:t xml:space="preserve">, with a </w:t>
      </w:r>
      <w:r w:rsidR="00E97389">
        <w:rPr>
          <w:rFonts w:ascii="Times New Roman" w:hAnsi="Times New Roman" w:cs="Times New Roman"/>
          <w:i/>
          <w:iCs/>
          <w:sz w:val="24"/>
          <w:szCs w:val="24"/>
        </w:rPr>
        <w:t xml:space="preserve">long </w:t>
      </w:r>
      <w:r w:rsidR="00E97389">
        <w:rPr>
          <w:rFonts w:ascii="Times New Roman" w:hAnsi="Times New Roman" w:cs="Times New Roman"/>
          <w:sz w:val="24"/>
          <w:szCs w:val="24"/>
        </w:rPr>
        <w:t xml:space="preserve">or </w:t>
      </w:r>
      <w:r w:rsidR="00E97389">
        <w:rPr>
          <w:rFonts w:ascii="Times New Roman" w:hAnsi="Times New Roman" w:cs="Times New Roman"/>
          <w:i/>
          <w:iCs/>
          <w:sz w:val="24"/>
          <w:szCs w:val="24"/>
        </w:rPr>
        <w:t xml:space="preserve">stacked </w:t>
      </w:r>
      <w:r w:rsidR="00E97389">
        <w:rPr>
          <w:rFonts w:ascii="Times New Roman" w:hAnsi="Times New Roman" w:cs="Times New Roman"/>
          <w:sz w:val="24"/>
          <w:szCs w:val="24"/>
        </w:rPr>
        <w:t>structure</w:t>
      </w:r>
      <w:r w:rsidR="001A37E0">
        <w:rPr>
          <w:rFonts w:ascii="Times New Roman" w:hAnsi="Times New Roman" w:cs="Times New Roman"/>
          <w:sz w:val="24"/>
          <w:szCs w:val="24"/>
        </w:rPr>
        <w:t>. The voluntary reporting, the transformations of corporate names and government agencies, and the sole existence of new actors (individual</w:t>
      </w:r>
      <w:r w:rsidR="00484F1C">
        <w:rPr>
          <w:rFonts w:ascii="Times New Roman" w:hAnsi="Times New Roman" w:cs="Times New Roman"/>
          <w:sz w:val="24"/>
          <w:szCs w:val="24"/>
        </w:rPr>
        <w:t>s</w:t>
      </w:r>
      <w:r w:rsidR="001A37E0">
        <w:rPr>
          <w:rFonts w:ascii="Times New Roman" w:hAnsi="Times New Roman" w:cs="Times New Roman"/>
          <w:sz w:val="24"/>
          <w:szCs w:val="24"/>
        </w:rPr>
        <w:t xml:space="preserve">, universities, </w:t>
      </w:r>
      <w:r w:rsidR="00484F1C">
        <w:rPr>
          <w:rFonts w:ascii="Times New Roman" w:hAnsi="Times New Roman" w:cs="Times New Roman"/>
          <w:sz w:val="24"/>
          <w:szCs w:val="24"/>
        </w:rPr>
        <w:t xml:space="preserve">and </w:t>
      </w:r>
      <w:r w:rsidR="001A37E0">
        <w:rPr>
          <w:rFonts w:ascii="Times New Roman" w:hAnsi="Times New Roman" w:cs="Times New Roman"/>
          <w:sz w:val="24"/>
          <w:szCs w:val="24"/>
        </w:rPr>
        <w:t xml:space="preserve">corporations, among others) appearing in the mining world make </w:t>
      </w:r>
      <w:r w:rsidR="00484F1C">
        <w:rPr>
          <w:rFonts w:ascii="Times New Roman" w:hAnsi="Times New Roman" w:cs="Times New Roman"/>
          <w:sz w:val="24"/>
          <w:szCs w:val="24"/>
        </w:rPr>
        <w:t>the construction of a complete dataset impossible</w:t>
      </w:r>
      <w:r w:rsidR="001A37E0">
        <w:rPr>
          <w:rFonts w:ascii="Times New Roman" w:hAnsi="Times New Roman" w:cs="Times New Roman"/>
          <w:sz w:val="24"/>
          <w:szCs w:val="24"/>
        </w:rPr>
        <w:t>.</w:t>
      </w:r>
      <w:r w:rsidR="00484F1C" w:rsidRPr="00484F1C">
        <w:rPr>
          <w:rStyle w:val="FootnoteReference"/>
          <w:rFonts w:ascii="Times New Roman" w:hAnsi="Times New Roman" w:cs="Times New Roman"/>
          <w:sz w:val="24"/>
          <w:szCs w:val="24"/>
        </w:rPr>
        <w:t xml:space="preserve"> </w:t>
      </w:r>
      <w:r w:rsidR="00484F1C">
        <w:rPr>
          <w:rStyle w:val="FootnoteReference"/>
          <w:rFonts w:ascii="Times New Roman" w:hAnsi="Times New Roman" w:cs="Times New Roman"/>
          <w:sz w:val="24"/>
          <w:szCs w:val="24"/>
        </w:rPr>
        <w:footnoteReference w:id="7"/>
      </w:r>
      <w:r w:rsidR="00484F1C">
        <w:rPr>
          <w:rFonts w:ascii="Times New Roman" w:hAnsi="Times New Roman" w:cs="Times New Roman"/>
          <w:sz w:val="24"/>
          <w:szCs w:val="24"/>
        </w:rPr>
        <w:t xml:space="preserve"> </w:t>
      </w:r>
      <w:r w:rsidR="001A37E0">
        <w:rPr>
          <w:rFonts w:ascii="Times New Roman" w:hAnsi="Times New Roman" w:cs="Times New Roman"/>
          <w:sz w:val="24"/>
          <w:szCs w:val="24"/>
        </w:rPr>
        <w:t>Nevertheless, we have no information to suspect that the missing observations are no</w:t>
      </w:r>
      <w:r w:rsidR="00484F1C">
        <w:rPr>
          <w:rFonts w:ascii="Times New Roman" w:hAnsi="Times New Roman" w:cs="Times New Roman"/>
          <w:sz w:val="24"/>
          <w:szCs w:val="24"/>
        </w:rPr>
        <w:t>n</w:t>
      </w:r>
      <w:r w:rsidR="001A37E0">
        <w:rPr>
          <w:rFonts w:ascii="Times New Roman" w:hAnsi="Times New Roman" w:cs="Times New Roman"/>
          <w:sz w:val="24"/>
          <w:szCs w:val="24"/>
        </w:rPr>
        <w:t xml:space="preserve">random, as incentives to report did not change during the period. </w:t>
      </w:r>
      <w:r>
        <w:rPr>
          <w:rFonts w:ascii="Times New Roman" w:hAnsi="Times New Roman" w:cs="Times New Roman"/>
          <w:sz w:val="24"/>
          <w:szCs w:val="24"/>
        </w:rPr>
        <w:t>Plot 1 shows the temporal density of individuals in the database, and Plot 2 shows the temporal density of companies in the database.</w:t>
      </w:r>
      <w:r w:rsidR="001A37E0">
        <w:rPr>
          <w:rFonts w:ascii="Times New Roman" w:hAnsi="Times New Roman" w:cs="Times New Roman"/>
          <w:sz w:val="24"/>
          <w:szCs w:val="24"/>
        </w:rPr>
        <w:t xml:space="preserve"> </w:t>
      </w:r>
    </w:p>
    <w:p w14:paraId="2B154F65" w14:textId="3983FD9D" w:rsidR="00D04206" w:rsidRDefault="00D04206" w:rsidP="002F6D70">
      <w:pPr>
        <w:ind w:firstLine="720"/>
        <w:jc w:val="both"/>
        <w:rPr>
          <w:rFonts w:ascii="Times New Roman" w:hAnsi="Times New Roman" w:cs="Times New Roman"/>
          <w:sz w:val="24"/>
          <w:szCs w:val="24"/>
        </w:rPr>
      </w:pPr>
      <w:r>
        <w:rPr>
          <w:rFonts w:ascii="Times New Roman" w:hAnsi="Times New Roman" w:cs="Times New Roman"/>
          <w:sz w:val="24"/>
          <w:szCs w:val="24"/>
        </w:rPr>
        <w:t>It is difficult to know f</w:t>
      </w:r>
      <w:r w:rsidR="002F6D70">
        <w:rPr>
          <w:rFonts w:ascii="Times New Roman" w:hAnsi="Times New Roman" w:cs="Times New Roman"/>
          <w:sz w:val="24"/>
          <w:szCs w:val="24"/>
        </w:rPr>
        <w:t>ro</w:t>
      </w:r>
      <w:r>
        <w:rPr>
          <w:rFonts w:ascii="Times New Roman" w:hAnsi="Times New Roman" w:cs="Times New Roman"/>
          <w:sz w:val="24"/>
          <w:szCs w:val="24"/>
        </w:rPr>
        <w:t xml:space="preserve">m the dataset the gender composition, but </w:t>
      </w:r>
      <w:r w:rsidR="002F6D70">
        <w:rPr>
          <w:rFonts w:ascii="Times New Roman" w:hAnsi="Times New Roman" w:cs="Times New Roman"/>
          <w:sz w:val="24"/>
          <w:szCs w:val="24"/>
        </w:rPr>
        <w:t xml:space="preserve">we used the </w:t>
      </w:r>
      <w:proofErr w:type="spellStart"/>
      <w:r>
        <w:rPr>
          <w:rFonts w:ascii="Times New Roman" w:hAnsi="Times New Roman" w:cs="Times New Roman"/>
          <w:sz w:val="24"/>
          <w:szCs w:val="24"/>
        </w:rPr>
        <w:t>genderdata</w:t>
      </w:r>
      <w:proofErr w:type="spellEnd"/>
      <w:r>
        <w:rPr>
          <w:rFonts w:ascii="Times New Roman" w:hAnsi="Times New Roman" w:cs="Times New Roman"/>
          <w:sz w:val="24"/>
          <w:szCs w:val="24"/>
        </w:rPr>
        <w:t xml:space="preserve"> package to make historical predictions of sex assigned at birth. </w:t>
      </w:r>
      <w:r w:rsidR="002F6D70">
        <w:rPr>
          <w:rFonts w:ascii="Times New Roman" w:hAnsi="Times New Roman" w:cs="Times New Roman"/>
          <w:sz w:val="24"/>
          <w:szCs w:val="24"/>
        </w:rPr>
        <w:t>We predicted</w:t>
      </w:r>
      <w:r>
        <w:rPr>
          <w:rFonts w:ascii="Times New Roman" w:hAnsi="Times New Roman" w:cs="Times New Roman"/>
          <w:sz w:val="24"/>
          <w:szCs w:val="24"/>
        </w:rPr>
        <w:t xml:space="preserve"> the sex assigned at birth of 70,834 individuals, almost 55% of the sample: from them, around 2.6% might have been female</w:t>
      </w:r>
      <w:r w:rsidR="002F6D70">
        <w:rPr>
          <w:rFonts w:ascii="Times New Roman" w:hAnsi="Times New Roman" w:cs="Times New Roman"/>
          <w:sz w:val="24"/>
          <w:szCs w:val="24"/>
        </w:rPr>
        <w:t>,</w:t>
      </w:r>
      <w:r>
        <w:rPr>
          <w:rFonts w:ascii="Times New Roman" w:hAnsi="Times New Roman" w:cs="Times New Roman"/>
          <w:sz w:val="24"/>
          <w:szCs w:val="24"/>
        </w:rPr>
        <w:t xml:space="preserve"> and 97.4% might have been male.</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The geographical distribution of the database is heavily concentrated in the North Atlantic for both the individual-centered dataset and the organization-centered dataset. We can identify 242,629 geolocations on the individual-centered dataset, </w:t>
      </w:r>
      <w:r>
        <w:rPr>
          <w:rFonts w:ascii="Times New Roman" w:hAnsi="Times New Roman" w:cs="Times New Roman"/>
          <w:sz w:val="24"/>
          <w:szCs w:val="24"/>
        </w:rPr>
        <w:lastRenderedPageBreak/>
        <w:t xml:space="preserve">corresponding to 23,644 different locations corresponding to 98,501 different individuals. We can identify </w:t>
      </w:r>
      <w:r w:rsidRPr="00D04206">
        <w:rPr>
          <w:rFonts w:ascii="Times New Roman" w:hAnsi="Times New Roman" w:cs="Times New Roman"/>
          <w:sz w:val="24"/>
          <w:szCs w:val="24"/>
        </w:rPr>
        <w:t>563</w:t>
      </w:r>
      <w:r>
        <w:rPr>
          <w:rFonts w:ascii="Times New Roman" w:hAnsi="Times New Roman" w:cs="Times New Roman"/>
          <w:sz w:val="24"/>
          <w:szCs w:val="24"/>
        </w:rPr>
        <w:t>,</w:t>
      </w:r>
      <w:r w:rsidRPr="00D04206">
        <w:rPr>
          <w:rFonts w:ascii="Times New Roman" w:hAnsi="Times New Roman" w:cs="Times New Roman"/>
          <w:sz w:val="24"/>
          <w:szCs w:val="24"/>
        </w:rPr>
        <w:t>693</w:t>
      </w:r>
      <w:r>
        <w:rPr>
          <w:rFonts w:ascii="Times New Roman" w:hAnsi="Times New Roman" w:cs="Times New Roman"/>
          <w:sz w:val="24"/>
          <w:szCs w:val="24"/>
        </w:rPr>
        <w:t xml:space="preserve"> geolocations on the </w:t>
      </w:r>
      <w:r w:rsidR="00D95235">
        <w:rPr>
          <w:rFonts w:ascii="Times New Roman" w:hAnsi="Times New Roman" w:cs="Times New Roman"/>
          <w:sz w:val="24"/>
          <w:szCs w:val="24"/>
        </w:rPr>
        <w:t>organization</w:t>
      </w:r>
      <w:r>
        <w:rPr>
          <w:rFonts w:ascii="Times New Roman" w:hAnsi="Times New Roman" w:cs="Times New Roman"/>
          <w:sz w:val="24"/>
          <w:szCs w:val="24"/>
        </w:rPr>
        <w:t>-centered dataset, corresponding to 3</w:t>
      </w:r>
      <w:r w:rsidR="002F6D70">
        <w:rPr>
          <w:rFonts w:ascii="Times New Roman" w:hAnsi="Times New Roman" w:cs="Times New Roman"/>
          <w:sz w:val="24"/>
          <w:szCs w:val="24"/>
        </w:rPr>
        <w:t>,</w:t>
      </w:r>
      <w:r>
        <w:rPr>
          <w:rFonts w:ascii="Times New Roman" w:hAnsi="Times New Roman" w:cs="Times New Roman"/>
          <w:sz w:val="24"/>
          <w:szCs w:val="24"/>
        </w:rPr>
        <w:t xml:space="preserve">105 </w:t>
      </w:r>
      <w:r w:rsidR="002F6D70">
        <w:rPr>
          <w:rFonts w:ascii="Times New Roman" w:hAnsi="Times New Roman" w:cs="Times New Roman"/>
          <w:sz w:val="24"/>
          <w:szCs w:val="24"/>
        </w:rPr>
        <w:t>locations and</w:t>
      </w:r>
      <w:r>
        <w:rPr>
          <w:rFonts w:ascii="Times New Roman" w:hAnsi="Times New Roman" w:cs="Times New Roman"/>
          <w:sz w:val="24"/>
          <w:szCs w:val="24"/>
        </w:rPr>
        <w:t xml:space="preserve"> 21,063 different </w:t>
      </w:r>
      <w:r w:rsidR="00D95235">
        <w:rPr>
          <w:rFonts w:ascii="Times New Roman" w:hAnsi="Times New Roman" w:cs="Times New Roman"/>
          <w:sz w:val="24"/>
          <w:szCs w:val="24"/>
        </w:rPr>
        <w:t>organizations</w:t>
      </w:r>
      <w:r>
        <w:rPr>
          <w:rFonts w:ascii="Times New Roman" w:hAnsi="Times New Roman" w:cs="Times New Roman"/>
          <w:sz w:val="24"/>
          <w:szCs w:val="24"/>
        </w:rPr>
        <w:t>.</w:t>
      </w:r>
      <w:r w:rsidR="002F6D70">
        <w:rPr>
          <w:rStyle w:val="FootnoteReference"/>
          <w:rFonts w:ascii="Times New Roman" w:hAnsi="Times New Roman" w:cs="Times New Roman"/>
          <w:sz w:val="24"/>
          <w:szCs w:val="24"/>
        </w:rPr>
        <w:footnoteReference w:id="9"/>
      </w:r>
    </w:p>
    <w:p w14:paraId="141A0527" w14:textId="77777777" w:rsidR="00F24CCA" w:rsidRDefault="00F24CCA" w:rsidP="004850AC">
      <w:pPr>
        <w:ind w:firstLine="720"/>
        <w:jc w:val="center"/>
        <w:rPr>
          <w:rFonts w:ascii="Times New Roman" w:hAnsi="Times New Roman" w:cs="Times New Roman"/>
          <w:sz w:val="24"/>
          <w:szCs w:val="24"/>
        </w:rPr>
      </w:pPr>
    </w:p>
    <w:p w14:paraId="6634259D" w14:textId="4A8A03AE" w:rsidR="00492E38" w:rsidRDefault="00492E38" w:rsidP="00D04206">
      <w:pPr>
        <w:ind w:firstLine="720"/>
        <w:jc w:val="center"/>
        <w:rPr>
          <w:rFonts w:ascii="Times New Roman" w:hAnsi="Times New Roman" w:cs="Times New Roman"/>
          <w:sz w:val="24"/>
          <w:szCs w:val="24"/>
        </w:rPr>
      </w:pPr>
      <w:r>
        <w:rPr>
          <w:rFonts w:ascii="Times New Roman" w:hAnsi="Times New Roman" w:cs="Times New Roman"/>
          <w:sz w:val="24"/>
          <w:szCs w:val="24"/>
        </w:rPr>
        <w:t>Plot 1. Total number of individuals in the individual-centered dataset.</w:t>
      </w:r>
      <w:r>
        <w:rPr>
          <w:noProof/>
        </w:rPr>
        <w:t xml:space="preserve"> </w:t>
      </w:r>
      <w:r w:rsidR="00D56B96">
        <w:rPr>
          <w:noProof/>
        </w:rPr>
        <w:drawing>
          <wp:inline distT="0" distB="0" distL="0" distR="0" wp14:anchorId="57C1A190" wp14:editId="15CC8F09">
            <wp:extent cx="5489882" cy="254317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5504843" cy="2550106"/>
                    </a:xfrm>
                    <a:prstGeom prst="rect">
                      <a:avLst/>
                    </a:prstGeom>
                  </pic:spPr>
                </pic:pic>
              </a:graphicData>
            </a:graphic>
          </wp:inline>
        </w:drawing>
      </w:r>
    </w:p>
    <w:p w14:paraId="1971CFEC" w14:textId="77777777" w:rsidR="002F6D70" w:rsidRDefault="002F6D70" w:rsidP="004850AC">
      <w:pPr>
        <w:ind w:firstLine="720"/>
        <w:jc w:val="center"/>
        <w:rPr>
          <w:rFonts w:ascii="Times New Roman" w:hAnsi="Times New Roman" w:cs="Times New Roman"/>
          <w:sz w:val="24"/>
          <w:szCs w:val="24"/>
        </w:rPr>
      </w:pPr>
    </w:p>
    <w:p w14:paraId="38C47A94" w14:textId="624558F0" w:rsidR="00492E38" w:rsidRDefault="00492E38" w:rsidP="004850AC">
      <w:pPr>
        <w:ind w:firstLine="720"/>
        <w:jc w:val="center"/>
        <w:rPr>
          <w:rFonts w:ascii="Times New Roman" w:hAnsi="Times New Roman" w:cs="Times New Roman"/>
          <w:sz w:val="24"/>
          <w:szCs w:val="24"/>
        </w:rPr>
      </w:pPr>
      <w:r>
        <w:rPr>
          <w:rFonts w:ascii="Times New Roman" w:hAnsi="Times New Roman" w:cs="Times New Roman"/>
          <w:sz w:val="24"/>
          <w:szCs w:val="24"/>
        </w:rPr>
        <w:t>Plot 2. Total number of organizations in the organization-centered dataset.</w:t>
      </w:r>
    </w:p>
    <w:p w14:paraId="649F5F99" w14:textId="050F2828" w:rsidR="00492E38" w:rsidRDefault="00D56B96" w:rsidP="004850AC">
      <w:pPr>
        <w:jc w:val="center"/>
        <w:rPr>
          <w:noProof/>
        </w:rPr>
      </w:pPr>
      <w:r>
        <w:rPr>
          <w:noProof/>
        </w:rPr>
        <w:drawing>
          <wp:inline distT="0" distB="0" distL="0" distR="0" wp14:anchorId="3D300FA9" wp14:editId="279FA464">
            <wp:extent cx="5448758" cy="2524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721" cy="2535689"/>
                    </a:xfrm>
                    <a:prstGeom prst="rect">
                      <a:avLst/>
                    </a:prstGeom>
                  </pic:spPr>
                </pic:pic>
              </a:graphicData>
            </a:graphic>
          </wp:inline>
        </w:drawing>
      </w:r>
    </w:p>
    <w:p w14:paraId="121C9C50" w14:textId="77777777" w:rsidR="002F6D70" w:rsidRDefault="002F6D70" w:rsidP="004850AC">
      <w:pPr>
        <w:jc w:val="center"/>
        <w:rPr>
          <w:rFonts w:ascii="Times New Roman" w:hAnsi="Times New Roman" w:cs="Times New Roman"/>
          <w:sz w:val="24"/>
          <w:szCs w:val="24"/>
        </w:rPr>
      </w:pPr>
    </w:p>
    <w:p w14:paraId="2A41A1ED" w14:textId="77777777" w:rsidR="00D95235" w:rsidRDefault="00D9523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32BE19" w14:textId="30EA5EBF" w:rsidR="00975EA2" w:rsidRDefault="00975EA2" w:rsidP="004850AC">
      <w:pPr>
        <w:jc w:val="center"/>
        <w:rPr>
          <w:rFonts w:ascii="Times New Roman" w:hAnsi="Times New Roman" w:cs="Times New Roman"/>
          <w:sz w:val="24"/>
          <w:szCs w:val="24"/>
        </w:rPr>
      </w:pPr>
      <w:r>
        <w:rPr>
          <w:rFonts w:ascii="Times New Roman" w:hAnsi="Times New Roman" w:cs="Times New Roman"/>
          <w:sz w:val="24"/>
          <w:szCs w:val="24"/>
        </w:rPr>
        <w:lastRenderedPageBreak/>
        <w:t>Plot 3. Geolocation of individuals in the individual-centered dataset</w:t>
      </w:r>
    </w:p>
    <w:p w14:paraId="4B36CBBC" w14:textId="31C8240C" w:rsidR="00975EA2" w:rsidRDefault="004850AC" w:rsidP="004850AC">
      <w:pPr>
        <w:jc w:val="center"/>
        <w:rPr>
          <w:rFonts w:ascii="Times New Roman" w:hAnsi="Times New Roman" w:cs="Times New Roman"/>
          <w:sz w:val="24"/>
          <w:szCs w:val="24"/>
        </w:rPr>
      </w:pPr>
      <w:r>
        <w:rPr>
          <w:noProof/>
        </w:rPr>
        <w:drawing>
          <wp:inline distT="0" distB="0" distL="0" distR="0" wp14:anchorId="661BBF37" wp14:editId="15C41A86">
            <wp:extent cx="5781675" cy="2678349"/>
            <wp:effectExtent l="0" t="0" r="0" b="825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0"/>
                    <a:stretch>
                      <a:fillRect/>
                    </a:stretch>
                  </pic:blipFill>
                  <pic:spPr>
                    <a:xfrm>
                      <a:off x="0" y="0"/>
                      <a:ext cx="5810566" cy="2691733"/>
                    </a:xfrm>
                    <a:prstGeom prst="rect">
                      <a:avLst/>
                    </a:prstGeom>
                  </pic:spPr>
                </pic:pic>
              </a:graphicData>
            </a:graphic>
          </wp:inline>
        </w:drawing>
      </w:r>
    </w:p>
    <w:p w14:paraId="6DA2F809" w14:textId="36B14F2A" w:rsidR="00975EA2" w:rsidRDefault="00975EA2" w:rsidP="004850AC">
      <w:pPr>
        <w:jc w:val="center"/>
        <w:rPr>
          <w:rFonts w:ascii="Times New Roman" w:hAnsi="Times New Roman" w:cs="Times New Roman"/>
          <w:sz w:val="24"/>
          <w:szCs w:val="24"/>
        </w:rPr>
      </w:pPr>
      <w:r>
        <w:rPr>
          <w:rFonts w:ascii="Times New Roman" w:hAnsi="Times New Roman" w:cs="Times New Roman"/>
          <w:sz w:val="24"/>
          <w:szCs w:val="24"/>
        </w:rPr>
        <w:t>Plot 4. Geolocation of organizations in the organization-centered dataset</w:t>
      </w:r>
    </w:p>
    <w:p w14:paraId="30413B6D" w14:textId="22F71164" w:rsidR="00582961" w:rsidRDefault="004850AC" w:rsidP="002F6D70">
      <w:pPr>
        <w:jc w:val="center"/>
        <w:rPr>
          <w:rFonts w:ascii="Times New Roman" w:hAnsi="Times New Roman" w:cs="Times New Roman"/>
          <w:sz w:val="24"/>
          <w:szCs w:val="24"/>
        </w:rPr>
      </w:pPr>
      <w:r>
        <w:rPr>
          <w:noProof/>
        </w:rPr>
        <w:drawing>
          <wp:inline distT="0" distB="0" distL="0" distR="0" wp14:anchorId="7B62E4AB" wp14:editId="59D13CB3">
            <wp:extent cx="5777738" cy="2676525"/>
            <wp:effectExtent l="0" t="0" r="0" b="0"/>
            <wp:docPr id="5" name="Picture 5"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map of the world&#10;&#10;Description automatically generated with medium confidence"/>
                    <pic:cNvPicPr/>
                  </pic:nvPicPr>
                  <pic:blipFill>
                    <a:blip r:embed="rId11"/>
                    <a:stretch>
                      <a:fillRect/>
                    </a:stretch>
                  </pic:blipFill>
                  <pic:spPr>
                    <a:xfrm>
                      <a:off x="0" y="0"/>
                      <a:ext cx="5784408" cy="2679615"/>
                    </a:xfrm>
                    <a:prstGeom prst="rect">
                      <a:avLst/>
                    </a:prstGeom>
                  </pic:spPr>
                </pic:pic>
              </a:graphicData>
            </a:graphic>
          </wp:inline>
        </w:drawing>
      </w:r>
    </w:p>
    <w:p w14:paraId="584F5130" w14:textId="77777777" w:rsidR="00975EA2" w:rsidRDefault="00975EA2" w:rsidP="004850AC">
      <w:pPr>
        <w:jc w:val="both"/>
        <w:rPr>
          <w:rFonts w:ascii="Times New Roman" w:hAnsi="Times New Roman" w:cs="Times New Roman"/>
          <w:sz w:val="24"/>
          <w:szCs w:val="24"/>
        </w:rPr>
      </w:pPr>
    </w:p>
    <w:p w14:paraId="53BF6DD3" w14:textId="77777777" w:rsidR="00492E38" w:rsidRDefault="00492E38" w:rsidP="004850AC">
      <w:pPr>
        <w:pStyle w:val="ListParagraph"/>
        <w:numPr>
          <w:ilvl w:val="0"/>
          <w:numId w:val="1"/>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Validation</w:t>
      </w:r>
    </w:p>
    <w:p w14:paraId="71E523D9" w14:textId="77777777"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 xml:space="preserve">There are four levels of possible errors in the final database: errors in the extraction process through the OCR; errors in the cleaning process; errors in classification between different kinds of information; and errors in parsing, both for individuals and organizations. </w:t>
      </w:r>
    </w:p>
    <w:p w14:paraId="7E9D20C2" w14:textId="11FB6C56"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ab/>
        <w:t xml:space="preserve">We conducted three assessments of the types of mistakes present in the database in 2020 and 2021 that measured the most common </w:t>
      </w:r>
      <w:r w:rsidR="006818CC">
        <w:rPr>
          <w:rFonts w:ascii="Times New Roman" w:hAnsi="Times New Roman" w:cs="Times New Roman"/>
          <w:sz w:val="24"/>
          <w:szCs w:val="24"/>
        </w:rPr>
        <w:t>error</w:t>
      </w:r>
      <w:r>
        <w:rPr>
          <w:rFonts w:ascii="Times New Roman" w:hAnsi="Times New Roman" w:cs="Times New Roman"/>
          <w:sz w:val="24"/>
          <w:szCs w:val="24"/>
        </w:rPr>
        <w:t xml:space="preserve">s and the overall accuracy of the methodology. </w:t>
      </w:r>
      <w:r w:rsidR="006818CC">
        <w:rPr>
          <w:rFonts w:ascii="Times New Roman" w:hAnsi="Times New Roman" w:cs="Times New Roman"/>
          <w:sz w:val="24"/>
          <w:szCs w:val="24"/>
        </w:rPr>
        <w:t>We separated t</w:t>
      </w:r>
      <w:r>
        <w:rPr>
          <w:rFonts w:ascii="Times New Roman" w:hAnsi="Times New Roman" w:cs="Times New Roman"/>
          <w:sz w:val="24"/>
          <w:szCs w:val="24"/>
        </w:rPr>
        <w:t xml:space="preserve">he </w:t>
      </w:r>
      <w:r w:rsidR="006818CC">
        <w:rPr>
          <w:rFonts w:ascii="Times New Roman" w:hAnsi="Times New Roman" w:cs="Times New Roman"/>
          <w:sz w:val="24"/>
          <w:szCs w:val="24"/>
        </w:rPr>
        <w:t xml:space="preserve">text-centered </w:t>
      </w:r>
      <w:r>
        <w:rPr>
          <w:rFonts w:ascii="Times New Roman" w:hAnsi="Times New Roman" w:cs="Times New Roman"/>
          <w:sz w:val="24"/>
          <w:szCs w:val="24"/>
        </w:rPr>
        <w:t xml:space="preserve">dataset into five categories according to the quantity of data. Then, a randomized representative sample at 95% significance of the rows of the database was evaluated by a researcher, comparing them with the original source and making informed decisions about the mistakes in the process. See the files </w:t>
      </w:r>
      <w:proofErr w:type="spellStart"/>
      <w:proofErr w:type="gramStart"/>
      <w:r>
        <w:rPr>
          <w:rFonts w:ascii="Times New Roman" w:hAnsi="Times New Roman" w:cs="Times New Roman"/>
          <w:sz w:val="24"/>
          <w:szCs w:val="24"/>
        </w:rPr>
        <w:t>alumni.R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corpis.R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test.xlxs</w:t>
      </w:r>
      <w:proofErr w:type="spellEnd"/>
      <w:r>
        <w:rPr>
          <w:rFonts w:ascii="Times New Roman" w:hAnsi="Times New Roman" w:cs="Times New Roman"/>
          <w:sz w:val="24"/>
          <w:szCs w:val="24"/>
        </w:rPr>
        <w:t xml:space="preserve"> for the specific algorithms used for randomizing the evaluation and the test sample. The main results are in the following table. </w:t>
      </w:r>
    </w:p>
    <w:p w14:paraId="7577DBEE" w14:textId="77777777" w:rsidR="002F6D70" w:rsidRDefault="002F6D70" w:rsidP="004850AC">
      <w:pPr>
        <w:jc w:val="both"/>
        <w:rPr>
          <w:rFonts w:ascii="Times New Roman" w:hAnsi="Times New Roman" w:cs="Times New Roman"/>
          <w:sz w:val="24"/>
          <w:szCs w:val="24"/>
        </w:rPr>
      </w:pPr>
    </w:p>
    <w:p w14:paraId="6CA86055" w14:textId="5D410470" w:rsidR="00F24CCA" w:rsidRDefault="00FB0227" w:rsidP="00FB0227">
      <w:pPr>
        <w:jc w:val="center"/>
        <w:rPr>
          <w:rFonts w:ascii="Times New Roman" w:hAnsi="Times New Roman" w:cs="Times New Roman"/>
          <w:sz w:val="24"/>
          <w:szCs w:val="24"/>
        </w:rPr>
      </w:pPr>
      <w:r>
        <w:rPr>
          <w:rFonts w:ascii="Times New Roman" w:hAnsi="Times New Roman" w:cs="Times New Roman"/>
          <w:sz w:val="24"/>
          <w:szCs w:val="24"/>
        </w:rPr>
        <w:lastRenderedPageBreak/>
        <w:t>Table 1.</w:t>
      </w:r>
      <w:r w:rsidR="002F6D70">
        <w:rPr>
          <w:rFonts w:ascii="Times New Roman" w:hAnsi="Times New Roman" w:cs="Times New Roman"/>
          <w:sz w:val="24"/>
          <w:szCs w:val="24"/>
        </w:rPr>
        <w:t xml:space="preserve"> Validation of representative samples of the dataset</w:t>
      </w:r>
    </w:p>
    <w:tbl>
      <w:tblPr>
        <w:tblW w:w="9373" w:type="dxa"/>
        <w:jc w:val="center"/>
        <w:tblLook w:val="04A0" w:firstRow="1" w:lastRow="0" w:firstColumn="1" w:lastColumn="0" w:noHBand="0" w:noVBand="1"/>
      </w:tblPr>
      <w:tblGrid>
        <w:gridCol w:w="2515"/>
        <w:gridCol w:w="1440"/>
        <w:gridCol w:w="1350"/>
        <w:gridCol w:w="1326"/>
        <w:gridCol w:w="1432"/>
        <w:gridCol w:w="1310"/>
      </w:tblGrid>
      <w:tr w:rsidR="00492E38" w14:paraId="7C7E4692" w14:textId="77777777" w:rsidTr="00FB0227">
        <w:trPr>
          <w:trHeight w:val="298"/>
          <w:jc w:val="center"/>
        </w:trPr>
        <w:tc>
          <w:tcPr>
            <w:tcW w:w="2515" w:type="dxa"/>
            <w:tcBorders>
              <w:top w:val="single" w:sz="4" w:space="0" w:color="auto"/>
              <w:left w:val="single" w:sz="4" w:space="0" w:color="auto"/>
              <w:bottom w:val="single" w:sz="4" w:space="0" w:color="auto"/>
              <w:right w:val="single" w:sz="4" w:space="0" w:color="auto"/>
            </w:tcBorders>
            <w:noWrap/>
            <w:vAlign w:val="bottom"/>
            <w:hideMark/>
          </w:tcPr>
          <w:p w14:paraId="6CFEA617"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Item</w:t>
            </w:r>
          </w:p>
        </w:tc>
        <w:tc>
          <w:tcPr>
            <w:tcW w:w="1440" w:type="dxa"/>
            <w:tcBorders>
              <w:top w:val="single" w:sz="4" w:space="0" w:color="auto"/>
              <w:left w:val="nil"/>
              <w:bottom w:val="single" w:sz="4" w:space="0" w:color="auto"/>
              <w:right w:val="single" w:sz="4" w:space="0" w:color="auto"/>
            </w:tcBorders>
            <w:noWrap/>
            <w:vAlign w:val="bottom"/>
            <w:hideMark/>
          </w:tcPr>
          <w:p w14:paraId="0036A4B0"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MYB (n=409)</w:t>
            </w:r>
          </w:p>
        </w:tc>
        <w:tc>
          <w:tcPr>
            <w:tcW w:w="1350" w:type="dxa"/>
            <w:tcBorders>
              <w:top w:val="single" w:sz="4" w:space="0" w:color="auto"/>
              <w:left w:val="nil"/>
              <w:bottom w:val="single" w:sz="4" w:space="0" w:color="auto"/>
              <w:right w:val="single" w:sz="4" w:space="0" w:color="auto"/>
            </w:tcBorders>
            <w:noWrap/>
            <w:vAlign w:val="bottom"/>
            <w:hideMark/>
          </w:tcPr>
          <w:p w14:paraId="4B58AFCE"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AMM (n=384)</w:t>
            </w:r>
          </w:p>
        </w:tc>
        <w:tc>
          <w:tcPr>
            <w:tcW w:w="1326" w:type="dxa"/>
            <w:tcBorders>
              <w:top w:val="single" w:sz="4" w:space="0" w:color="auto"/>
              <w:left w:val="nil"/>
              <w:bottom w:val="single" w:sz="4" w:space="0" w:color="auto"/>
              <w:right w:val="single" w:sz="4" w:space="0" w:color="auto"/>
            </w:tcBorders>
            <w:noWrap/>
            <w:vAlign w:val="bottom"/>
            <w:hideMark/>
          </w:tcPr>
          <w:p w14:paraId="245D50B3"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MMM (n=368)</w:t>
            </w:r>
          </w:p>
        </w:tc>
        <w:tc>
          <w:tcPr>
            <w:tcW w:w="1432" w:type="dxa"/>
            <w:tcBorders>
              <w:top w:val="single" w:sz="4" w:space="0" w:color="auto"/>
              <w:left w:val="nil"/>
              <w:bottom w:val="single" w:sz="4" w:space="0" w:color="auto"/>
              <w:right w:val="single" w:sz="4" w:space="0" w:color="auto"/>
            </w:tcBorders>
            <w:noWrap/>
            <w:vAlign w:val="bottom"/>
            <w:hideMark/>
          </w:tcPr>
          <w:p w14:paraId="2AEDA33E"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ALUMNI (n=384)</w:t>
            </w:r>
          </w:p>
        </w:tc>
        <w:tc>
          <w:tcPr>
            <w:tcW w:w="1310" w:type="dxa"/>
            <w:tcBorders>
              <w:top w:val="single" w:sz="4" w:space="0" w:color="auto"/>
              <w:left w:val="nil"/>
              <w:bottom w:val="single" w:sz="4" w:space="0" w:color="auto"/>
              <w:right w:val="single" w:sz="4" w:space="0" w:color="auto"/>
            </w:tcBorders>
            <w:noWrap/>
            <w:vAlign w:val="bottom"/>
            <w:hideMark/>
          </w:tcPr>
          <w:p w14:paraId="799C4E8C"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AIME (n=382)</w:t>
            </w:r>
          </w:p>
        </w:tc>
      </w:tr>
      <w:tr w:rsidR="00492E38" w14:paraId="5A39359E"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136636AB"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Company/Organization</w:t>
            </w:r>
          </w:p>
        </w:tc>
        <w:tc>
          <w:tcPr>
            <w:tcW w:w="1440" w:type="dxa"/>
            <w:tcBorders>
              <w:top w:val="nil"/>
              <w:left w:val="nil"/>
              <w:bottom w:val="single" w:sz="4" w:space="0" w:color="auto"/>
              <w:right w:val="single" w:sz="4" w:space="0" w:color="auto"/>
            </w:tcBorders>
            <w:noWrap/>
            <w:vAlign w:val="bottom"/>
            <w:hideMark/>
          </w:tcPr>
          <w:p w14:paraId="534BF9B0"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43.77%</w:t>
            </w:r>
          </w:p>
        </w:tc>
        <w:tc>
          <w:tcPr>
            <w:tcW w:w="1350" w:type="dxa"/>
            <w:tcBorders>
              <w:top w:val="nil"/>
              <w:left w:val="nil"/>
              <w:bottom w:val="single" w:sz="4" w:space="0" w:color="auto"/>
              <w:right w:val="single" w:sz="4" w:space="0" w:color="auto"/>
            </w:tcBorders>
            <w:noWrap/>
            <w:vAlign w:val="bottom"/>
            <w:hideMark/>
          </w:tcPr>
          <w:p w14:paraId="24B6BE4A"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73.84%</w:t>
            </w:r>
          </w:p>
        </w:tc>
        <w:tc>
          <w:tcPr>
            <w:tcW w:w="1326" w:type="dxa"/>
            <w:tcBorders>
              <w:top w:val="nil"/>
              <w:left w:val="nil"/>
              <w:bottom w:val="single" w:sz="4" w:space="0" w:color="auto"/>
              <w:right w:val="single" w:sz="4" w:space="0" w:color="auto"/>
            </w:tcBorders>
            <w:noWrap/>
            <w:vAlign w:val="bottom"/>
            <w:hideMark/>
          </w:tcPr>
          <w:p w14:paraId="11AEDF33"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92.18%</w:t>
            </w:r>
          </w:p>
        </w:tc>
        <w:tc>
          <w:tcPr>
            <w:tcW w:w="1432" w:type="dxa"/>
            <w:tcBorders>
              <w:top w:val="nil"/>
              <w:left w:val="nil"/>
              <w:bottom w:val="single" w:sz="4" w:space="0" w:color="auto"/>
              <w:right w:val="single" w:sz="4" w:space="0" w:color="auto"/>
            </w:tcBorders>
            <w:noWrap/>
            <w:vAlign w:val="bottom"/>
            <w:hideMark/>
          </w:tcPr>
          <w:p w14:paraId="7CB5517C"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72.62%</w:t>
            </w:r>
          </w:p>
        </w:tc>
        <w:tc>
          <w:tcPr>
            <w:tcW w:w="1310" w:type="dxa"/>
            <w:tcBorders>
              <w:top w:val="nil"/>
              <w:left w:val="nil"/>
              <w:bottom w:val="single" w:sz="4" w:space="0" w:color="auto"/>
              <w:right w:val="single" w:sz="4" w:space="0" w:color="auto"/>
            </w:tcBorders>
            <w:noWrap/>
            <w:vAlign w:val="bottom"/>
            <w:hideMark/>
          </w:tcPr>
          <w:p w14:paraId="5303F775"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89.73%</w:t>
            </w:r>
          </w:p>
        </w:tc>
      </w:tr>
      <w:tr w:rsidR="00492E38" w14:paraId="248498B6"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5FCAE0BD"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Capital</w:t>
            </w:r>
          </w:p>
        </w:tc>
        <w:tc>
          <w:tcPr>
            <w:tcW w:w="1440" w:type="dxa"/>
            <w:tcBorders>
              <w:top w:val="nil"/>
              <w:left w:val="nil"/>
              <w:bottom w:val="single" w:sz="4" w:space="0" w:color="auto"/>
              <w:right w:val="single" w:sz="4" w:space="0" w:color="auto"/>
            </w:tcBorders>
            <w:noWrap/>
            <w:vAlign w:val="bottom"/>
            <w:hideMark/>
          </w:tcPr>
          <w:p w14:paraId="051C938C"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99.27%</w:t>
            </w:r>
          </w:p>
        </w:tc>
        <w:tc>
          <w:tcPr>
            <w:tcW w:w="1350" w:type="dxa"/>
            <w:tcBorders>
              <w:top w:val="nil"/>
              <w:left w:val="nil"/>
              <w:bottom w:val="single" w:sz="4" w:space="0" w:color="auto"/>
              <w:right w:val="single" w:sz="4" w:space="0" w:color="auto"/>
            </w:tcBorders>
            <w:noWrap/>
            <w:vAlign w:val="bottom"/>
            <w:hideMark/>
          </w:tcPr>
          <w:p w14:paraId="34551004"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98.78%</w:t>
            </w:r>
          </w:p>
        </w:tc>
        <w:tc>
          <w:tcPr>
            <w:tcW w:w="1326" w:type="dxa"/>
            <w:tcBorders>
              <w:top w:val="nil"/>
              <w:left w:val="nil"/>
              <w:bottom w:val="single" w:sz="4" w:space="0" w:color="auto"/>
              <w:right w:val="single" w:sz="4" w:space="0" w:color="auto"/>
            </w:tcBorders>
            <w:noWrap/>
            <w:vAlign w:val="bottom"/>
            <w:hideMark/>
          </w:tcPr>
          <w:p w14:paraId="3E543F19"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96.82%</w:t>
            </w:r>
          </w:p>
        </w:tc>
        <w:tc>
          <w:tcPr>
            <w:tcW w:w="1432" w:type="dxa"/>
            <w:tcBorders>
              <w:top w:val="nil"/>
              <w:left w:val="nil"/>
              <w:bottom w:val="single" w:sz="4" w:space="0" w:color="auto"/>
              <w:right w:val="single" w:sz="4" w:space="0" w:color="auto"/>
            </w:tcBorders>
            <w:noWrap/>
            <w:vAlign w:val="bottom"/>
            <w:hideMark/>
          </w:tcPr>
          <w:p w14:paraId="41056D29"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10" w:type="dxa"/>
            <w:tcBorders>
              <w:top w:val="nil"/>
              <w:left w:val="nil"/>
              <w:bottom w:val="single" w:sz="4" w:space="0" w:color="auto"/>
              <w:right w:val="single" w:sz="4" w:space="0" w:color="auto"/>
            </w:tcBorders>
            <w:noWrap/>
            <w:vAlign w:val="bottom"/>
            <w:hideMark/>
          </w:tcPr>
          <w:p w14:paraId="083997E3"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92E38" w14:paraId="675F9D41"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0DE34F45"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 Registered</w:t>
            </w:r>
          </w:p>
        </w:tc>
        <w:tc>
          <w:tcPr>
            <w:tcW w:w="1440" w:type="dxa"/>
            <w:tcBorders>
              <w:top w:val="nil"/>
              <w:left w:val="nil"/>
              <w:bottom w:val="single" w:sz="4" w:space="0" w:color="auto"/>
              <w:right w:val="single" w:sz="4" w:space="0" w:color="auto"/>
            </w:tcBorders>
            <w:noWrap/>
            <w:vAlign w:val="bottom"/>
            <w:hideMark/>
          </w:tcPr>
          <w:p w14:paraId="6464B2AD"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99.27%</w:t>
            </w:r>
          </w:p>
        </w:tc>
        <w:tc>
          <w:tcPr>
            <w:tcW w:w="1350" w:type="dxa"/>
            <w:tcBorders>
              <w:top w:val="nil"/>
              <w:left w:val="nil"/>
              <w:bottom w:val="single" w:sz="4" w:space="0" w:color="auto"/>
              <w:right w:val="single" w:sz="4" w:space="0" w:color="auto"/>
            </w:tcBorders>
            <w:noWrap/>
            <w:vAlign w:val="bottom"/>
            <w:hideMark/>
          </w:tcPr>
          <w:p w14:paraId="062781ED"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98.29%</w:t>
            </w:r>
          </w:p>
        </w:tc>
        <w:tc>
          <w:tcPr>
            <w:tcW w:w="1326" w:type="dxa"/>
            <w:tcBorders>
              <w:top w:val="nil"/>
              <w:left w:val="nil"/>
              <w:bottom w:val="single" w:sz="4" w:space="0" w:color="auto"/>
              <w:right w:val="single" w:sz="4" w:space="0" w:color="auto"/>
            </w:tcBorders>
            <w:noWrap/>
            <w:vAlign w:val="bottom"/>
            <w:hideMark/>
          </w:tcPr>
          <w:p w14:paraId="34B003DE"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99.76%</w:t>
            </w:r>
          </w:p>
        </w:tc>
        <w:tc>
          <w:tcPr>
            <w:tcW w:w="1432" w:type="dxa"/>
            <w:tcBorders>
              <w:top w:val="nil"/>
              <w:left w:val="nil"/>
              <w:bottom w:val="single" w:sz="4" w:space="0" w:color="auto"/>
              <w:right w:val="single" w:sz="4" w:space="0" w:color="auto"/>
            </w:tcBorders>
            <w:noWrap/>
            <w:vAlign w:val="bottom"/>
            <w:hideMark/>
          </w:tcPr>
          <w:p w14:paraId="5F9119EA"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79.95%</w:t>
            </w:r>
          </w:p>
        </w:tc>
        <w:tc>
          <w:tcPr>
            <w:tcW w:w="1310" w:type="dxa"/>
            <w:tcBorders>
              <w:top w:val="nil"/>
              <w:left w:val="nil"/>
              <w:bottom w:val="single" w:sz="4" w:space="0" w:color="auto"/>
              <w:right w:val="single" w:sz="4" w:space="0" w:color="auto"/>
            </w:tcBorders>
            <w:noWrap/>
            <w:vAlign w:val="bottom"/>
            <w:hideMark/>
          </w:tcPr>
          <w:p w14:paraId="5C9BFDAC"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92E38" w14:paraId="313A0586"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5A20A46C"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Location</w:t>
            </w:r>
          </w:p>
        </w:tc>
        <w:tc>
          <w:tcPr>
            <w:tcW w:w="1440" w:type="dxa"/>
            <w:tcBorders>
              <w:top w:val="nil"/>
              <w:left w:val="nil"/>
              <w:bottom w:val="single" w:sz="4" w:space="0" w:color="auto"/>
              <w:right w:val="single" w:sz="4" w:space="0" w:color="auto"/>
            </w:tcBorders>
            <w:noWrap/>
            <w:vAlign w:val="bottom"/>
            <w:hideMark/>
          </w:tcPr>
          <w:p w14:paraId="3150ACF6"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93.46%</w:t>
            </w:r>
          </w:p>
        </w:tc>
        <w:tc>
          <w:tcPr>
            <w:tcW w:w="1350" w:type="dxa"/>
            <w:tcBorders>
              <w:top w:val="nil"/>
              <w:left w:val="nil"/>
              <w:bottom w:val="single" w:sz="4" w:space="0" w:color="auto"/>
              <w:right w:val="single" w:sz="4" w:space="0" w:color="auto"/>
            </w:tcBorders>
            <w:noWrap/>
            <w:vAlign w:val="bottom"/>
            <w:hideMark/>
          </w:tcPr>
          <w:p w14:paraId="7F081827"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96.50%</w:t>
            </w:r>
          </w:p>
        </w:tc>
        <w:tc>
          <w:tcPr>
            <w:tcW w:w="1326" w:type="dxa"/>
            <w:tcBorders>
              <w:top w:val="nil"/>
              <w:left w:val="nil"/>
              <w:bottom w:val="single" w:sz="4" w:space="0" w:color="auto"/>
              <w:right w:val="single" w:sz="4" w:space="0" w:color="auto"/>
            </w:tcBorders>
            <w:noWrap/>
            <w:vAlign w:val="bottom"/>
            <w:hideMark/>
          </w:tcPr>
          <w:p w14:paraId="7493989C"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89.00%</w:t>
            </w:r>
          </w:p>
        </w:tc>
        <w:tc>
          <w:tcPr>
            <w:tcW w:w="1432" w:type="dxa"/>
            <w:tcBorders>
              <w:top w:val="nil"/>
              <w:left w:val="nil"/>
              <w:bottom w:val="single" w:sz="4" w:space="0" w:color="auto"/>
              <w:right w:val="single" w:sz="4" w:space="0" w:color="auto"/>
            </w:tcBorders>
            <w:noWrap/>
            <w:vAlign w:val="bottom"/>
            <w:hideMark/>
          </w:tcPr>
          <w:p w14:paraId="5D529008"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10" w:type="dxa"/>
            <w:tcBorders>
              <w:top w:val="nil"/>
              <w:left w:val="nil"/>
              <w:bottom w:val="single" w:sz="4" w:space="0" w:color="auto"/>
              <w:right w:val="single" w:sz="4" w:space="0" w:color="auto"/>
            </w:tcBorders>
            <w:noWrap/>
            <w:vAlign w:val="bottom"/>
            <w:hideMark/>
          </w:tcPr>
          <w:p w14:paraId="436C6A62"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92.42%</w:t>
            </w:r>
          </w:p>
        </w:tc>
      </w:tr>
      <w:tr w:rsidR="00492E38" w14:paraId="74E49FBF"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19F2A9F1"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name</w:t>
            </w:r>
          </w:p>
        </w:tc>
        <w:tc>
          <w:tcPr>
            <w:tcW w:w="1440" w:type="dxa"/>
            <w:tcBorders>
              <w:top w:val="nil"/>
              <w:left w:val="nil"/>
              <w:bottom w:val="single" w:sz="4" w:space="0" w:color="auto"/>
              <w:right w:val="single" w:sz="4" w:space="0" w:color="auto"/>
            </w:tcBorders>
            <w:noWrap/>
            <w:vAlign w:val="bottom"/>
            <w:hideMark/>
          </w:tcPr>
          <w:p w14:paraId="0D6E483D"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88.75%</w:t>
            </w:r>
          </w:p>
        </w:tc>
        <w:tc>
          <w:tcPr>
            <w:tcW w:w="1350" w:type="dxa"/>
            <w:tcBorders>
              <w:top w:val="nil"/>
              <w:left w:val="nil"/>
              <w:bottom w:val="single" w:sz="4" w:space="0" w:color="auto"/>
              <w:right w:val="single" w:sz="4" w:space="0" w:color="auto"/>
            </w:tcBorders>
            <w:noWrap/>
            <w:vAlign w:val="bottom"/>
            <w:hideMark/>
          </w:tcPr>
          <w:p w14:paraId="5AD5FCCA"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83.13%</w:t>
            </w:r>
          </w:p>
        </w:tc>
        <w:tc>
          <w:tcPr>
            <w:tcW w:w="1326" w:type="dxa"/>
            <w:tcBorders>
              <w:top w:val="nil"/>
              <w:left w:val="nil"/>
              <w:bottom w:val="single" w:sz="4" w:space="0" w:color="auto"/>
              <w:right w:val="single" w:sz="4" w:space="0" w:color="auto"/>
            </w:tcBorders>
            <w:noWrap/>
            <w:vAlign w:val="bottom"/>
            <w:hideMark/>
          </w:tcPr>
          <w:p w14:paraId="5E4FA6CD"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74.08%</w:t>
            </w:r>
          </w:p>
        </w:tc>
        <w:tc>
          <w:tcPr>
            <w:tcW w:w="1432" w:type="dxa"/>
            <w:tcBorders>
              <w:top w:val="nil"/>
              <w:left w:val="nil"/>
              <w:bottom w:val="single" w:sz="4" w:space="0" w:color="auto"/>
              <w:right w:val="single" w:sz="4" w:space="0" w:color="auto"/>
            </w:tcBorders>
            <w:noWrap/>
            <w:vAlign w:val="bottom"/>
            <w:hideMark/>
          </w:tcPr>
          <w:p w14:paraId="30BEE303"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94.62%</w:t>
            </w:r>
          </w:p>
        </w:tc>
        <w:tc>
          <w:tcPr>
            <w:tcW w:w="1310" w:type="dxa"/>
            <w:tcBorders>
              <w:top w:val="nil"/>
              <w:left w:val="nil"/>
              <w:bottom w:val="single" w:sz="4" w:space="0" w:color="auto"/>
              <w:right w:val="single" w:sz="4" w:space="0" w:color="auto"/>
            </w:tcBorders>
            <w:noWrap/>
            <w:vAlign w:val="bottom"/>
            <w:hideMark/>
          </w:tcPr>
          <w:p w14:paraId="2617AA15"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86.55%</w:t>
            </w:r>
          </w:p>
        </w:tc>
      </w:tr>
      <w:tr w:rsidR="00492E38" w14:paraId="7F5E4B19"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01D16477"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name</w:t>
            </w:r>
          </w:p>
        </w:tc>
        <w:tc>
          <w:tcPr>
            <w:tcW w:w="1440" w:type="dxa"/>
            <w:tcBorders>
              <w:top w:val="nil"/>
              <w:left w:val="nil"/>
              <w:bottom w:val="single" w:sz="4" w:space="0" w:color="auto"/>
              <w:right w:val="single" w:sz="4" w:space="0" w:color="auto"/>
            </w:tcBorders>
            <w:noWrap/>
            <w:vAlign w:val="bottom"/>
            <w:hideMark/>
          </w:tcPr>
          <w:p w14:paraId="5907E94B"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94.13%</w:t>
            </w:r>
          </w:p>
        </w:tc>
        <w:tc>
          <w:tcPr>
            <w:tcW w:w="1350" w:type="dxa"/>
            <w:tcBorders>
              <w:top w:val="nil"/>
              <w:left w:val="nil"/>
              <w:bottom w:val="single" w:sz="4" w:space="0" w:color="auto"/>
              <w:right w:val="single" w:sz="4" w:space="0" w:color="auto"/>
            </w:tcBorders>
            <w:noWrap/>
            <w:vAlign w:val="bottom"/>
            <w:hideMark/>
          </w:tcPr>
          <w:p w14:paraId="1F8DC7B4"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97.56%</w:t>
            </w:r>
          </w:p>
        </w:tc>
        <w:tc>
          <w:tcPr>
            <w:tcW w:w="1326" w:type="dxa"/>
            <w:tcBorders>
              <w:top w:val="nil"/>
              <w:left w:val="nil"/>
              <w:bottom w:val="single" w:sz="4" w:space="0" w:color="auto"/>
              <w:right w:val="single" w:sz="4" w:space="0" w:color="auto"/>
            </w:tcBorders>
            <w:noWrap/>
            <w:vAlign w:val="bottom"/>
            <w:hideMark/>
          </w:tcPr>
          <w:p w14:paraId="1D330CA0"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94.62%</w:t>
            </w:r>
          </w:p>
        </w:tc>
        <w:tc>
          <w:tcPr>
            <w:tcW w:w="1432" w:type="dxa"/>
            <w:tcBorders>
              <w:top w:val="nil"/>
              <w:left w:val="nil"/>
              <w:bottom w:val="single" w:sz="4" w:space="0" w:color="auto"/>
              <w:right w:val="single" w:sz="4" w:space="0" w:color="auto"/>
            </w:tcBorders>
            <w:noWrap/>
            <w:vAlign w:val="bottom"/>
            <w:hideMark/>
          </w:tcPr>
          <w:p w14:paraId="4A780D7F"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93.89%</w:t>
            </w:r>
          </w:p>
        </w:tc>
        <w:tc>
          <w:tcPr>
            <w:tcW w:w="1310" w:type="dxa"/>
            <w:tcBorders>
              <w:top w:val="nil"/>
              <w:left w:val="nil"/>
              <w:bottom w:val="single" w:sz="4" w:space="0" w:color="auto"/>
              <w:right w:val="single" w:sz="4" w:space="0" w:color="auto"/>
            </w:tcBorders>
            <w:noWrap/>
            <w:vAlign w:val="bottom"/>
            <w:hideMark/>
          </w:tcPr>
          <w:p w14:paraId="7AAAA3E4"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86.55%</w:t>
            </w:r>
          </w:p>
        </w:tc>
      </w:tr>
      <w:tr w:rsidR="00492E38" w14:paraId="2BC249ED"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5F74063A"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Middle name</w:t>
            </w:r>
          </w:p>
        </w:tc>
        <w:tc>
          <w:tcPr>
            <w:tcW w:w="1440" w:type="dxa"/>
            <w:tcBorders>
              <w:top w:val="nil"/>
              <w:left w:val="nil"/>
              <w:bottom w:val="single" w:sz="4" w:space="0" w:color="auto"/>
              <w:right w:val="single" w:sz="4" w:space="0" w:color="auto"/>
            </w:tcBorders>
            <w:noWrap/>
            <w:vAlign w:val="bottom"/>
            <w:hideMark/>
          </w:tcPr>
          <w:p w14:paraId="011FBA90"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91.69%</w:t>
            </w:r>
          </w:p>
        </w:tc>
        <w:tc>
          <w:tcPr>
            <w:tcW w:w="1350" w:type="dxa"/>
            <w:tcBorders>
              <w:top w:val="nil"/>
              <w:left w:val="nil"/>
              <w:bottom w:val="single" w:sz="4" w:space="0" w:color="auto"/>
              <w:right w:val="single" w:sz="4" w:space="0" w:color="auto"/>
            </w:tcBorders>
            <w:noWrap/>
            <w:vAlign w:val="bottom"/>
            <w:hideMark/>
          </w:tcPr>
          <w:p w14:paraId="3944D179"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87.78%</w:t>
            </w:r>
          </w:p>
        </w:tc>
        <w:tc>
          <w:tcPr>
            <w:tcW w:w="1326" w:type="dxa"/>
            <w:tcBorders>
              <w:top w:val="nil"/>
              <w:left w:val="nil"/>
              <w:bottom w:val="single" w:sz="4" w:space="0" w:color="auto"/>
              <w:right w:val="single" w:sz="4" w:space="0" w:color="auto"/>
            </w:tcBorders>
            <w:noWrap/>
            <w:vAlign w:val="bottom"/>
            <w:hideMark/>
          </w:tcPr>
          <w:p w14:paraId="2024DA6A"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76.53%</w:t>
            </w:r>
          </w:p>
        </w:tc>
        <w:tc>
          <w:tcPr>
            <w:tcW w:w="1432" w:type="dxa"/>
            <w:tcBorders>
              <w:top w:val="nil"/>
              <w:left w:val="nil"/>
              <w:bottom w:val="single" w:sz="4" w:space="0" w:color="auto"/>
              <w:right w:val="single" w:sz="4" w:space="0" w:color="auto"/>
            </w:tcBorders>
            <w:noWrap/>
            <w:vAlign w:val="bottom"/>
            <w:hideMark/>
          </w:tcPr>
          <w:p w14:paraId="40DBD013"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66.99%</w:t>
            </w:r>
          </w:p>
        </w:tc>
        <w:tc>
          <w:tcPr>
            <w:tcW w:w="1310" w:type="dxa"/>
            <w:tcBorders>
              <w:top w:val="nil"/>
              <w:left w:val="nil"/>
              <w:bottom w:val="single" w:sz="4" w:space="0" w:color="auto"/>
              <w:right w:val="single" w:sz="4" w:space="0" w:color="auto"/>
            </w:tcBorders>
            <w:noWrap/>
            <w:vAlign w:val="bottom"/>
            <w:hideMark/>
          </w:tcPr>
          <w:p w14:paraId="4BCA5240"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86.55%</w:t>
            </w:r>
          </w:p>
        </w:tc>
      </w:tr>
      <w:tr w:rsidR="00492E38" w14:paraId="29BADE12"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579AD96B"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w:t>
            </w:r>
          </w:p>
        </w:tc>
        <w:tc>
          <w:tcPr>
            <w:tcW w:w="1440" w:type="dxa"/>
            <w:tcBorders>
              <w:top w:val="nil"/>
              <w:left w:val="nil"/>
              <w:bottom w:val="single" w:sz="4" w:space="0" w:color="auto"/>
              <w:right w:val="single" w:sz="4" w:space="0" w:color="auto"/>
            </w:tcBorders>
            <w:noWrap/>
            <w:vAlign w:val="bottom"/>
            <w:hideMark/>
          </w:tcPr>
          <w:p w14:paraId="6A93D348"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96.58%</w:t>
            </w:r>
          </w:p>
        </w:tc>
        <w:tc>
          <w:tcPr>
            <w:tcW w:w="1350" w:type="dxa"/>
            <w:tcBorders>
              <w:top w:val="nil"/>
              <w:left w:val="nil"/>
              <w:bottom w:val="single" w:sz="4" w:space="0" w:color="auto"/>
              <w:right w:val="single" w:sz="4" w:space="0" w:color="auto"/>
            </w:tcBorders>
            <w:noWrap/>
            <w:vAlign w:val="bottom"/>
            <w:hideMark/>
          </w:tcPr>
          <w:p w14:paraId="441D6332"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98.29%</w:t>
            </w:r>
          </w:p>
        </w:tc>
        <w:tc>
          <w:tcPr>
            <w:tcW w:w="1326" w:type="dxa"/>
            <w:tcBorders>
              <w:top w:val="nil"/>
              <w:left w:val="nil"/>
              <w:bottom w:val="single" w:sz="4" w:space="0" w:color="auto"/>
              <w:right w:val="single" w:sz="4" w:space="0" w:color="auto"/>
            </w:tcBorders>
            <w:noWrap/>
            <w:vAlign w:val="bottom"/>
            <w:hideMark/>
          </w:tcPr>
          <w:p w14:paraId="3673608A"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96.33%</w:t>
            </w:r>
          </w:p>
        </w:tc>
        <w:tc>
          <w:tcPr>
            <w:tcW w:w="1432" w:type="dxa"/>
            <w:tcBorders>
              <w:top w:val="nil"/>
              <w:left w:val="nil"/>
              <w:bottom w:val="single" w:sz="4" w:space="0" w:color="auto"/>
              <w:right w:val="single" w:sz="4" w:space="0" w:color="auto"/>
            </w:tcBorders>
            <w:noWrap/>
            <w:vAlign w:val="bottom"/>
            <w:hideMark/>
          </w:tcPr>
          <w:p w14:paraId="034B4CC7"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76.77%</w:t>
            </w:r>
          </w:p>
        </w:tc>
        <w:tc>
          <w:tcPr>
            <w:tcW w:w="1310" w:type="dxa"/>
            <w:tcBorders>
              <w:top w:val="nil"/>
              <w:left w:val="nil"/>
              <w:bottom w:val="single" w:sz="4" w:space="0" w:color="auto"/>
              <w:right w:val="single" w:sz="4" w:space="0" w:color="auto"/>
            </w:tcBorders>
            <w:noWrap/>
            <w:vAlign w:val="bottom"/>
            <w:hideMark/>
          </w:tcPr>
          <w:p w14:paraId="7ACD1C12"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95.35%</w:t>
            </w:r>
          </w:p>
        </w:tc>
      </w:tr>
      <w:tr w:rsidR="00492E38" w14:paraId="69AD4757"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00E628F1"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Nationality</w:t>
            </w:r>
          </w:p>
        </w:tc>
        <w:tc>
          <w:tcPr>
            <w:tcW w:w="1440" w:type="dxa"/>
            <w:tcBorders>
              <w:top w:val="nil"/>
              <w:left w:val="nil"/>
              <w:bottom w:val="single" w:sz="4" w:space="0" w:color="auto"/>
              <w:right w:val="single" w:sz="4" w:space="0" w:color="auto"/>
            </w:tcBorders>
            <w:noWrap/>
            <w:vAlign w:val="bottom"/>
            <w:hideMark/>
          </w:tcPr>
          <w:p w14:paraId="18BD5535"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noWrap/>
            <w:vAlign w:val="bottom"/>
            <w:hideMark/>
          </w:tcPr>
          <w:p w14:paraId="327A99D0"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26" w:type="dxa"/>
            <w:tcBorders>
              <w:top w:val="nil"/>
              <w:left w:val="nil"/>
              <w:bottom w:val="single" w:sz="4" w:space="0" w:color="auto"/>
              <w:right w:val="single" w:sz="4" w:space="0" w:color="auto"/>
            </w:tcBorders>
            <w:noWrap/>
            <w:vAlign w:val="bottom"/>
            <w:hideMark/>
          </w:tcPr>
          <w:p w14:paraId="246B9173"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432" w:type="dxa"/>
            <w:tcBorders>
              <w:top w:val="nil"/>
              <w:left w:val="nil"/>
              <w:bottom w:val="single" w:sz="4" w:space="0" w:color="auto"/>
              <w:right w:val="single" w:sz="4" w:space="0" w:color="auto"/>
            </w:tcBorders>
            <w:noWrap/>
            <w:vAlign w:val="bottom"/>
            <w:hideMark/>
          </w:tcPr>
          <w:p w14:paraId="4DB7B28B"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10" w:type="dxa"/>
            <w:tcBorders>
              <w:top w:val="nil"/>
              <w:left w:val="nil"/>
              <w:bottom w:val="single" w:sz="4" w:space="0" w:color="auto"/>
              <w:right w:val="single" w:sz="4" w:space="0" w:color="auto"/>
            </w:tcBorders>
            <w:noWrap/>
            <w:vAlign w:val="bottom"/>
            <w:hideMark/>
          </w:tcPr>
          <w:p w14:paraId="1B4964D0"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99.51%</w:t>
            </w:r>
          </w:p>
        </w:tc>
      </w:tr>
      <w:tr w:rsidR="00492E38" w14:paraId="0C806143"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3796D542"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Education</w:t>
            </w:r>
          </w:p>
        </w:tc>
        <w:tc>
          <w:tcPr>
            <w:tcW w:w="1440" w:type="dxa"/>
            <w:tcBorders>
              <w:top w:val="nil"/>
              <w:left w:val="nil"/>
              <w:bottom w:val="single" w:sz="4" w:space="0" w:color="auto"/>
              <w:right w:val="single" w:sz="4" w:space="0" w:color="auto"/>
            </w:tcBorders>
            <w:noWrap/>
            <w:vAlign w:val="bottom"/>
            <w:hideMark/>
          </w:tcPr>
          <w:p w14:paraId="30801A19"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noWrap/>
            <w:vAlign w:val="bottom"/>
            <w:hideMark/>
          </w:tcPr>
          <w:p w14:paraId="3D75F1BF"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26" w:type="dxa"/>
            <w:tcBorders>
              <w:top w:val="nil"/>
              <w:left w:val="nil"/>
              <w:bottom w:val="single" w:sz="4" w:space="0" w:color="auto"/>
              <w:right w:val="single" w:sz="4" w:space="0" w:color="auto"/>
            </w:tcBorders>
            <w:noWrap/>
            <w:vAlign w:val="bottom"/>
            <w:hideMark/>
          </w:tcPr>
          <w:p w14:paraId="70C7FCDB"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432" w:type="dxa"/>
            <w:tcBorders>
              <w:top w:val="nil"/>
              <w:left w:val="nil"/>
              <w:bottom w:val="single" w:sz="4" w:space="0" w:color="auto"/>
              <w:right w:val="single" w:sz="4" w:space="0" w:color="auto"/>
            </w:tcBorders>
            <w:noWrap/>
            <w:vAlign w:val="bottom"/>
            <w:hideMark/>
          </w:tcPr>
          <w:p w14:paraId="433C60E8"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10" w:type="dxa"/>
            <w:tcBorders>
              <w:top w:val="nil"/>
              <w:left w:val="nil"/>
              <w:bottom w:val="single" w:sz="4" w:space="0" w:color="auto"/>
              <w:right w:val="single" w:sz="4" w:space="0" w:color="auto"/>
            </w:tcBorders>
            <w:noWrap/>
            <w:vAlign w:val="bottom"/>
            <w:hideMark/>
          </w:tcPr>
          <w:p w14:paraId="7E5E8E27"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r>
      <w:tr w:rsidR="00492E38" w14:paraId="195156A9"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341FFAD1"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(n=1927)</w:t>
            </w:r>
          </w:p>
        </w:tc>
        <w:tc>
          <w:tcPr>
            <w:tcW w:w="1440" w:type="dxa"/>
            <w:tcBorders>
              <w:top w:val="nil"/>
              <w:left w:val="nil"/>
              <w:bottom w:val="single" w:sz="4" w:space="0" w:color="auto"/>
              <w:right w:val="single" w:sz="4" w:space="0" w:color="auto"/>
            </w:tcBorders>
            <w:noWrap/>
            <w:vAlign w:val="bottom"/>
            <w:hideMark/>
          </w:tcPr>
          <w:p w14:paraId="49E5F599"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88.36%</w:t>
            </w:r>
          </w:p>
        </w:tc>
        <w:tc>
          <w:tcPr>
            <w:tcW w:w="1350" w:type="dxa"/>
            <w:tcBorders>
              <w:top w:val="nil"/>
              <w:left w:val="nil"/>
              <w:bottom w:val="single" w:sz="4" w:space="0" w:color="auto"/>
              <w:right w:val="single" w:sz="4" w:space="0" w:color="auto"/>
            </w:tcBorders>
            <w:noWrap/>
            <w:vAlign w:val="bottom"/>
            <w:hideMark/>
          </w:tcPr>
          <w:p w14:paraId="160BC7F9"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91.77%</w:t>
            </w:r>
          </w:p>
        </w:tc>
        <w:tc>
          <w:tcPr>
            <w:tcW w:w="1326" w:type="dxa"/>
            <w:tcBorders>
              <w:top w:val="nil"/>
              <w:left w:val="nil"/>
              <w:bottom w:val="single" w:sz="4" w:space="0" w:color="auto"/>
              <w:right w:val="single" w:sz="4" w:space="0" w:color="auto"/>
            </w:tcBorders>
            <w:noWrap/>
            <w:vAlign w:val="bottom"/>
            <w:hideMark/>
          </w:tcPr>
          <w:p w14:paraId="5D0369AE"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89.91%</w:t>
            </w:r>
          </w:p>
        </w:tc>
        <w:tc>
          <w:tcPr>
            <w:tcW w:w="1432" w:type="dxa"/>
            <w:tcBorders>
              <w:top w:val="nil"/>
              <w:left w:val="nil"/>
              <w:bottom w:val="single" w:sz="4" w:space="0" w:color="auto"/>
              <w:right w:val="single" w:sz="4" w:space="0" w:color="auto"/>
            </w:tcBorders>
            <w:noWrap/>
            <w:vAlign w:val="bottom"/>
            <w:hideMark/>
          </w:tcPr>
          <w:p w14:paraId="66FA2A53"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80.81%</w:t>
            </w:r>
          </w:p>
        </w:tc>
        <w:tc>
          <w:tcPr>
            <w:tcW w:w="1310" w:type="dxa"/>
            <w:tcBorders>
              <w:top w:val="nil"/>
              <w:left w:val="nil"/>
              <w:bottom w:val="single" w:sz="4" w:space="0" w:color="auto"/>
              <w:right w:val="single" w:sz="4" w:space="0" w:color="auto"/>
            </w:tcBorders>
            <w:noWrap/>
            <w:vAlign w:val="bottom"/>
            <w:hideMark/>
          </w:tcPr>
          <w:p w14:paraId="2636A47F"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92.08%</w:t>
            </w:r>
          </w:p>
        </w:tc>
      </w:tr>
    </w:tbl>
    <w:p w14:paraId="60763F8C" w14:textId="77777777" w:rsidR="00492E38" w:rsidRDefault="00492E38" w:rsidP="004850AC">
      <w:pPr>
        <w:jc w:val="both"/>
        <w:rPr>
          <w:rFonts w:ascii="Times New Roman" w:hAnsi="Times New Roman" w:cs="Times New Roman"/>
          <w:sz w:val="24"/>
          <w:szCs w:val="24"/>
        </w:rPr>
      </w:pPr>
    </w:p>
    <w:p w14:paraId="3370D9DE" w14:textId="6408E788"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 xml:space="preserve">Although the overall accuracy was 88.59%, the disparity of the results with the original sources in essential items ("Company" in the corporate lists and alumni list, and the role in the alumni lists) motivated a general revision of the different steps of cleaning, classifying, and parsing in the complete dataset. After the database extension and the modification of the steps, the </w:t>
      </w:r>
      <w:r w:rsidR="006818CC">
        <w:rPr>
          <w:rFonts w:ascii="Times New Roman" w:hAnsi="Times New Roman" w:cs="Times New Roman"/>
          <w:sz w:val="24"/>
          <w:szCs w:val="24"/>
        </w:rPr>
        <w:t>dataset</w:t>
      </w:r>
      <w:r>
        <w:rPr>
          <w:rFonts w:ascii="Times New Roman" w:hAnsi="Times New Roman" w:cs="Times New Roman"/>
          <w:sz w:val="24"/>
          <w:szCs w:val="24"/>
        </w:rPr>
        <w:t xml:space="preserve"> was consolidated, and a second revision of the accuracy was made. Again, a randomized representative sample at </w:t>
      </w:r>
      <w:r w:rsidR="006818CC">
        <w:rPr>
          <w:rFonts w:ascii="Times New Roman" w:hAnsi="Times New Roman" w:cs="Times New Roman"/>
          <w:sz w:val="24"/>
          <w:szCs w:val="24"/>
        </w:rPr>
        <w:t xml:space="preserve">a </w:t>
      </w:r>
      <w:r>
        <w:rPr>
          <w:rFonts w:ascii="Times New Roman" w:hAnsi="Times New Roman" w:cs="Times New Roman"/>
          <w:sz w:val="24"/>
          <w:szCs w:val="24"/>
        </w:rPr>
        <w:t xml:space="preserve">95% confidence level was completed. (comboprueba.xlsx) The company name for corporate sources parsing doubled to 84.09%, and the identification </w:t>
      </w:r>
      <w:r w:rsidR="006818CC">
        <w:rPr>
          <w:rFonts w:ascii="Times New Roman" w:hAnsi="Times New Roman" w:cs="Times New Roman"/>
          <w:sz w:val="24"/>
          <w:szCs w:val="24"/>
        </w:rPr>
        <w:t>of</w:t>
      </w:r>
      <w:r>
        <w:rPr>
          <w:rFonts w:ascii="Times New Roman" w:hAnsi="Times New Roman" w:cs="Times New Roman"/>
          <w:sz w:val="24"/>
          <w:szCs w:val="24"/>
        </w:rPr>
        <w:t xml:space="preserve"> "middle name" in alumni lists improved to 96.92%. These are the results of the accuracy of the new integrated dataset (combo4.csv and crp.csv). </w:t>
      </w:r>
    </w:p>
    <w:p w14:paraId="44A73BF9" w14:textId="77777777" w:rsidR="002F6D70" w:rsidRDefault="002F6D70" w:rsidP="004850AC">
      <w:pPr>
        <w:jc w:val="both"/>
        <w:rPr>
          <w:rFonts w:ascii="Times New Roman" w:hAnsi="Times New Roman" w:cs="Times New Roman"/>
          <w:sz w:val="24"/>
          <w:szCs w:val="24"/>
        </w:rPr>
      </w:pPr>
    </w:p>
    <w:p w14:paraId="0B62E4BB" w14:textId="4D7D4331" w:rsidR="00492E38" w:rsidRDefault="002F6D70" w:rsidP="002F6D70">
      <w:pPr>
        <w:jc w:val="center"/>
        <w:rPr>
          <w:rFonts w:ascii="Times New Roman" w:hAnsi="Times New Roman" w:cs="Times New Roman"/>
          <w:sz w:val="24"/>
          <w:szCs w:val="24"/>
        </w:rPr>
      </w:pPr>
      <w:r>
        <w:rPr>
          <w:rFonts w:ascii="Times New Roman" w:hAnsi="Times New Roman" w:cs="Times New Roman"/>
          <w:sz w:val="24"/>
          <w:szCs w:val="24"/>
        </w:rPr>
        <w:t>Table 2. Second validation of representative sample</w:t>
      </w:r>
    </w:p>
    <w:tbl>
      <w:tblPr>
        <w:tblW w:w="3302" w:type="dxa"/>
        <w:jc w:val="center"/>
        <w:tblLook w:val="04A0" w:firstRow="1" w:lastRow="0" w:firstColumn="1" w:lastColumn="0" w:noHBand="0" w:noVBand="1"/>
      </w:tblPr>
      <w:tblGrid>
        <w:gridCol w:w="2416"/>
        <w:gridCol w:w="1136"/>
      </w:tblGrid>
      <w:tr w:rsidR="00492E38" w14:paraId="5FA2ED18" w14:textId="77777777" w:rsidTr="002F6D70">
        <w:trPr>
          <w:trHeight w:val="288"/>
          <w:jc w:val="center"/>
        </w:trPr>
        <w:tc>
          <w:tcPr>
            <w:tcW w:w="2262" w:type="dxa"/>
            <w:tcBorders>
              <w:top w:val="single" w:sz="4" w:space="0" w:color="auto"/>
              <w:left w:val="single" w:sz="4" w:space="0" w:color="auto"/>
              <w:bottom w:val="single" w:sz="4" w:space="0" w:color="auto"/>
              <w:right w:val="single" w:sz="4" w:space="0" w:color="auto"/>
            </w:tcBorders>
            <w:noWrap/>
            <w:vAlign w:val="bottom"/>
            <w:hideMark/>
          </w:tcPr>
          <w:p w14:paraId="6BED8D8F"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w:t>
            </w:r>
          </w:p>
        </w:tc>
        <w:tc>
          <w:tcPr>
            <w:tcW w:w="1040" w:type="dxa"/>
            <w:tcBorders>
              <w:top w:val="single" w:sz="4" w:space="0" w:color="auto"/>
              <w:left w:val="nil"/>
              <w:bottom w:val="single" w:sz="4" w:space="0" w:color="auto"/>
              <w:right w:val="single" w:sz="4" w:space="0" w:color="auto"/>
            </w:tcBorders>
            <w:noWrap/>
            <w:vAlign w:val="bottom"/>
            <w:hideMark/>
          </w:tcPr>
          <w:p w14:paraId="135C8690"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w:t>
            </w:r>
          </w:p>
        </w:tc>
      </w:tr>
      <w:tr w:rsidR="00492E38" w14:paraId="134B8107"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086EA70F"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name</w:t>
            </w:r>
          </w:p>
        </w:tc>
        <w:tc>
          <w:tcPr>
            <w:tcW w:w="1040" w:type="dxa"/>
            <w:tcBorders>
              <w:top w:val="nil"/>
              <w:left w:val="nil"/>
              <w:bottom w:val="single" w:sz="4" w:space="0" w:color="auto"/>
              <w:right w:val="single" w:sz="4" w:space="0" w:color="auto"/>
            </w:tcBorders>
            <w:noWrap/>
            <w:vAlign w:val="bottom"/>
            <w:hideMark/>
          </w:tcPr>
          <w:p w14:paraId="180BAF29"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94.01%</w:t>
            </w:r>
          </w:p>
        </w:tc>
      </w:tr>
      <w:tr w:rsidR="00492E38" w14:paraId="4EFC170E"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52A1A7CF"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name</w:t>
            </w:r>
          </w:p>
        </w:tc>
        <w:tc>
          <w:tcPr>
            <w:tcW w:w="1040" w:type="dxa"/>
            <w:tcBorders>
              <w:top w:val="nil"/>
              <w:left w:val="nil"/>
              <w:bottom w:val="single" w:sz="4" w:space="0" w:color="auto"/>
              <w:right w:val="single" w:sz="4" w:space="0" w:color="auto"/>
            </w:tcBorders>
            <w:noWrap/>
            <w:vAlign w:val="bottom"/>
            <w:hideMark/>
          </w:tcPr>
          <w:p w14:paraId="1EAF87DE"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93.75%</w:t>
            </w:r>
          </w:p>
        </w:tc>
      </w:tr>
      <w:tr w:rsidR="00492E38" w14:paraId="4435A129"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380D51E6"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Middle name</w:t>
            </w:r>
          </w:p>
        </w:tc>
        <w:tc>
          <w:tcPr>
            <w:tcW w:w="1040" w:type="dxa"/>
            <w:tcBorders>
              <w:top w:val="nil"/>
              <w:left w:val="nil"/>
              <w:bottom w:val="single" w:sz="4" w:space="0" w:color="auto"/>
              <w:right w:val="single" w:sz="4" w:space="0" w:color="auto"/>
            </w:tcBorders>
            <w:noWrap/>
            <w:vAlign w:val="bottom"/>
            <w:hideMark/>
          </w:tcPr>
          <w:p w14:paraId="720BA7EA"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93.75%</w:t>
            </w:r>
          </w:p>
        </w:tc>
      </w:tr>
      <w:tr w:rsidR="00492E38" w14:paraId="04B5D33E"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58748420"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Education</w:t>
            </w:r>
          </w:p>
        </w:tc>
        <w:tc>
          <w:tcPr>
            <w:tcW w:w="1040" w:type="dxa"/>
            <w:tcBorders>
              <w:top w:val="nil"/>
              <w:left w:val="nil"/>
              <w:bottom w:val="single" w:sz="4" w:space="0" w:color="auto"/>
              <w:right w:val="single" w:sz="4" w:space="0" w:color="auto"/>
            </w:tcBorders>
            <w:noWrap/>
            <w:vAlign w:val="bottom"/>
            <w:hideMark/>
          </w:tcPr>
          <w:p w14:paraId="08FD9E7D"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r>
      <w:tr w:rsidR="00492E38" w14:paraId="4E95D793"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4E759CFB"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Company/organization</w:t>
            </w:r>
          </w:p>
        </w:tc>
        <w:tc>
          <w:tcPr>
            <w:tcW w:w="1040" w:type="dxa"/>
            <w:tcBorders>
              <w:top w:val="nil"/>
              <w:left w:val="nil"/>
              <w:bottom w:val="single" w:sz="4" w:space="0" w:color="auto"/>
              <w:right w:val="single" w:sz="4" w:space="0" w:color="auto"/>
            </w:tcBorders>
            <w:noWrap/>
            <w:vAlign w:val="bottom"/>
            <w:hideMark/>
          </w:tcPr>
          <w:p w14:paraId="11143083"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94.53%</w:t>
            </w:r>
          </w:p>
        </w:tc>
      </w:tr>
      <w:tr w:rsidR="00492E38" w14:paraId="48B3BF04"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657BEEE7"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Location</w:t>
            </w:r>
          </w:p>
        </w:tc>
        <w:tc>
          <w:tcPr>
            <w:tcW w:w="1040" w:type="dxa"/>
            <w:tcBorders>
              <w:top w:val="nil"/>
              <w:left w:val="nil"/>
              <w:bottom w:val="single" w:sz="4" w:space="0" w:color="auto"/>
              <w:right w:val="single" w:sz="4" w:space="0" w:color="auto"/>
            </w:tcBorders>
            <w:noWrap/>
            <w:vAlign w:val="bottom"/>
            <w:hideMark/>
          </w:tcPr>
          <w:p w14:paraId="5E88FF37"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94.01%</w:t>
            </w:r>
          </w:p>
        </w:tc>
      </w:tr>
      <w:tr w:rsidR="00492E38" w14:paraId="376B7D0F"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32B3D4B8"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w:t>
            </w:r>
          </w:p>
        </w:tc>
        <w:tc>
          <w:tcPr>
            <w:tcW w:w="1040" w:type="dxa"/>
            <w:tcBorders>
              <w:top w:val="nil"/>
              <w:left w:val="nil"/>
              <w:bottom w:val="single" w:sz="4" w:space="0" w:color="auto"/>
              <w:right w:val="single" w:sz="4" w:space="0" w:color="auto"/>
            </w:tcBorders>
            <w:noWrap/>
            <w:vAlign w:val="bottom"/>
            <w:hideMark/>
          </w:tcPr>
          <w:p w14:paraId="37F46FA2"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r>
      <w:tr w:rsidR="00492E38" w14:paraId="20CEEF68" w14:textId="77777777" w:rsidTr="002F6D70">
        <w:trPr>
          <w:trHeight w:val="288"/>
          <w:jc w:val="center"/>
        </w:trPr>
        <w:tc>
          <w:tcPr>
            <w:tcW w:w="2262" w:type="dxa"/>
            <w:tcBorders>
              <w:top w:val="single" w:sz="4" w:space="0" w:color="auto"/>
              <w:left w:val="single" w:sz="4" w:space="0" w:color="auto"/>
              <w:bottom w:val="single" w:sz="4" w:space="0" w:color="auto"/>
              <w:right w:val="single" w:sz="4" w:space="0" w:color="auto"/>
            </w:tcBorders>
            <w:noWrap/>
            <w:vAlign w:val="bottom"/>
            <w:hideMark/>
          </w:tcPr>
          <w:p w14:paraId="31A96ECF"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(n=384)</w:t>
            </w:r>
          </w:p>
        </w:tc>
        <w:tc>
          <w:tcPr>
            <w:tcW w:w="1040" w:type="dxa"/>
            <w:tcBorders>
              <w:top w:val="single" w:sz="4" w:space="0" w:color="auto"/>
              <w:left w:val="nil"/>
              <w:bottom w:val="single" w:sz="4" w:space="0" w:color="auto"/>
              <w:right w:val="single" w:sz="4" w:space="0" w:color="auto"/>
            </w:tcBorders>
            <w:noWrap/>
            <w:vAlign w:val="bottom"/>
            <w:hideMark/>
          </w:tcPr>
          <w:p w14:paraId="4C0CC42E"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95.72%</w:t>
            </w:r>
          </w:p>
        </w:tc>
      </w:tr>
    </w:tbl>
    <w:p w14:paraId="3DC32254" w14:textId="77777777" w:rsidR="00492E38" w:rsidRDefault="00492E38" w:rsidP="004850AC">
      <w:pPr>
        <w:jc w:val="both"/>
        <w:rPr>
          <w:rFonts w:ascii="Times New Roman" w:hAnsi="Times New Roman" w:cs="Times New Roman"/>
          <w:sz w:val="24"/>
          <w:szCs w:val="24"/>
        </w:rPr>
      </w:pPr>
    </w:p>
    <w:p w14:paraId="0208B72D" w14:textId="07578A43"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 xml:space="preserve">A third assessment of the database looked at the matching of names across different sources, pairing on one side names from the MYB list and, on the other, names in the whole database (including MYB but from different years/sections). This third assessment focused on the probability of false positives or locating spurious matches of information from different sources through a common simplified name. While false negatives in matching (by minor variations on orthography or </w:t>
      </w:r>
      <w:r w:rsidR="006818CC">
        <w:rPr>
          <w:rFonts w:ascii="Times New Roman" w:hAnsi="Times New Roman" w:cs="Times New Roman"/>
          <w:sz w:val="24"/>
          <w:szCs w:val="24"/>
        </w:rPr>
        <w:t>variations in the reporting of</w:t>
      </w:r>
      <w:r>
        <w:rPr>
          <w:rFonts w:ascii="Times New Roman" w:hAnsi="Times New Roman" w:cs="Times New Roman"/>
          <w:sz w:val="24"/>
          <w:szCs w:val="24"/>
        </w:rPr>
        <w:t xml:space="preserve"> middle names) are possible in the database, false positivity is a </w:t>
      </w:r>
      <w:r w:rsidR="006818CC">
        <w:rPr>
          <w:rFonts w:ascii="Times New Roman" w:hAnsi="Times New Roman" w:cs="Times New Roman"/>
          <w:sz w:val="24"/>
          <w:szCs w:val="24"/>
        </w:rPr>
        <w:t xml:space="preserve">more </w:t>
      </w:r>
      <w:r>
        <w:rPr>
          <w:rFonts w:ascii="Times New Roman" w:hAnsi="Times New Roman" w:cs="Times New Roman"/>
          <w:sz w:val="24"/>
          <w:szCs w:val="24"/>
        </w:rPr>
        <w:t xml:space="preserve">significant concern as it might overestimate the connectivity of individuals and </w:t>
      </w:r>
      <w:r>
        <w:rPr>
          <w:rFonts w:ascii="Times New Roman" w:hAnsi="Times New Roman" w:cs="Times New Roman"/>
          <w:sz w:val="24"/>
          <w:szCs w:val="24"/>
        </w:rPr>
        <w:lastRenderedPageBreak/>
        <w:t xml:space="preserve">organizations in the dataset. </w:t>
      </w:r>
      <w:r w:rsidR="006818CC">
        <w:rPr>
          <w:rFonts w:ascii="Times New Roman" w:hAnsi="Times New Roman" w:cs="Times New Roman"/>
          <w:sz w:val="24"/>
          <w:szCs w:val="24"/>
        </w:rPr>
        <w:t xml:space="preserve">In short, type I errors are considered more costly for this analysis than the existence of type II errors and, therefore, the minimization of false positives is privileged. </w:t>
      </w:r>
    </w:p>
    <w:p w14:paraId="2367F7D7" w14:textId="3F895129"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ab/>
        <w:t xml:space="preserve">A spurious match could be caused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convergent errors in the OCR; convergent errors in the cleaning and classification process; coincidence in the last name, the first letter of the first name, and the first letter of the middle name. We generated a randomized representative sample at 95% significance for matching information through a simplified name. Then a researcher validated the parsing as true or false positives by looking at the two original sources and the contextual information. From all the above causes, false positives represented just 1.83% of the test sample (n=382). See the files </w:t>
      </w:r>
      <w:proofErr w:type="spellStart"/>
      <w:proofErr w:type="gramStart"/>
      <w:r>
        <w:rPr>
          <w:rFonts w:ascii="Times New Roman" w:hAnsi="Times New Roman" w:cs="Times New Roman"/>
          <w:sz w:val="24"/>
          <w:szCs w:val="24"/>
        </w:rPr>
        <w:t>combo.R</w:t>
      </w:r>
      <w:proofErr w:type="spellEnd"/>
      <w:proofErr w:type="gramEnd"/>
      <w:r>
        <w:rPr>
          <w:rFonts w:ascii="Times New Roman" w:hAnsi="Times New Roman" w:cs="Times New Roman"/>
          <w:sz w:val="24"/>
          <w:szCs w:val="24"/>
        </w:rPr>
        <w:t xml:space="preserve"> and testmat.xlsx for the complete information on this test. After this process, a visual examination of the most prominent 2000 organizations </w:t>
      </w:r>
      <w:r w:rsidR="006818CC">
        <w:rPr>
          <w:rFonts w:ascii="Times New Roman" w:hAnsi="Times New Roman" w:cs="Times New Roman"/>
          <w:sz w:val="24"/>
          <w:szCs w:val="24"/>
        </w:rPr>
        <w:t>in</w:t>
      </w:r>
      <w:r>
        <w:rPr>
          <w:rFonts w:ascii="Times New Roman" w:hAnsi="Times New Roman" w:cs="Times New Roman"/>
          <w:sz w:val="24"/>
          <w:szCs w:val="24"/>
        </w:rPr>
        <w:t xml:space="preserve"> the database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conducted</w:t>
      </w:r>
      <w:r w:rsidR="006818CC">
        <w:rPr>
          <w:rFonts w:ascii="Times New Roman" w:hAnsi="Times New Roman" w:cs="Times New Roman"/>
          <w:sz w:val="24"/>
          <w:szCs w:val="24"/>
        </w:rPr>
        <w:t xml:space="preserve"> and manually corrected for the errors described above</w:t>
      </w:r>
      <w:r>
        <w:rPr>
          <w:rFonts w:ascii="Times New Roman" w:hAnsi="Times New Roman" w:cs="Times New Roman"/>
          <w:sz w:val="24"/>
          <w:szCs w:val="24"/>
        </w:rPr>
        <w:t xml:space="preserve">. Most of the corrections involved not the misidentification of the company but a spelling mistake that </w:t>
      </w:r>
      <w:r w:rsidR="006818CC">
        <w:rPr>
          <w:rFonts w:ascii="Times New Roman" w:hAnsi="Times New Roman" w:cs="Times New Roman"/>
          <w:sz w:val="24"/>
          <w:szCs w:val="24"/>
        </w:rPr>
        <w:t xml:space="preserve">was </w:t>
      </w:r>
      <w:r>
        <w:rPr>
          <w:rFonts w:ascii="Times New Roman" w:hAnsi="Times New Roman" w:cs="Times New Roman"/>
          <w:sz w:val="24"/>
          <w:szCs w:val="24"/>
        </w:rPr>
        <w:t>carried out from the OCR. No further a</w:t>
      </w:r>
      <w:r w:rsidR="006818CC">
        <w:rPr>
          <w:rFonts w:ascii="Times New Roman" w:hAnsi="Times New Roman" w:cs="Times New Roman"/>
          <w:sz w:val="24"/>
          <w:szCs w:val="24"/>
        </w:rPr>
        <w:t>ccuracy assessment</w:t>
      </w:r>
      <w:r>
        <w:rPr>
          <w:rFonts w:ascii="Times New Roman" w:hAnsi="Times New Roman" w:cs="Times New Roman"/>
          <w:sz w:val="24"/>
          <w:szCs w:val="24"/>
        </w:rPr>
        <w:t xml:space="preserve"> has been made on the manually corrected datasets (combo5</w:t>
      </w:r>
      <w:r w:rsidR="002F6D70">
        <w:rPr>
          <w:rFonts w:ascii="Times New Roman" w:hAnsi="Times New Roman" w:cs="Times New Roman"/>
          <w:sz w:val="24"/>
          <w:szCs w:val="24"/>
        </w:rPr>
        <w:t>_1</w:t>
      </w:r>
      <w:r>
        <w:rPr>
          <w:rFonts w:ascii="Times New Roman" w:hAnsi="Times New Roman" w:cs="Times New Roman"/>
          <w:sz w:val="24"/>
          <w:szCs w:val="24"/>
        </w:rPr>
        <w:t>.csv and crp</w:t>
      </w:r>
      <w:r w:rsidR="002F6D70">
        <w:rPr>
          <w:rFonts w:ascii="Times New Roman" w:hAnsi="Times New Roman" w:cs="Times New Roman"/>
          <w:sz w:val="24"/>
          <w:szCs w:val="24"/>
        </w:rPr>
        <w:t>3</w:t>
      </w:r>
      <w:r>
        <w:rPr>
          <w:rFonts w:ascii="Times New Roman" w:hAnsi="Times New Roman" w:cs="Times New Roman"/>
          <w:sz w:val="24"/>
          <w:szCs w:val="24"/>
        </w:rPr>
        <w:t xml:space="preserve">.csv). </w:t>
      </w:r>
    </w:p>
    <w:p w14:paraId="669BB950" w14:textId="77777777" w:rsidR="00492E38" w:rsidRDefault="00492E38" w:rsidP="004850AC">
      <w:pPr>
        <w:ind w:firstLine="720"/>
        <w:jc w:val="both"/>
        <w:rPr>
          <w:rFonts w:ascii="Times New Roman" w:hAnsi="Times New Roman" w:cs="Times New Roman"/>
          <w:sz w:val="24"/>
          <w:szCs w:val="24"/>
        </w:rPr>
      </w:pPr>
    </w:p>
    <w:p w14:paraId="7F212A78" w14:textId="77777777" w:rsidR="00492E38" w:rsidRDefault="00492E38" w:rsidP="004850AC">
      <w:pPr>
        <w:jc w:val="both"/>
        <w:rPr>
          <w:rFonts w:ascii="Times New Roman" w:hAnsi="Times New Roman" w:cs="Times New Roman"/>
          <w:sz w:val="24"/>
          <w:szCs w:val="24"/>
        </w:rPr>
      </w:pPr>
    </w:p>
    <w:p w14:paraId="366739D3" w14:textId="77777777" w:rsidR="00492E38" w:rsidRDefault="00492E38" w:rsidP="004850AC">
      <w:pPr>
        <w:jc w:val="both"/>
        <w:rPr>
          <w:rFonts w:ascii="Times New Roman" w:hAnsi="Times New Roman" w:cs="Times New Roman"/>
          <w:sz w:val="24"/>
          <w:szCs w:val="24"/>
        </w:rPr>
      </w:pPr>
    </w:p>
    <w:p w14:paraId="312233C9" w14:textId="77777777" w:rsidR="00C67936" w:rsidRPr="00B2485D" w:rsidRDefault="008F2974" w:rsidP="004850AC"/>
    <w:sectPr w:rsidR="00C67936" w:rsidRPr="00B24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47FFD" w14:textId="77777777" w:rsidR="008F2974" w:rsidRDefault="008F2974" w:rsidP="00492E38">
      <w:r>
        <w:separator/>
      </w:r>
    </w:p>
  </w:endnote>
  <w:endnote w:type="continuationSeparator" w:id="0">
    <w:p w14:paraId="709C031C" w14:textId="77777777" w:rsidR="008F2974" w:rsidRDefault="008F2974" w:rsidP="0049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A4684" w14:textId="77777777" w:rsidR="008F2974" w:rsidRDefault="008F2974" w:rsidP="00492E38">
      <w:r>
        <w:separator/>
      </w:r>
    </w:p>
  </w:footnote>
  <w:footnote w:type="continuationSeparator" w:id="0">
    <w:p w14:paraId="7078C50D" w14:textId="77777777" w:rsidR="008F2974" w:rsidRDefault="008F2974" w:rsidP="00492E38">
      <w:r>
        <w:continuationSeparator/>
      </w:r>
    </w:p>
  </w:footnote>
  <w:footnote w:id="1">
    <w:p w14:paraId="4442E40E" w14:textId="384A2B95" w:rsidR="002F6D70" w:rsidRDefault="002F6D70" w:rsidP="00CA5F4F">
      <w:pPr>
        <w:pStyle w:val="FootnoteText"/>
        <w:jc w:val="both"/>
      </w:pPr>
      <w:r>
        <w:rPr>
          <w:rStyle w:val="FootnoteReference"/>
        </w:rPr>
        <w:footnoteRef/>
      </w:r>
      <w:r>
        <w:t xml:space="preserve"> </w:t>
      </w:r>
      <w:r w:rsidR="00303623">
        <w:t xml:space="preserve">OCR extraction through </w:t>
      </w:r>
      <w:proofErr w:type="spellStart"/>
      <w:r w:rsidR="00303623">
        <w:t>Hathitrust</w:t>
      </w:r>
      <w:proofErr w:type="spellEnd"/>
      <w:r w:rsidR="00303623">
        <w:t xml:space="preserve"> .txt file, Adobe PDF OCR and tesseract. </w:t>
      </w:r>
      <w:r w:rsidR="00303623">
        <w:fldChar w:fldCharType="begin"/>
      </w:r>
      <w:r w:rsidR="00303623">
        <w:instrText xml:space="preserve"> ADDIN ZOTERO_ITEM CSL_CITATION {"citationID":"1wuv83fr","properties":{"formattedCitation":"Hadley Wickham et al., \\uc0\\u8220{}Welcome to the Tidyverse,\\uc0\\u8221{} {\\i{}Journal of Open Source Software} 4, no. 43 (2019): 1686; Jeroen Ooms, \\uc0\\u8220{}Tesseract: Open Source OCR Engine,\\uc0\\u8221{} {\\i{}See Https://CRAN. R-Project. Org/Package= Tesseract. R Package Version} 4 (2019).","plainCitation":"Hadley Wickham et al., “Welcome to the Tidyverse,” Journal of Open Source Software 4, no. 43 (2019): 1686; Jeroen Ooms, “Tesseract: Open Source OCR Engine,” See Https://CRAN. R-Project. Org/Package= Tesseract. R Package Version 4 (2019).","noteIndex":1},"citationItems":[{"id":1509,"uris":["http://zotero.org/groups/4707791/items/U85WCPNH"],"itemData":{"id":1509,"type":"article-journal","container-title":"Journal of open source software","issue":"43","note":"ISBN: 2475-9066","page":"1686","title":"Welcome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issued":{"date-parts":[["2019"]]}}},{"id":1510,"uris":["http://zotero.org/groups/4707791/items/HZM4MZ4J"],"itemData":{"id":1510,"type":"article-journal","container-title":"See https://CRAN. R-project. org/package= tesseract. R package version","title":"tesseract: Open Source OCR Engine","volume":"4","author":[{"family":"Ooms","given":"Jeroen"}],"issued":{"date-parts":[["2019"]]}}}],"schema":"https://github.com/citation-style-language/schema/raw/master/csl-citation.json"} </w:instrText>
      </w:r>
      <w:r w:rsidR="00303623">
        <w:fldChar w:fldCharType="separate"/>
      </w:r>
      <w:r w:rsidR="00303623" w:rsidRPr="00303623">
        <w:rPr>
          <w:rFonts w:ascii="Calibri" w:hAnsi="Calibri" w:cs="Calibri"/>
          <w:szCs w:val="24"/>
        </w:rPr>
        <w:t xml:space="preserve">Hadley Wickham et al., “Welcome to the Tidyverse,” </w:t>
      </w:r>
      <w:r w:rsidR="00303623" w:rsidRPr="00303623">
        <w:rPr>
          <w:rFonts w:ascii="Calibri" w:hAnsi="Calibri" w:cs="Calibri"/>
          <w:i/>
          <w:iCs/>
          <w:szCs w:val="24"/>
        </w:rPr>
        <w:t>Journal of Open Source Software</w:t>
      </w:r>
      <w:r w:rsidR="00303623" w:rsidRPr="00303623">
        <w:rPr>
          <w:rFonts w:ascii="Calibri" w:hAnsi="Calibri" w:cs="Calibri"/>
          <w:szCs w:val="24"/>
        </w:rPr>
        <w:t xml:space="preserve"> 4, no. 43 (2019): 1686; Jeroen Ooms, “Tesseract: Open Source OCR Engine,” </w:t>
      </w:r>
      <w:r w:rsidR="00303623" w:rsidRPr="00303623">
        <w:rPr>
          <w:rFonts w:ascii="Calibri" w:hAnsi="Calibri" w:cs="Calibri"/>
          <w:i/>
          <w:iCs/>
          <w:szCs w:val="24"/>
        </w:rPr>
        <w:t>See Https://CRAN. R-Project. Org/Package= Tesseract. R Package Version</w:t>
      </w:r>
      <w:r w:rsidR="00303623" w:rsidRPr="00303623">
        <w:rPr>
          <w:rFonts w:ascii="Calibri" w:hAnsi="Calibri" w:cs="Calibri"/>
          <w:szCs w:val="24"/>
        </w:rPr>
        <w:t xml:space="preserve"> 4 (2019).</w:t>
      </w:r>
      <w:r w:rsidR="00303623">
        <w:fldChar w:fldCharType="end"/>
      </w:r>
    </w:p>
  </w:footnote>
  <w:footnote w:id="2">
    <w:p w14:paraId="66BA4C3F" w14:textId="23C26D24" w:rsidR="00492E38" w:rsidRPr="00FD71B6" w:rsidRDefault="00492E38" w:rsidP="00CA5F4F">
      <w:pPr>
        <w:jc w:val="both"/>
        <w:rPr>
          <w:rFonts w:ascii="Times New Roman" w:eastAsia="Times New Roman" w:hAnsi="Times New Roman" w:cs="Times New Roman"/>
          <w:sz w:val="20"/>
          <w:szCs w:val="20"/>
        </w:rPr>
      </w:pPr>
      <w:r w:rsidRPr="00FD71B6">
        <w:rPr>
          <w:rStyle w:val="FootnoteReference"/>
          <w:rFonts w:ascii="Times New Roman" w:hAnsi="Times New Roman" w:cs="Times New Roman"/>
          <w:sz w:val="20"/>
          <w:szCs w:val="20"/>
        </w:rPr>
        <w:footnoteRef/>
      </w:r>
      <w:r w:rsidRPr="00FD71B6">
        <w:rPr>
          <w:rFonts w:ascii="Times New Roman" w:hAnsi="Times New Roman" w:cs="Times New Roman"/>
          <w:sz w:val="20"/>
          <w:szCs w:val="20"/>
        </w:rPr>
        <w:t xml:space="preserve"> See an evaluation of this open software in </w:t>
      </w:r>
      <w:r w:rsidR="0077457E">
        <w:rPr>
          <w:rFonts w:ascii="Times New Roman" w:hAnsi="Times New Roman" w:cs="Times New Roman"/>
          <w:sz w:val="20"/>
          <w:szCs w:val="20"/>
        </w:rPr>
        <w:fldChar w:fldCharType="begin"/>
      </w:r>
      <w:r w:rsidR="0077457E">
        <w:rPr>
          <w:rFonts w:ascii="Times New Roman" w:hAnsi="Times New Roman" w:cs="Times New Roman"/>
          <w:sz w:val="20"/>
          <w:szCs w:val="20"/>
        </w:rPr>
        <w:instrText xml:space="preserve"> ADDIN ZOTERO_ITEM CSL_CITATION {"citationID":"OMGwFa09","properties":{"formattedCitation":"Dessislava Petrova-Antonova and Rumyana Tancheva, \\uc0\\u8220{}Data Cleaning: A Case Study with OpenRefine and Trifacta Wrangler,\\uc0\\u8221{} in {\\i{}International Conference on the Quality of Information and Communications Technology} (Springer, 2020), 32\\uc0\\u8211{}40.","plainCitation":"Dessislava Petrova-Antonova and Rumyana Tancheva, “Data Cleaning: A Case Study with OpenRefine and Trifacta Wrangler,” in International Conference on the Quality of Information and Communications Technology (Springer, 2020), 32–40.","noteIndex":2},"citationItems":[{"id":1511,"uris":["http://zotero.org/groups/4707791/items/S2BF29V2"],"itemData":{"id":1511,"type":"paper-conference","container-title":"International Conference on the Quality of Information and Communications Technology","page":"32-40","publisher":"Springer","title":"Data cleaning: a case study with OpenRefine and trifacta wrangler","author":[{"family":"Petrova-Antonova","given":"Dessislava"},{"family":"Tancheva","given":"Rumyana"}],"issued":{"date-parts":[["2020"]]}}}],"schema":"https://github.com/citation-style-language/schema/raw/master/csl-citation.json"} </w:instrText>
      </w:r>
      <w:r w:rsidR="0077457E">
        <w:rPr>
          <w:rFonts w:ascii="Times New Roman" w:hAnsi="Times New Roman" w:cs="Times New Roman"/>
          <w:sz w:val="20"/>
          <w:szCs w:val="20"/>
        </w:rPr>
        <w:fldChar w:fldCharType="separate"/>
      </w:r>
      <w:r w:rsidR="0077457E" w:rsidRPr="0077457E">
        <w:rPr>
          <w:rFonts w:ascii="Times New Roman" w:hAnsi="Times New Roman" w:cs="Times New Roman"/>
          <w:sz w:val="20"/>
          <w:szCs w:val="24"/>
        </w:rPr>
        <w:t xml:space="preserve">Dessislava Petrova-Antonova and Rumyana Tancheva, “Data Cleaning: A Case Study with OpenRefine and Trifacta Wrangler,” in </w:t>
      </w:r>
      <w:r w:rsidR="0077457E" w:rsidRPr="0077457E">
        <w:rPr>
          <w:rFonts w:ascii="Times New Roman" w:hAnsi="Times New Roman" w:cs="Times New Roman"/>
          <w:i/>
          <w:iCs/>
          <w:sz w:val="20"/>
          <w:szCs w:val="24"/>
        </w:rPr>
        <w:t>International Conference on the Quality of Information and Communications Technology</w:t>
      </w:r>
      <w:r w:rsidR="0077457E" w:rsidRPr="0077457E">
        <w:rPr>
          <w:rFonts w:ascii="Times New Roman" w:hAnsi="Times New Roman" w:cs="Times New Roman"/>
          <w:sz w:val="20"/>
          <w:szCs w:val="24"/>
        </w:rPr>
        <w:t xml:space="preserve"> (Springer, 2020), 32–40.</w:t>
      </w:r>
      <w:r w:rsidR="0077457E">
        <w:rPr>
          <w:rFonts w:ascii="Times New Roman" w:hAnsi="Times New Roman" w:cs="Times New Roman"/>
          <w:sz w:val="20"/>
          <w:szCs w:val="20"/>
        </w:rPr>
        <w:fldChar w:fldCharType="end"/>
      </w:r>
    </w:p>
  </w:footnote>
  <w:footnote w:id="3">
    <w:p w14:paraId="140BFD6F" w14:textId="77777777" w:rsidR="00492E38" w:rsidRPr="00FD71B6" w:rsidRDefault="00492E38" w:rsidP="00CA5F4F">
      <w:pPr>
        <w:pStyle w:val="FootnoteText"/>
        <w:jc w:val="both"/>
        <w:rPr>
          <w:rFonts w:ascii="Times New Roman" w:hAnsi="Times New Roman" w:cs="Times New Roman"/>
        </w:rPr>
      </w:pPr>
      <w:r w:rsidRPr="00FD71B6">
        <w:rPr>
          <w:rStyle w:val="FootnoteReference"/>
          <w:rFonts w:ascii="Times New Roman" w:hAnsi="Times New Roman" w:cs="Times New Roman"/>
        </w:rPr>
        <w:footnoteRef/>
      </w:r>
      <w:r w:rsidRPr="00FD71B6">
        <w:rPr>
          <w:rFonts w:ascii="Times New Roman" w:hAnsi="Times New Roman" w:cs="Times New Roman"/>
        </w:rPr>
        <w:t xml:space="preserve"> R scripts and </w:t>
      </w:r>
      <w:proofErr w:type="spellStart"/>
      <w:r w:rsidRPr="00FD71B6">
        <w:rPr>
          <w:rFonts w:ascii="Times New Roman" w:hAnsi="Times New Roman" w:cs="Times New Roman"/>
        </w:rPr>
        <w:t>csvs</w:t>
      </w:r>
      <w:proofErr w:type="spellEnd"/>
      <w:r w:rsidRPr="00FD71B6">
        <w:rPr>
          <w:rFonts w:ascii="Times New Roman" w:hAnsi="Times New Roman" w:cs="Times New Roman"/>
        </w:rPr>
        <w:t xml:space="preserve"> will be available after the peer review process at github.com/</w:t>
      </w:r>
      <w:proofErr w:type="spellStart"/>
      <w:r w:rsidRPr="00FD71B6">
        <w:rPr>
          <w:rFonts w:ascii="Times New Roman" w:hAnsi="Times New Roman" w:cs="Times New Roman"/>
        </w:rPr>
        <w:t>xxxxxx</w:t>
      </w:r>
      <w:proofErr w:type="spellEnd"/>
      <w:r w:rsidRPr="00FD71B6">
        <w:rPr>
          <w:rFonts w:ascii="Times New Roman" w:hAnsi="Times New Roman" w:cs="Times New Roman"/>
        </w:rPr>
        <w:t>/</w:t>
      </w:r>
      <w:proofErr w:type="spellStart"/>
      <w:r w:rsidRPr="00FD71B6">
        <w:rPr>
          <w:rFonts w:ascii="Times New Roman" w:hAnsi="Times New Roman" w:cs="Times New Roman"/>
        </w:rPr>
        <w:t>invisibleredux.git</w:t>
      </w:r>
      <w:proofErr w:type="spellEnd"/>
    </w:p>
  </w:footnote>
  <w:footnote w:id="4">
    <w:p w14:paraId="2B06380F" w14:textId="691548D8" w:rsidR="00492E38" w:rsidRPr="00FD71B6" w:rsidRDefault="00492E38" w:rsidP="00CA5F4F">
      <w:pPr>
        <w:jc w:val="both"/>
        <w:rPr>
          <w:rFonts w:ascii="Times New Roman" w:eastAsia="Times New Roman" w:hAnsi="Times New Roman" w:cs="Times New Roman"/>
          <w:sz w:val="20"/>
          <w:szCs w:val="20"/>
        </w:rPr>
      </w:pPr>
      <w:r w:rsidRPr="00FD71B6">
        <w:rPr>
          <w:rStyle w:val="FootnoteReference"/>
          <w:rFonts w:ascii="Times New Roman" w:hAnsi="Times New Roman" w:cs="Times New Roman"/>
          <w:sz w:val="20"/>
          <w:szCs w:val="20"/>
        </w:rPr>
        <w:footnoteRef/>
      </w:r>
      <w:r w:rsidRPr="00FD71B6">
        <w:rPr>
          <w:rFonts w:ascii="Times New Roman" w:hAnsi="Times New Roman" w:cs="Times New Roman"/>
          <w:sz w:val="20"/>
          <w:szCs w:val="20"/>
        </w:rPr>
        <w:t xml:space="preserve"> See a longer discussion of the problems of name parsing for organizations in </w:t>
      </w:r>
      <w:r w:rsidR="0077457E">
        <w:rPr>
          <w:rFonts w:ascii="Times New Roman" w:hAnsi="Times New Roman" w:cs="Times New Roman"/>
          <w:sz w:val="20"/>
          <w:szCs w:val="20"/>
        </w:rPr>
        <w:fldChar w:fldCharType="begin"/>
      </w:r>
      <w:r w:rsidR="0077457E">
        <w:rPr>
          <w:rFonts w:ascii="Times New Roman" w:hAnsi="Times New Roman" w:cs="Times New Roman"/>
          <w:sz w:val="20"/>
          <w:szCs w:val="20"/>
        </w:rPr>
        <w:instrText xml:space="preserve"> ADDIN ZOTERO_ITEM CSL_CITATION {"citationID":"yR1nHgGZ","properties":{"formattedCitation":"KaiLi Song et al., \\uc0\\u8220{}Research on Organization Name Matching Based on Word Vector,\\uc0\\u8221{} in {\\i{}Journal of Physics: Conference Series}, vol. 1684 (IOP Publishing, 2020), 012085.","plainCitation":"KaiLi Song et al., “Research on Organization Name Matching Based on Word Vector,” in Journal of Physics: Conference Series, vol. 1684 (IOP Publishing, 2020), 012085.","noteIndex":4},"citationItems":[{"id":1512,"uris":["http://zotero.org/groups/4707791/items/SRFG8BC6"],"itemData":{"id":1512,"type":"paper-conference","container-title":"Journal of Physics: Conference Series","ISBN":"1742-6596","note":"issue: 1","page":"012085","publisher":"IOP Publishing","title":"Research on Organization Name Matching Based on Word Vector","volume":"1684","author":[{"family":"Song","given":"KaiLi"},{"family":"Li","given":"YunLing"},{"family":"Yao","given":"LuLu"},{"family":"Wang","given":"Yuan"}],"issued":{"date-parts":[["2020"]]}}}],"schema":"https://github.com/citation-style-language/schema/raw/master/csl-citation.json"} </w:instrText>
      </w:r>
      <w:r w:rsidR="0077457E">
        <w:rPr>
          <w:rFonts w:ascii="Times New Roman" w:hAnsi="Times New Roman" w:cs="Times New Roman"/>
          <w:sz w:val="20"/>
          <w:szCs w:val="20"/>
        </w:rPr>
        <w:fldChar w:fldCharType="separate"/>
      </w:r>
      <w:r w:rsidR="0077457E" w:rsidRPr="0077457E">
        <w:rPr>
          <w:rFonts w:ascii="Times New Roman" w:hAnsi="Times New Roman" w:cs="Times New Roman"/>
          <w:sz w:val="20"/>
          <w:szCs w:val="24"/>
        </w:rPr>
        <w:t xml:space="preserve">KaiLi Song et al., “Research on Organization Name Matching Based on Word Vector,” in </w:t>
      </w:r>
      <w:r w:rsidR="0077457E" w:rsidRPr="0077457E">
        <w:rPr>
          <w:rFonts w:ascii="Times New Roman" w:hAnsi="Times New Roman" w:cs="Times New Roman"/>
          <w:i/>
          <w:iCs/>
          <w:sz w:val="20"/>
          <w:szCs w:val="24"/>
        </w:rPr>
        <w:t>Journal of Physics: Conference Series</w:t>
      </w:r>
      <w:r w:rsidR="0077457E" w:rsidRPr="0077457E">
        <w:rPr>
          <w:rFonts w:ascii="Times New Roman" w:hAnsi="Times New Roman" w:cs="Times New Roman"/>
          <w:sz w:val="20"/>
          <w:szCs w:val="24"/>
        </w:rPr>
        <w:t>, vol. 1684 (IOP Publishing, 2020), 012085.</w:t>
      </w:r>
      <w:r w:rsidR="0077457E">
        <w:rPr>
          <w:rFonts w:ascii="Times New Roman" w:hAnsi="Times New Roman" w:cs="Times New Roman"/>
          <w:sz w:val="20"/>
          <w:szCs w:val="20"/>
        </w:rPr>
        <w:fldChar w:fldCharType="end"/>
      </w:r>
    </w:p>
  </w:footnote>
  <w:footnote w:id="5">
    <w:p w14:paraId="28A15BC9" w14:textId="3E610694" w:rsidR="00492E38" w:rsidRPr="00FD71B6" w:rsidRDefault="00492E38" w:rsidP="00CA5F4F">
      <w:pPr>
        <w:pStyle w:val="FootnoteText"/>
        <w:jc w:val="both"/>
        <w:rPr>
          <w:rFonts w:ascii="Times New Roman" w:hAnsi="Times New Roman" w:cs="Times New Roman"/>
        </w:rPr>
      </w:pPr>
      <w:r w:rsidRPr="00FD71B6">
        <w:rPr>
          <w:rStyle w:val="FootnoteReference"/>
          <w:rFonts w:ascii="Times New Roman" w:hAnsi="Times New Roman" w:cs="Times New Roman"/>
        </w:rPr>
        <w:footnoteRef/>
      </w:r>
      <w:r w:rsidRPr="00FD71B6">
        <w:rPr>
          <w:rFonts w:ascii="Times New Roman" w:hAnsi="Times New Roman" w:cs="Times New Roman"/>
        </w:rPr>
        <w:t xml:space="preserve"> </w:t>
      </w:r>
      <w:r w:rsidR="0077457E">
        <w:rPr>
          <w:rFonts w:ascii="Times New Roman" w:hAnsi="Times New Roman" w:cs="Times New Roman"/>
        </w:rPr>
        <w:fldChar w:fldCharType="begin"/>
      </w:r>
      <w:r w:rsidR="0077457E">
        <w:rPr>
          <w:rFonts w:ascii="Times New Roman" w:hAnsi="Times New Roman" w:cs="Times New Roman"/>
        </w:rPr>
        <w:instrText xml:space="preserve"> ADDIN ZOTERO_ITEM CSL_CITATION {"citationID":"tY0fh4Q2","properties":{"formattedCitation":"Stefanie Schneider, \\uc0\\u8220{}Viafr: Interface to the \\uc0\\u8216{}VIAF\\uc0\\u8217{} ('Virtual International Authority File\\uc0\\u8217{}),\\uc0\\u8221{} {\\i{}API. R Package Version 0.2.0.}, n.d., https://CRAN.R-project.org/package=viafr.","plainCitation":"Stefanie Schneider, “Viafr: Interface to the ‘VIAF’ ('Virtual International Authority File’),” API. R Package Version 0.2.0., n.d., https://CRAN.R-project.org/package=viafr.","noteIndex":5},"citationItems":[{"id":1522,"uris":["http://zotero.org/groups/4707791/items/H2GVHANB"],"itemData":{"id":1522,"type":"article-journal","container-title":"API. R package version 0.2.0.","title":"viafr: Interface to the 'VIAF' ('Virtual International Authority File')","URL":"https://CRAN.R-project.org/package=viafr","author":[{"family":"Schneider","given":"Stefanie"}]}}],"schema":"https://github.com/citation-style-language/schema/raw/master/csl-citation.json"} </w:instrText>
      </w:r>
      <w:r w:rsidR="0077457E">
        <w:rPr>
          <w:rFonts w:ascii="Times New Roman" w:hAnsi="Times New Roman" w:cs="Times New Roman"/>
        </w:rPr>
        <w:fldChar w:fldCharType="separate"/>
      </w:r>
      <w:r w:rsidR="0077457E" w:rsidRPr="0077457E">
        <w:rPr>
          <w:rFonts w:ascii="Times New Roman" w:hAnsi="Times New Roman" w:cs="Times New Roman"/>
          <w:szCs w:val="24"/>
        </w:rPr>
        <w:t xml:space="preserve">Stefanie Schneider, “Viafr: Interface to the ‘VIAF’ ('Virtual International Authority File’),” </w:t>
      </w:r>
      <w:r w:rsidR="0077457E" w:rsidRPr="0077457E">
        <w:rPr>
          <w:rFonts w:ascii="Times New Roman" w:hAnsi="Times New Roman" w:cs="Times New Roman"/>
          <w:i/>
          <w:iCs/>
          <w:szCs w:val="24"/>
        </w:rPr>
        <w:t>API. R Package Version 0.2.0.</w:t>
      </w:r>
      <w:r w:rsidR="0077457E" w:rsidRPr="0077457E">
        <w:rPr>
          <w:rFonts w:ascii="Times New Roman" w:hAnsi="Times New Roman" w:cs="Times New Roman"/>
          <w:szCs w:val="24"/>
        </w:rPr>
        <w:t>, n.d., https://CRAN.R-project.org/package=viafr.</w:t>
      </w:r>
      <w:r w:rsidR="0077457E">
        <w:rPr>
          <w:rFonts w:ascii="Times New Roman" w:hAnsi="Times New Roman" w:cs="Times New Roman"/>
        </w:rPr>
        <w:fldChar w:fldCharType="end"/>
      </w:r>
      <w:r w:rsidR="00767E1E">
        <w:rPr>
          <w:rFonts w:ascii="Times New Roman" w:hAnsi="Times New Roman" w:cs="Times New Roman"/>
        </w:rPr>
        <w:t xml:space="preserve"> </w:t>
      </w:r>
      <w:r w:rsidRPr="00FD71B6">
        <w:rPr>
          <w:rFonts w:ascii="Times New Roman" w:hAnsi="Times New Roman" w:cs="Times New Roman"/>
        </w:rPr>
        <w:t xml:space="preserve">On the limitations of the VIAF authority file methodology see </w:t>
      </w:r>
      <w:r w:rsidR="0077457E">
        <w:rPr>
          <w:rFonts w:ascii="Times New Roman" w:hAnsi="Times New Roman" w:cs="Times New Roman"/>
        </w:rPr>
        <w:fldChar w:fldCharType="begin"/>
      </w:r>
      <w:r w:rsidR="0077457E">
        <w:rPr>
          <w:rFonts w:ascii="Times New Roman" w:hAnsi="Times New Roman" w:cs="Times New Roman"/>
        </w:rPr>
        <w:instrText xml:space="preserve"> ADDIN ZOTERO_ITEM CSL_CITATION {"citationID":"2PZDeLCq","properties":{"formattedCitation":"Carlo Bianchini, Stefano Bargioni, and Camillo Carlo Pellizzari di San Girolamo, \\uc0\\u8220{}Beyond VIAF,\\uc0\\u8221{} {\\i{}Information Technology and Libraries} 40, no. 2 (2021).","plainCitation":"Carlo Bianchini, Stefano Bargioni, and Camillo Carlo Pellizzari di San Girolamo, “Beyond VIAF,” Information Technology and Libraries 40, no. 2 (2021).","noteIndex":5},"citationItems":[{"id":1513,"uris":["http://zotero.org/groups/4707791/items/Z9IQI5TG"],"itemData":{"id":1513,"type":"article-journal","container-title":"Information Technology and Libraries","issue":"2","note":"ISBN: 2163-5226","title":"Beyond VIAF","volume":"40","author":[{"family":"Bianchini","given":"Carlo"},{"family":"Bargioni","given":"Stefano"},{"family":"San Girolamo","given":"Camillo Carlo Pellizzari","non-dropping-particle":"di"}],"issued":{"date-parts":[["2021"]]}}}],"schema":"https://github.com/citation-style-language/schema/raw/master/csl-citation.json"} </w:instrText>
      </w:r>
      <w:r w:rsidR="0077457E">
        <w:rPr>
          <w:rFonts w:ascii="Times New Roman" w:hAnsi="Times New Roman" w:cs="Times New Roman"/>
        </w:rPr>
        <w:fldChar w:fldCharType="separate"/>
      </w:r>
      <w:r w:rsidR="0077457E" w:rsidRPr="0077457E">
        <w:rPr>
          <w:rFonts w:ascii="Times New Roman" w:hAnsi="Times New Roman" w:cs="Times New Roman"/>
          <w:szCs w:val="24"/>
        </w:rPr>
        <w:t xml:space="preserve">Carlo Bianchini, Stefano Bargioni, and Camillo Carlo Pellizzari di San Girolamo, “Beyond VIAF,” </w:t>
      </w:r>
      <w:r w:rsidR="0077457E" w:rsidRPr="0077457E">
        <w:rPr>
          <w:rFonts w:ascii="Times New Roman" w:hAnsi="Times New Roman" w:cs="Times New Roman"/>
          <w:i/>
          <w:iCs/>
          <w:szCs w:val="24"/>
        </w:rPr>
        <w:t>Information Technology and Libraries</w:t>
      </w:r>
      <w:r w:rsidR="0077457E" w:rsidRPr="0077457E">
        <w:rPr>
          <w:rFonts w:ascii="Times New Roman" w:hAnsi="Times New Roman" w:cs="Times New Roman"/>
          <w:szCs w:val="24"/>
        </w:rPr>
        <w:t xml:space="preserve"> 40, no. 2 (2021).</w:t>
      </w:r>
      <w:r w:rsidR="0077457E">
        <w:rPr>
          <w:rFonts w:ascii="Times New Roman" w:hAnsi="Times New Roman" w:cs="Times New Roman"/>
        </w:rPr>
        <w:fldChar w:fldCharType="end"/>
      </w:r>
    </w:p>
  </w:footnote>
  <w:footnote w:id="6">
    <w:p w14:paraId="514AFAAC" w14:textId="2247B028" w:rsidR="00492E38" w:rsidRPr="00FD71B6" w:rsidRDefault="00492E38" w:rsidP="00CA5F4F">
      <w:pPr>
        <w:jc w:val="both"/>
        <w:rPr>
          <w:rFonts w:ascii="Times New Roman" w:eastAsia="Times New Roman" w:hAnsi="Times New Roman" w:cs="Times New Roman"/>
          <w:sz w:val="20"/>
          <w:szCs w:val="20"/>
        </w:rPr>
      </w:pPr>
      <w:r w:rsidRPr="00FD71B6">
        <w:rPr>
          <w:rStyle w:val="FootnoteReference"/>
          <w:rFonts w:ascii="Times New Roman" w:hAnsi="Times New Roman" w:cs="Times New Roman"/>
          <w:sz w:val="20"/>
          <w:szCs w:val="20"/>
        </w:rPr>
        <w:footnoteRef/>
      </w:r>
      <w:r w:rsidRPr="00FD71B6">
        <w:rPr>
          <w:rFonts w:ascii="Times New Roman" w:hAnsi="Times New Roman" w:cs="Times New Roman"/>
          <w:sz w:val="20"/>
          <w:szCs w:val="20"/>
        </w:rPr>
        <w:t xml:space="preserve"> </w:t>
      </w:r>
      <w:r w:rsidR="0077457E">
        <w:rPr>
          <w:rFonts w:ascii="Times New Roman" w:hAnsi="Times New Roman" w:cs="Times New Roman"/>
          <w:sz w:val="20"/>
          <w:szCs w:val="20"/>
        </w:rPr>
        <w:fldChar w:fldCharType="begin"/>
      </w:r>
      <w:r w:rsidR="0077457E">
        <w:rPr>
          <w:rFonts w:ascii="Times New Roman" w:hAnsi="Times New Roman" w:cs="Times New Roman"/>
          <w:sz w:val="20"/>
          <w:szCs w:val="20"/>
        </w:rPr>
        <w:instrText xml:space="preserve"> ADDIN ZOTERO_ITEM CSL_CITATION {"citationID":"c2BMNh9x","properties":{"formattedCitation":"Hadley Wickham, \\uc0\\u8220{}Tidy Data,\\uc0\\u8221{} {\\i{}Journal of Statistical Software} 59, no. 1 (2014): 1\\uc0\\u8211{}23; Julia Silge and David Robinson, \\uc0\\u8220{}Tidytext: Text Mining and Analysis Using Tidy Data Principles in R,\\uc0\\u8221{} {\\i{}Journal of Open Source Software} 1, no. 3 (2016): 37.","plainCitation":"Hadley Wickham, “Tidy Data,” Journal of Statistical Software 59, no. 1 (2014): 1–23; Julia Silge and David Robinson, “Tidytext: Text Mining and Analysis Using Tidy Data Principles in R,” Journal of Open Source Software 1, no. 3 (2016): 37.","noteIndex":6},"citationItems":[{"id":1523,"uris":["http://zotero.org/groups/4707791/items/KXQ6GTU4"],"itemData":{"id":1523,"type":"article-journal","container-title":"Journal of statistical software","issue":"1","page":"1-23","title":"Tidy data","volume":"59","author":[{"family":"Wickham","given":"Hadley"}],"issued":{"date-parts":[["2014"]]}}},{"id":1514,"uris":["http://zotero.org/groups/4707791/items/FMCU2YLK"],"itemData":{"id":1514,"type":"article-journal","container-title":"Journal of Open Source Software","issue":"3","note":"ISBN: 2475-9066","page":"37","title":"tidytext: Text mining and analysis using tidy data principles in R","volume":"1","author":[{"family":"Silge","given":"Julia"},{"family":"Robinson","given":"David"}],"issued":{"date-parts":[["2016"]]}}}],"schema":"https://github.com/citation-style-language/schema/raw/master/csl-citation.json"} </w:instrText>
      </w:r>
      <w:r w:rsidR="0077457E">
        <w:rPr>
          <w:rFonts w:ascii="Times New Roman" w:hAnsi="Times New Roman" w:cs="Times New Roman"/>
          <w:sz w:val="20"/>
          <w:szCs w:val="20"/>
        </w:rPr>
        <w:fldChar w:fldCharType="separate"/>
      </w:r>
      <w:r w:rsidR="0077457E" w:rsidRPr="0077457E">
        <w:rPr>
          <w:rFonts w:ascii="Times New Roman" w:hAnsi="Times New Roman" w:cs="Times New Roman"/>
          <w:sz w:val="20"/>
          <w:szCs w:val="24"/>
        </w:rPr>
        <w:t xml:space="preserve">Hadley Wickham, “Tidy Data,” </w:t>
      </w:r>
      <w:r w:rsidR="0077457E" w:rsidRPr="0077457E">
        <w:rPr>
          <w:rFonts w:ascii="Times New Roman" w:hAnsi="Times New Roman" w:cs="Times New Roman"/>
          <w:i/>
          <w:iCs/>
          <w:sz w:val="20"/>
          <w:szCs w:val="24"/>
        </w:rPr>
        <w:t>Journal of Statistical Software</w:t>
      </w:r>
      <w:r w:rsidR="0077457E" w:rsidRPr="0077457E">
        <w:rPr>
          <w:rFonts w:ascii="Times New Roman" w:hAnsi="Times New Roman" w:cs="Times New Roman"/>
          <w:sz w:val="20"/>
          <w:szCs w:val="24"/>
        </w:rPr>
        <w:t xml:space="preserve"> 59, no. 1 (2014): 1–23; Julia Silge and David Robinson, “Tidytext: Text Mining and Analysis Using Tidy Data Principles in R,” </w:t>
      </w:r>
      <w:r w:rsidR="0077457E" w:rsidRPr="0077457E">
        <w:rPr>
          <w:rFonts w:ascii="Times New Roman" w:hAnsi="Times New Roman" w:cs="Times New Roman"/>
          <w:i/>
          <w:iCs/>
          <w:sz w:val="20"/>
          <w:szCs w:val="24"/>
        </w:rPr>
        <w:t>Journal of Open Source Software</w:t>
      </w:r>
      <w:r w:rsidR="0077457E" w:rsidRPr="0077457E">
        <w:rPr>
          <w:rFonts w:ascii="Times New Roman" w:hAnsi="Times New Roman" w:cs="Times New Roman"/>
          <w:sz w:val="20"/>
          <w:szCs w:val="24"/>
        </w:rPr>
        <w:t xml:space="preserve"> 1, no. 3 (2016): 37.</w:t>
      </w:r>
      <w:r w:rsidR="0077457E">
        <w:rPr>
          <w:rFonts w:ascii="Times New Roman" w:hAnsi="Times New Roman" w:cs="Times New Roman"/>
          <w:sz w:val="20"/>
          <w:szCs w:val="20"/>
        </w:rPr>
        <w:fldChar w:fldCharType="end"/>
      </w:r>
    </w:p>
  </w:footnote>
  <w:footnote w:id="7">
    <w:p w14:paraId="38988A35" w14:textId="53494029" w:rsidR="00484F1C" w:rsidRPr="00FD71B6" w:rsidRDefault="00484F1C" w:rsidP="00CA5F4F">
      <w:pPr>
        <w:pStyle w:val="FootnoteText"/>
        <w:jc w:val="both"/>
        <w:rPr>
          <w:rFonts w:ascii="Times New Roman" w:hAnsi="Times New Roman" w:cs="Times New Roman"/>
        </w:rPr>
      </w:pPr>
      <w:r w:rsidRPr="00FD71B6">
        <w:rPr>
          <w:rStyle w:val="FootnoteReference"/>
          <w:rFonts w:ascii="Times New Roman" w:hAnsi="Times New Roman" w:cs="Times New Roman"/>
        </w:rPr>
        <w:footnoteRef/>
      </w:r>
      <w:r w:rsidRPr="00FD71B6">
        <w:rPr>
          <w:rFonts w:ascii="Times New Roman" w:hAnsi="Times New Roman" w:cs="Times New Roman"/>
        </w:rPr>
        <w:t xml:space="preserve"> See some of the implications of missing data in panel analysis with similar datasets (individuals that </w:t>
      </w:r>
      <w:proofErr w:type="spellStart"/>
      <w:r w:rsidRPr="00FD71B6">
        <w:rPr>
          <w:rFonts w:ascii="Times New Roman" w:hAnsi="Times New Roman" w:cs="Times New Roman"/>
        </w:rPr>
        <w:t>self report</w:t>
      </w:r>
      <w:proofErr w:type="spellEnd"/>
      <w:r w:rsidRPr="00FD71B6">
        <w:rPr>
          <w:rFonts w:ascii="Times New Roman" w:hAnsi="Times New Roman" w:cs="Times New Roman"/>
        </w:rPr>
        <w:t xml:space="preserve"> in waves and firms in the market) in: </w:t>
      </w:r>
      <w:r w:rsidR="0077457E">
        <w:rPr>
          <w:rFonts w:ascii="Times New Roman" w:hAnsi="Times New Roman" w:cs="Times New Roman"/>
        </w:rPr>
        <w:fldChar w:fldCharType="begin"/>
      </w:r>
      <w:r w:rsidR="0077457E">
        <w:rPr>
          <w:rFonts w:ascii="Times New Roman" w:hAnsi="Times New Roman" w:cs="Times New Roman"/>
        </w:rPr>
        <w:instrText xml:space="preserve"> ADDIN ZOTERO_ITEM CSL_CITATION {"citationID":"7EkA4sbw","properties":{"formattedCitation":"Badi H. Baltagi and Young-Jae Chang, \\uc0\\u8220{}Incomplete Panels: A Comparative Study of Alternative Estimators for the Unbalanced One-Way Error Component Regression Model,\\uc0\\u8221{} {\\i{}Journal of Econometrics} 62, no. 2 (1994): 67\\uc0\\u8211{}89; Badi H. Baltagi and Seuck Heun Song, \\uc0\\u8220{}Unbalanced Panel Data: A Survey,\\uc0\\u8221{} {\\i{}Statistical Papers} 47, no. 4 (2006): 493\\uc0\\u8211{}523; Rebekah Young and David R. Johnson, \\uc0\\u8220{}Handling Missing Values in Longitudinal Panel Data with Multiple Imputation,\\uc0\\u8221{} {\\i{}Journal of Marriage and Family} 77, no. 1 (2015): 277\\uc0\\u8211{}94.","plainCitation":"Badi H. Baltagi and Young-Jae Chang, “Incomplete Panels: A Comparative Study of Alternative Estimators for the Unbalanced One-Way Error Component Regression Model,” Journal of Econometrics 62, no. 2 (1994): 67–89; Badi H. Baltagi and Seuck Heun Song, “Unbalanced Panel Data: A Survey,” Statistical Papers 47, no. 4 (2006): 493–523; Rebekah Young and David R. Johnson, “Handling Missing Values in Longitudinal Panel Data with Multiple Imputation,” Journal of Marriage and Family 77, no. 1 (2015): 277–94.","noteIndex":7},"citationItems":[{"id":1515,"uris":["http://zotero.org/groups/4707791/items/QCX5ZBVN"],"itemData":{"id":1515,"type":"article-journal","container-title":"Journal of Econometrics","issue":"2","note":"ISBN: 0304-4076\npublisher: Elsevier","page":"67-89","title":"Incomplete panels: A comparative study of alternative estimators for the unbalanced one-way error component regression model","volume":"62","author":[{"family":"Baltagi","given":"Badi H."},{"family":"Chang","given":"Young-Jae"}],"issued":{"date-parts":[["1994"]]}}},{"id":1516,"uris":["http://zotero.org/groups/4707791/items/7UAST7CM"],"itemData":{"id":1516,"type":"article-journal","container-title":"Statistical Papers","issue":"4","note":"ISBN: 1613-9798\npublisher: Springer","page":"493-523","title":"Unbalanced panel data: A survey","volume":"47","author":[{"family":"Baltagi","given":"Badi H."},{"family":"Song","given":"Seuck Heun"}],"issued":{"date-parts":[["2006"]]}}},{"id":1517,"uris":["http://zotero.org/groups/4707791/items/XST9LQ4I"],"itemData":{"id":1517,"type":"article-journal","container-title":"Journal of Marriage and Family","issue":"1","note":"ISBN: 0022-2445\npublisher: Wiley Online Library","page":"277-294","title":"Handling missing values in longitudinal panel data with multiple imputation","volume":"77","author":[{"family":"Young","given":"Rebekah"},{"family":"Johnson","given":"David R."}],"issued":{"date-parts":[["2015"]]}}}],"schema":"https://github.com/citation-style-language/schema/raw/master/csl-citation.json"} </w:instrText>
      </w:r>
      <w:r w:rsidR="0077457E">
        <w:rPr>
          <w:rFonts w:ascii="Times New Roman" w:hAnsi="Times New Roman" w:cs="Times New Roman"/>
        </w:rPr>
        <w:fldChar w:fldCharType="separate"/>
      </w:r>
      <w:r w:rsidR="0077457E" w:rsidRPr="0077457E">
        <w:rPr>
          <w:rFonts w:ascii="Times New Roman" w:hAnsi="Times New Roman" w:cs="Times New Roman"/>
          <w:szCs w:val="24"/>
        </w:rPr>
        <w:t xml:space="preserve">Badi H. Baltagi and Young-Jae Chang, “Incomplete Panels: A Comparative Study of Alternative Estimators for the Unbalanced One-Way Error Component Regression Model,” </w:t>
      </w:r>
      <w:r w:rsidR="0077457E" w:rsidRPr="0077457E">
        <w:rPr>
          <w:rFonts w:ascii="Times New Roman" w:hAnsi="Times New Roman" w:cs="Times New Roman"/>
          <w:i/>
          <w:iCs/>
          <w:szCs w:val="24"/>
        </w:rPr>
        <w:t>Journal of Econometrics</w:t>
      </w:r>
      <w:r w:rsidR="0077457E" w:rsidRPr="0077457E">
        <w:rPr>
          <w:rFonts w:ascii="Times New Roman" w:hAnsi="Times New Roman" w:cs="Times New Roman"/>
          <w:szCs w:val="24"/>
        </w:rPr>
        <w:t xml:space="preserve"> 62, no. 2 (1994): 67–89; Badi H. Baltagi and Seuck Heun Song, “Unbalanced Panel Data: A Survey,” </w:t>
      </w:r>
      <w:r w:rsidR="0077457E" w:rsidRPr="0077457E">
        <w:rPr>
          <w:rFonts w:ascii="Times New Roman" w:hAnsi="Times New Roman" w:cs="Times New Roman"/>
          <w:i/>
          <w:iCs/>
          <w:szCs w:val="24"/>
        </w:rPr>
        <w:t>Statistical Papers</w:t>
      </w:r>
      <w:r w:rsidR="0077457E" w:rsidRPr="0077457E">
        <w:rPr>
          <w:rFonts w:ascii="Times New Roman" w:hAnsi="Times New Roman" w:cs="Times New Roman"/>
          <w:szCs w:val="24"/>
        </w:rPr>
        <w:t xml:space="preserve"> 47, no. 4 (2006): 493–523; Rebekah Young and David R. Johnson, “Handling Missing Values in Longitudinal Panel Data with Multiple Imputation,” </w:t>
      </w:r>
      <w:r w:rsidR="0077457E" w:rsidRPr="0077457E">
        <w:rPr>
          <w:rFonts w:ascii="Times New Roman" w:hAnsi="Times New Roman" w:cs="Times New Roman"/>
          <w:i/>
          <w:iCs/>
          <w:szCs w:val="24"/>
        </w:rPr>
        <w:t>Journal of Marriage and Family</w:t>
      </w:r>
      <w:r w:rsidR="0077457E" w:rsidRPr="0077457E">
        <w:rPr>
          <w:rFonts w:ascii="Times New Roman" w:hAnsi="Times New Roman" w:cs="Times New Roman"/>
          <w:szCs w:val="24"/>
        </w:rPr>
        <w:t xml:space="preserve"> 77, no. 1 (2015): 277–94.</w:t>
      </w:r>
      <w:r w:rsidR="0077457E">
        <w:rPr>
          <w:rFonts w:ascii="Times New Roman" w:hAnsi="Times New Roman" w:cs="Times New Roman"/>
        </w:rPr>
        <w:fldChar w:fldCharType="end"/>
      </w:r>
    </w:p>
  </w:footnote>
  <w:footnote w:id="8">
    <w:p w14:paraId="6B939C7F" w14:textId="00DF0FD3" w:rsidR="00D04206" w:rsidRPr="00FD71B6" w:rsidRDefault="00D04206" w:rsidP="00CA5F4F">
      <w:pPr>
        <w:pStyle w:val="HTMLPreformatted"/>
        <w:jc w:val="both"/>
        <w:rPr>
          <w:rFonts w:ascii="Times New Roman" w:hAnsi="Times New Roman" w:cs="Times New Roman"/>
        </w:rPr>
      </w:pPr>
      <w:r w:rsidRPr="00FD71B6">
        <w:rPr>
          <w:rStyle w:val="FootnoteReference"/>
          <w:rFonts w:ascii="Times New Roman" w:hAnsi="Times New Roman" w:cs="Times New Roman"/>
        </w:rPr>
        <w:footnoteRef/>
      </w:r>
      <w:r w:rsidRPr="00FD71B6">
        <w:rPr>
          <w:rFonts w:ascii="Times New Roman" w:hAnsi="Times New Roman" w:cs="Times New Roman"/>
        </w:rPr>
        <w:t xml:space="preserve"> </w:t>
      </w:r>
      <w:r w:rsidR="0077457E">
        <w:rPr>
          <w:rFonts w:ascii="Times New Roman" w:hAnsi="Times New Roman" w:cs="Times New Roman"/>
        </w:rPr>
        <w:fldChar w:fldCharType="begin"/>
      </w:r>
      <w:r w:rsidR="0077457E">
        <w:rPr>
          <w:rFonts w:ascii="Times New Roman" w:hAnsi="Times New Roman" w:cs="Times New Roman"/>
        </w:rPr>
        <w:instrText xml:space="preserve"> ADDIN ZOTERO_ITEM CSL_CITATION {"citationID":"7vtqElTg","properties":{"formattedCitation":"Lincoln Mullen, \\uc0\\u8220{}Gender: Predict Gender from Names Using Historical Data,\\uc0\\u8221{} {\\i{}R Package Version 0.6.0.}, n.d.; Cameron Blevins and Lincoln Mullen, \\uc0\\u8220{}Jane, John... Leslie? A Historical Method for Algorithmic Gender Prediction.,\\uc0\\u8221{} {\\i{}DHQ: Digital Humanities Quarterly} 9, no. 3 (2015).","plainCitation":"Lincoln Mullen, “Gender: Predict Gender from Names Using Historical Data,” R Package Version 0.6.0., n.d.; Cameron Blevins and Lincoln Mullen, “Jane, John... Leslie? A Historical Method for Algorithmic Gender Prediction.,” DHQ: Digital Humanities Quarterly 9, no. 3 (2015).","noteIndex":8},"citationItems":[{"id":1524,"uris":["http://zotero.org/groups/4707791/items/ZE5N4QUH"],"itemData":{"id":1524,"type":"article-journal","container-title":"R package version 0.6.0.","title":"gender: Predict Gender from Names Using Historical Data","author":[{"family":"Mullen","given":"Lincoln"}]}},{"id":1518,"uris":["http://zotero.org/groups/4707791/items/UGI3C9FU"],"itemData":{"id":1518,"type":"article-journal","container-title":"DHQ: Digital Humanities Quarterly","issue":"3","note":"ISBN: 1938-4122","title":"Jane, John... Leslie? A Historical Method for Algorithmic Gender Prediction.","volume":"9","author":[{"family":"Blevins","given":"Cameron"},{"family":"Mullen","given":"Lincoln"}],"issued":{"date-parts":[["2015"]]}}}],"schema":"https://github.com/citation-style-language/schema/raw/master/csl-citation.json"} </w:instrText>
      </w:r>
      <w:r w:rsidR="0077457E">
        <w:rPr>
          <w:rFonts w:ascii="Times New Roman" w:hAnsi="Times New Roman" w:cs="Times New Roman"/>
        </w:rPr>
        <w:fldChar w:fldCharType="separate"/>
      </w:r>
      <w:r w:rsidR="0077457E" w:rsidRPr="0077457E">
        <w:rPr>
          <w:rFonts w:ascii="Times New Roman" w:hAnsi="Times New Roman" w:cs="Times New Roman"/>
          <w:szCs w:val="24"/>
        </w:rPr>
        <w:t xml:space="preserve">Lincoln Mullen, “Gender: Predict Gender from Names Using Historical Data,” </w:t>
      </w:r>
      <w:r w:rsidR="0077457E" w:rsidRPr="0077457E">
        <w:rPr>
          <w:rFonts w:ascii="Times New Roman" w:hAnsi="Times New Roman" w:cs="Times New Roman"/>
          <w:i/>
          <w:iCs/>
          <w:szCs w:val="24"/>
        </w:rPr>
        <w:t>R Package Version 0.6.0.</w:t>
      </w:r>
      <w:r w:rsidR="0077457E" w:rsidRPr="0077457E">
        <w:rPr>
          <w:rFonts w:ascii="Times New Roman" w:hAnsi="Times New Roman" w:cs="Times New Roman"/>
          <w:szCs w:val="24"/>
        </w:rPr>
        <w:t xml:space="preserve">, n.d.; Cameron Blevins and Lincoln Mullen, “Jane, John... Leslie? A Historical Method for Algorithmic Gender Prediction.,” </w:t>
      </w:r>
      <w:r w:rsidR="0077457E" w:rsidRPr="0077457E">
        <w:rPr>
          <w:rFonts w:ascii="Times New Roman" w:hAnsi="Times New Roman" w:cs="Times New Roman"/>
          <w:i/>
          <w:iCs/>
          <w:szCs w:val="24"/>
        </w:rPr>
        <w:t>DHQ: Digital Humanities Quarterly</w:t>
      </w:r>
      <w:r w:rsidR="0077457E" w:rsidRPr="0077457E">
        <w:rPr>
          <w:rFonts w:ascii="Times New Roman" w:hAnsi="Times New Roman" w:cs="Times New Roman"/>
          <w:szCs w:val="24"/>
        </w:rPr>
        <w:t xml:space="preserve"> 9, no. 3 (2015).</w:t>
      </w:r>
      <w:r w:rsidR="0077457E">
        <w:rPr>
          <w:rFonts w:ascii="Times New Roman" w:hAnsi="Times New Roman" w:cs="Times New Roman"/>
        </w:rPr>
        <w:fldChar w:fldCharType="end"/>
      </w:r>
    </w:p>
  </w:footnote>
  <w:footnote w:id="9">
    <w:p w14:paraId="1A82036D" w14:textId="665F08E2" w:rsidR="002F6D70" w:rsidRDefault="002F6D70" w:rsidP="00CA5F4F">
      <w:pPr>
        <w:pStyle w:val="FootnoteText"/>
        <w:jc w:val="both"/>
      </w:pPr>
      <w:r>
        <w:rPr>
          <w:rStyle w:val="FootnoteReference"/>
        </w:rPr>
        <w:footnoteRef/>
      </w:r>
      <w:r>
        <w:t xml:space="preserve"> Using the Google API for geolocation, the </w:t>
      </w:r>
      <w:proofErr w:type="spellStart"/>
      <w:r>
        <w:t>ggmap</w:t>
      </w:r>
      <w:proofErr w:type="spellEnd"/>
      <w:r>
        <w:t xml:space="preserve"> package and the </w:t>
      </w:r>
      <w:proofErr w:type="spellStart"/>
      <w:r>
        <w:t>countrycode</w:t>
      </w:r>
      <w:proofErr w:type="spellEnd"/>
      <w:r>
        <w:t xml:space="preserve"> package for mapping. </w:t>
      </w:r>
      <w:r w:rsidR="0077457E">
        <w:fldChar w:fldCharType="begin"/>
      </w:r>
      <w:r w:rsidR="0077457E">
        <w:instrText xml:space="preserve"> ADDIN ZOTERO_ITEM CSL_CITATION {"citationID":"qmttq2A4","properties":{"formattedCitation":"David J. Kahle and Hadley Wickham, \\uc0\\u8220{}Ggmap: Spatial Visualization with Ggplot2.,\\uc0\\u8221{} {\\i{}R J.} 5, no. 1 (2013): 144; Vincent Arel-Bundock, Nils Enevoldsen, and C. J. Yetman, \\uc0\\u8220{}Countrycode: An R Package to Convert Country Names and Country Codes,\\uc0\\u8221{} {\\i{}Journal of Open Source Software} 3, no. 28 (2018): 848; Andy South, \\uc0\\u8220{}Rworldmap: A New R Package for Mapping Global Data.,\\uc0\\u8221{} {\\i{}R Journal} 3, no. 1 (2011).","plainCitation":"David J. Kahle and Hadley Wickham, “Ggmap: Spatial Visualization with Ggplot2.,” R J. 5, no. 1 (2013): 144; Vincent Arel-Bundock, Nils Enevoldsen, and C. J. Yetman, “Countrycode: An R Package to Convert Country Names and Country Codes,” Journal of Open Source Software 3, no. 28 (2018): 848; Andy South, “Rworldmap: A New R Package for Mapping Global Data.,” R Journal 3, no. 1 (2011).","noteIndex":9},"citationItems":[{"id":1519,"uris":["http://zotero.org/groups/4707791/items/D3LETZJ3"],"itemData":{"id":1519,"type":"article-journal","container-title":"R J.","issue":"1","page":"144","title":"ggmap: spatial visualization with ggplot2.","volume":"5","author":[{"family":"Kahle","given":"David J."},{"family":"Wickham","given":"Hadley"}],"issued":{"date-parts":[["2013"]]}}},{"id":1520,"uris":["http://zotero.org/groups/4707791/items/HX322UUU"],"itemData":{"id":1520,"type":"article-journal","container-title":"Journal of Open Source Software","issue":"28","note":"ISBN: 2475-9066","page":"848","title":"countrycode: An R package to convert country names and country codes","volume":"3","author":[{"family":"Arel-Bundock","given":"Vincent"},{"family":"Enevoldsen","given":"Nils"},{"family":"Yetman","given":"C. J."}],"issued":{"date-parts":[["2018"]]}}},{"id":1521,"uris":["http://zotero.org/groups/4707791/items/U4355HQT"],"itemData":{"id":1521,"type":"article-journal","container-title":"R Journal","issue":"1","note":"ISBN: 2073-4859","title":"rworldmap: a new R package for mapping global data.","volume":"3","author":[{"family":"South","given":"Andy"}],"issued":{"date-parts":[["2011"]]}}}],"schema":"https://github.com/citation-style-language/schema/raw/master/csl-citation.json"} </w:instrText>
      </w:r>
      <w:r w:rsidR="0077457E">
        <w:fldChar w:fldCharType="separate"/>
      </w:r>
      <w:r w:rsidR="0077457E" w:rsidRPr="0077457E">
        <w:rPr>
          <w:rFonts w:ascii="Calibri" w:hAnsi="Calibri" w:cs="Calibri"/>
          <w:szCs w:val="24"/>
        </w:rPr>
        <w:t xml:space="preserve">David J. Kahle and Hadley Wickham, “Ggmap: Spatial Visualization with Ggplot2.,” </w:t>
      </w:r>
      <w:r w:rsidR="0077457E" w:rsidRPr="0077457E">
        <w:rPr>
          <w:rFonts w:ascii="Calibri" w:hAnsi="Calibri" w:cs="Calibri"/>
          <w:i/>
          <w:iCs/>
          <w:szCs w:val="24"/>
        </w:rPr>
        <w:t>R J.</w:t>
      </w:r>
      <w:r w:rsidR="0077457E" w:rsidRPr="0077457E">
        <w:rPr>
          <w:rFonts w:ascii="Calibri" w:hAnsi="Calibri" w:cs="Calibri"/>
          <w:szCs w:val="24"/>
        </w:rPr>
        <w:t xml:space="preserve"> 5, no. 1 (2013): 144; Vincent Arel-Bundock, Nils Enevoldsen, and C. J. Yetman, “Countrycode: An R Package to Convert Country Names and Country Codes,” </w:t>
      </w:r>
      <w:r w:rsidR="0077457E" w:rsidRPr="0077457E">
        <w:rPr>
          <w:rFonts w:ascii="Calibri" w:hAnsi="Calibri" w:cs="Calibri"/>
          <w:i/>
          <w:iCs/>
          <w:szCs w:val="24"/>
        </w:rPr>
        <w:t>Journal of Open Source Software</w:t>
      </w:r>
      <w:r w:rsidR="0077457E" w:rsidRPr="0077457E">
        <w:rPr>
          <w:rFonts w:ascii="Calibri" w:hAnsi="Calibri" w:cs="Calibri"/>
          <w:szCs w:val="24"/>
        </w:rPr>
        <w:t xml:space="preserve"> 3, no. 28 (2018): 848; Andy South, “Rworldmap: A New R Package for Mapping Global Data.,” </w:t>
      </w:r>
      <w:r w:rsidR="0077457E" w:rsidRPr="0077457E">
        <w:rPr>
          <w:rFonts w:ascii="Calibri" w:hAnsi="Calibri" w:cs="Calibri"/>
          <w:i/>
          <w:iCs/>
          <w:szCs w:val="24"/>
        </w:rPr>
        <w:t>R Journal</w:t>
      </w:r>
      <w:r w:rsidR="0077457E" w:rsidRPr="0077457E">
        <w:rPr>
          <w:rFonts w:ascii="Calibri" w:hAnsi="Calibri" w:cs="Calibri"/>
          <w:szCs w:val="24"/>
        </w:rPr>
        <w:t xml:space="preserve"> 3, no. 1 (2011).</w:t>
      </w:r>
      <w:r w:rsidR="0077457E">
        <w:fldChar w:fldCharType="end"/>
      </w:r>
      <w:r w:rsidR="00767E1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4990"/>
    <w:multiLevelType w:val="hybridMultilevel"/>
    <w:tmpl w:val="54689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72624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wMTExsjCwNLY0tzRT0lEKTi0uzszPAykwrQUAxMfAxiwAAAA="/>
  </w:docVars>
  <w:rsids>
    <w:rsidRoot w:val="00492E38"/>
    <w:rsid w:val="00010D5D"/>
    <w:rsid w:val="00036E1D"/>
    <w:rsid w:val="00037B4E"/>
    <w:rsid w:val="001A37E0"/>
    <w:rsid w:val="002F6D70"/>
    <w:rsid w:val="00303623"/>
    <w:rsid w:val="004553D3"/>
    <w:rsid w:val="00484F1C"/>
    <w:rsid w:val="004850AC"/>
    <w:rsid w:val="00492E38"/>
    <w:rsid w:val="00546657"/>
    <w:rsid w:val="00582961"/>
    <w:rsid w:val="006818CC"/>
    <w:rsid w:val="00767E1E"/>
    <w:rsid w:val="0077457E"/>
    <w:rsid w:val="007F1DEA"/>
    <w:rsid w:val="00814EE1"/>
    <w:rsid w:val="008D7D60"/>
    <w:rsid w:val="008F2974"/>
    <w:rsid w:val="00975EA2"/>
    <w:rsid w:val="00B2485D"/>
    <w:rsid w:val="00C14DBA"/>
    <w:rsid w:val="00CA5F4F"/>
    <w:rsid w:val="00D04206"/>
    <w:rsid w:val="00D56B96"/>
    <w:rsid w:val="00D95235"/>
    <w:rsid w:val="00E97389"/>
    <w:rsid w:val="00F24CCA"/>
    <w:rsid w:val="00FB0227"/>
    <w:rsid w:val="00FD5416"/>
    <w:rsid w:val="00F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22AE"/>
  <w15:chartTrackingRefBased/>
  <w15:docId w15:val="{3AE175CF-84C3-4719-ADFB-0BD73661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E3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92E38"/>
    <w:rPr>
      <w:sz w:val="20"/>
      <w:szCs w:val="20"/>
    </w:rPr>
  </w:style>
  <w:style w:type="character" w:customStyle="1" w:styleId="FootnoteTextChar">
    <w:name w:val="Footnote Text Char"/>
    <w:basedOn w:val="DefaultParagraphFont"/>
    <w:link w:val="FootnoteText"/>
    <w:uiPriority w:val="99"/>
    <w:semiHidden/>
    <w:rsid w:val="00492E38"/>
    <w:rPr>
      <w:sz w:val="20"/>
      <w:szCs w:val="20"/>
    </w:rPr>
  </w:style>
  <w:style w:type="paragraph" w:styleId="ListParagraph">
    <w:name w:val="List Paragraph"/>
    <w:basedOn w:val="Normal"/>
    <w:uiPriority w:val="34"/>
    <w:qFormat/>
    <w:rsid w:val="00492E38"/>
    <w:pPr>
      <w:spacing w:after="160" w:line="256" w:lineRule="auto"/>
      <w:ind w:left="720"/>
      <w:contextualSpacing/>
    </w:pPr>
  </w:style>
  <w:style w:type="character" w:styleId="FootnoteReference">
    <w:name w:val="footnote reference"/>
    <w:basedOn w:val="DefaultParagraphFont"/>
    <w:uiPriority w:val="99"/>
    <w:semiHidden/>
    <w:unhideWhenUsed/>
    <w:rsid w:val="00492E38"/>
    <w:rPr>
      <w:vertAlign w:val="superscript"/>
    </w:rPr>
  </w:style>
  <w:style w:type="paragraph" w:styleId="HTMLPreformatted">
    <w:name w:val="HTML Preformatted"/>
    <w:basedOn w:val="Normal"/>
    <w:link w:val="HTMLPreformattedChar"/>
    <w:uiPriority w:val="99"/>
    <w:unhideWhenUsed/>
    <w:rsid w:val="00F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71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71B6"/>
    <w:rPr>
      <w:rFonts w:ascii="Courier New" w:eastAsia="Times New Roman" w:hAnsi="Courier New" w:cs="Courier New"/>
      <w:sz w:val="20"/>
      <w:szCs w:val="20"/>
    </w:rPr>
  </w:style>
  <w:style w:type="character" w:styleId="Hyperlink">
    <w:name w:val="Hyperlink"/>
    <w:basedOn w:val="DefaultParagraphFont"/>
    <w:uiPriority w:val="99"/>
    <w:unhideWhenUsed/>
    <w:rsid w:val="00767E1E"/>
    <w:rPr>
      <w:color w:val="0563C1" w:themeColor="hyperlink"/>
      <w:u w:val="single"/>
    </w:rPr>
  </w:style>
  <w:style w:type="character" w:styleId="UnresolvedMention">
    <w:name w:val="Unresolved Mention"/>
    <w:basedOn w:val="DefaultParagraphFont"/>
    <w:uiPriority w:val="99"/>
    <w:semiHidden/>
    <w:unhideWhenUsed/>
    <w:rsid w:val="00767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36247">
      <w:bodyDiv w:val="1"/>
      <w:marLeft w:val="0"/>
      <w:marRight w:val="0"/>
      <w:marTop w:val="0"/>
      <w:marBottom w:val="0"/>
      <w:divBdr>
        <w:top w:val="none" w:sz="0" w:space="0" w:color="auto"/>
        <w:left w:val="none" w:sz="0" w:space="0" w:color="auto"/>
        <w:bottom w:val="none" w:sz="0" w:space="0" w:color="auto"/>
        <w:right w:val="none" w:sz="0" w:space="0" w:color="auto"/>
      </w:divBdr>
      <w:divsChild>
        <w:div w:id="1220705363">
          <w:marLeft w:val="0"/>
          <w:marRight w:val="0"/>
          <w:marTop w:val="0"/>
          <w:marBottom w:val="0"/>
          <w:divBdr>
            <w:top w:val="none" w:sz="0" w:space="0" w:color="auto"/>
            <w:left w:val="none" w:sz="0" w:space="0" w:color="auto"/>
            <w:bottom w:val="none" w:sz="0" w:space="0" w:color="auto"/>
            <w:right w:val="none" w:sz="0" w:space="0" w:color="auto"/>
          </w:divBdr>
        </w:div>
      </w:divsChild>
    </w:div>
    <w:div w:id="395780689">
      <w:bodyDiv w:val="1"/>
      <w:marLeft w:val="0"/>
      <w:marRight w:val="0"/>
      <w:marTop w:val="0"/>
      <w:marBottom w:val="0"/>
      <w:divBdr>
        <w:top w:val="none" w:sz="0" w:space="0" w:color="auto"/>
        <w:left w:val="none" w:sz="0" w:space="0" w:color="auto"/>
        <w:bottom w:val="none" w:sz="0" w:space="0" w:color="auto"/>
        <w:right w:val="none" w:sz="0" w:space="0" w:color="auto"/>
      </w:divBdr>
      <w:divsChild>
        <w:div w:id="1728139877">
          <w:marLeft w:val="0"/>
          <w:marRight w:val="0"/>
          <w:marTop w:val="0"/>
          <w:marBottom w:val="0"/>
          <w:divBdr>
            <w:top w:val="none" w:sz="0" w:space="0" w:color="auto"/>
            <w:left w:val="none" w:sz="0" w:space="0" w:color="auto"/>
            <w:bottom w:val="none" w:sz="0" w:space="0" w:color="auto"/>
            <w:right w:val="none" w:sz="0" w:space="0" w:color="auto"/>
          </w:divBdr>
        </w:div>
      </w:divsChild>
    </w:div>
    <w:div w:id="410085134">
      <w:bodyDiv w:val="1"/>
      <w:marLeft w:val="0"/>
      <w:marRight w:val="0"/>
      <w:marTop w:val="0"/>
      <w:marBottom w:val="0"/>
      <w:divBdr>
        <w:top w:val="none" w:sz="0" w:space="0" w:color="auto"/>
        <w:left w:val="none" w:sz="0" w:space="0" w:color="auto"/>
        <w:bottom w:val="none" w:sz="0" w:space="0" w:color="auto"/>
        <w:right w:val="none" w:sz="0" w:space="0" w:color="auto"/>
      </w:divBdr>
      <w:divsChild>
        <w:div w:id="210924316">
          <w:marLeft w:val="0"/>
          <w:marRight w:val="0"/>
          <w:marTop w:val="0"/>
          <w:marBottom w:val="0"/>
          <w:divBdr>
            <w:top w:val="none" w:sz="0" w:space="0" w:color="auto"/>
            <w:left w:val="none" w:sz="0" w:space="0" w:color="auto"/>
            <w:bottom w:val="none" w:sz="0" w:space="0" w:color="auto"/>
            <w:right w:val="none" w:sz="0" w:space="0" w:color="auto"/>
          </w:divBdr>
        </w:div>
      </w:divsChild>
    </w:div>
    <w:div w:id="770511481">
      <w:bodyDiv w:val="1"/>
      <w:marLeft w:val="0"/>
      <w:marRight w:val="0"/>
      <w:marTop w:val="0"/>
      <w:marBottom w:val="0"/>
      <w:divBdr>
        <w:top w:val="none" w:sz="0" w:space="0" w:color="auto"/>
        <w:left w:val="none" w:sz="0" w:space="0" w:color="auto"/>
        <w:bottom w:val="none" w:sz="0" w:space="0" w:color="auto"/>
        <w:right w:val="none" w:sz="0" w:space="0" w:color="auto"/>
      </w:divBdr>
      <w:divsChild>
        <w:div w:id="2139226560">
          <w:marLeft w:val="0"/>
          <w:marRight w:val="0"/>
          <w:marTop w:val="0"/>
          <w:marBottom w:val="0"/>
          <w:divBdr>
            <w:top w:val="none" w:sz="0" w:space="0" w:color="auto"/>
            <w:left w:val="none" w:sz="0" w:space="0" w:color="auto"/>
            <w:bottom w:val="none" w:sz="0" w:space="0" w:color="auto"/>
            <w:right w:val="none" w:sz="0" w:space="0" w:color="auto"/>
          </w:divBdr>
        </w:div>
      </w:divsChild>
    </w:div>
    <w:div w:id="832186079">
      <w:bodyDiv w:val="1"/>
      <w:marLeft w:val="0"/>
      <w:marRight w:val="0"/>
      <w:marTop w:val="0"/>
      <w:marBottom w:val="0"/>
      <w:divBdr>
        <w:top w:val="none" w:sz="0" w:space="0" w:color="auto"/>
        <w:left w:val="none" w:sz="0" w:space="0" w:color="auto"/>
        <w:bottom w:val="none" w:sz="0" w:space="0" w:color="auto"/>
        <w:right w:val="none" w:sz="0" w:space="0" w:color="auto"/>
      </w:divBdr>
      <w:divsChild>
        <w:div w:id="894002785">
          <w:marLeft w:val="0"/>
          <w:marRight w:val="0"/>
          <w:marTop w:val="0"/>
          <w:marBottom w:val="0"/>
          <w:divBdr>
            <w:top w:val="none" w:sz="0" w:space="0" w:color="auto"/>
            <w:left w:val="none" w:sz="0" w:space="0" w:color="auto"/>
            <w:bottom w:val="none" w:sz="0" w:space="0" w:color="auto"/>
            <w:right w:val="none" w:sz="0" w:space="0" w:color="auto"/>
          </w:divBdr>
        </w:div>
      </w:divsChild>
    </w:div>
    <w:div w:id="1161241589">
      <w:bodyDiv w:val="1"/>
      <w:marLeft w:val="0"/>
      <w:marRight w:val="0"/>
      <w:marTop w:val="0"/>
      <w:marBottom w:val="0"/>
      <w:divBdr>
        <w:top w:val="none" w:sz="0" w:space="0" w:color="auto"/>
        <w:left w:val="none" w:sz="0" w:space="0" w:color="auto"/>
        <w:bottom w:val="none" w:sz="0" w:space="0" w:color="auto"/>
        <w:right w:val="none" w:sz="0" w:space="0" w:color="auto"/>
      </w:divBdr>
      <w:divsChild>
        <w:div w:id="814448267">
          <w:marLeft w:val="0"/>
          <w:marRight w:val="0"/>
          <w:marTop w:val="0"/>
          <w:marBottom w:val="0"/>
          <w:divBdr>
            <w:top w:val="none" w:sz="0" w:space="0" w:color="auto"/>
            <w:left w:val="none" w:sz="0" w:space="0" w:color="auto"/>
            <w:bottom w:val="none" w:sz="0" w:space="0" w:color="auto"/>
            <w:right w:val="none" w:sz="0" w:space="0" w:color="auto"/>
          </w:divBdr>
        </w:div>
      </w:divsChild>
    </w:div>
    <w:div w:id="1196701397">
      <w:bodyDiv w:val="1"/>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
      </w:divsChild>
    </w:div>
    <w:div w:id="1371952300">
      <w:bodyDiv w:val="1"/>
      <w:marLeft w:val="0"/>
      <w:marRight w:val="0"/>
      <w:marTop w:val="0"/>
      <w:marBottom w:val="0"/>
      <w:divBdr>
        <w:top w:val="none" w:sz="0" w:space="0" w:color="auto"/>
        <w:left w:val="none" w:sz="0" w:space="0" w:color="auto"/>
        <w:bottom w:val="none" w:sz="0" w:space="0" w:color="auto"/>
        <w:right w:val="none" w:sz="0" w:space="0" w:color="auto"/>
      </w:divBdr>
      <w:divsChild>
        <w:div w:id="277032865">
          <w:marLeft w:val="0"/>
          <w:marRight w:val="0"/>
          <w:marTop w:val="0"/>
          <w:marBottom w:val="0"/>
          <w:divBdr>
            <w:top w:val="none" w:sz="0" w:space="0" w:color="auto"/>
            <w:left w:val="none" w:sz="0" w:space="0" w:color="auto"/>
            <w:bottom w:val="none" w:sz="0" w:space="0" w:color="auto"/>
            <w:right w:val="none" w:sz="0" w:space="0" w:color="auto"/>
          </w:divBdr>
        </w:div>
      </w:divsChild>
    </w:div>
    <w:div w:id="1426926268">
      <w:bodyDiv w:val="1"/>
      <w:marLeft w:val="0"/>
      <w:marRight w:val="0"/>
      <w:marTop w:val="0"/>
      <w:marBottom w:val="0"/>
      <w:divBdr>
        <w:top w:val="none" w:sz="0" w:space="0" w:color="auto"/>
        <w:left w:val="none" w:sz="0" w:space="0" w:color="auto"/>
        <w:bottom w:val="none" w:sz="0" w:space="0" w:color="auto"/>
        <w:right w:val="none" w:sz="0" w:space="0" w:color="auto"/>
      </w:divBdr>
      <w:divsChild>
        <w:div w:id="1982416443">
          <w:marLeft w:val="0"/>
          <w:marRight w:val="0"/>
          <w:marTop w:val="0"/>
          <w:marBottom w:val="0"/>
          <w:divBdr>
            <w:top w:val="none" w:sz="0" w:space="0" w:color="auto"/>
            <w:left w:val="none" w:sz="0" w:space="0" w:color="auto"/>
            <w:bottom w:val="none" w:sz="0" w:space="0" w:color="auto"/>
            <w:right w:val="none" w:sz="0" w:space="0" w:color="auto"/>
          </w:divBdr>
        </w:div>
      </w:divsChild>
    </w:div>
    <w:div w:id="1504121667">
      <w:bodyDiv w:val="1"/>
      <w:marLeft w:val="0"/>
      <w:marRight w:val="0"/>
      <w:marTop w:val="0"/>
      <w:marBottom w:val="0"/>
      <w:divBdr>
        <w:top w:val="none" w:sz="0" w:space="0" w:color="auto"/>
        <w:left w:val="none" w:sz="0" w:space="0" w:color="auto"/>
        <w:bottom w:val="none" w:sz="0" w:space="0" w:color="auto"/>
        <w:right w:val="none" w:sz="0" w:space="0" w:color="auto"/>
      </w:divBdr>
      <w:divsChild>
        <w:div w:id="1726568426">
          <w:marLeft w:val="0"/>
          <w:marRight w:val="0"/>
          <w:marTop w:val="0"/>
          <w:marBottom w:val="0"/>
          <w:divBdr>
            <w:top w:val="none" w:sz="0" w:space="0" w:color="auto"/>
            <w:left w:val="none" w:sz="0" w:space="0" w:color="auto"/>
            <w:bottom w:val="none" w:sz="0" w:space="0" w:color="auto"/>
            <w:right w:val="none" w:sz="0" w:space="0" w:color="auto"/>
          </w:divBdr>
        </w:div>
      </w:divsChild>
    </w:div>
    <w:div w:id="1735274808">
      <w:bodyDiv w:val="1"/>
      <w:marLeft w:val="0"/>
      <w:marRight w:val="0"/>
      <w:marTop w:val="0"/>
      <w:marBottom w:val="0"/>
      <w:divBdr>
        <w:top w:val="none" w:sz="0" w:space="0" w:color="auto"/>
        <w:left w:val="none" w:sz="0" w:space="0" w:color="auto"/>
        <w:bottom w:val="none" w:sz="0" w:space="0" w:color="auto"/>
        <w:right w:val="none" w:sz="0" w:space="0" w:color="auto"/>
      </w:divBdr>
    </w:div>
    <w:div w:id="1841003305">
      <w:bodyDiv w:val="1"/>
      <w:marLeft w:val="0"/>
      <w:marRight w:val="0"/>
      <w:marTop w:val="0"/>
      <w:marBottom w:val="0"/>
      <w:divBdr>
        <w:top w:val="none" w:sz="0" w:space="0" w:color="auto"/>
        <w:left w:val="none" w:sz="0" w:space="0" w:color="auto"/>
        <w:bottom w:val="none" w:sz="0" w:space="0" w:color="auto"/>
        <w:right w:val="none" w:sz="0" w:space="0" w:color="auto"/>
      </w:divBdr>
      <w:divsChild>
        <w:div w:id="1500384079">
          <w:marLeft w:val="0"/>
          <w:marRight w:val="0"/>
          <w:marTop w:val="0"/>
          <w:marBottom w:val="0"/>
          <w:divBdr>
            <w:top w:val="none" w:sz="0" w:space="0" w:color="auto"/>
            <w:left w:val="none" w:sz="0" w:space="0" w:color="auto"/>
            <w:bottom w:val="none" w:sz="0" w:space="0" w:color="auto"/>
            <w:right w:val="none" w:sz="0" w:space="0" w:color="auto"/>
          </w:divBdr>
        </w:div>
      </w:divsChild>
    </w:div>
    <w:div w:id="19096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13DC4-630B-470B-9499-58600234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Garcia Solares</dc:creator>
  <cp:keywords/>
  <dc:description/>
  <cp:lastModifiedBy>Israel Garcia Solares</cp:lastModifiedBy>
  <cp:revision>13</cp:revision>
  <dcterms:created xsi:type="dcterms:W3CDTF">2022-05-12T15:53:00Z</dcterms:created>
  <dcterms:modified xsi:type="dcterms:W3CDTF">2022-06-29T14:57:00Z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id="mUkn1GnB"/&gt;&lt;style id="http://www.zotero.org/styles/chicago-fullnote-bibliography" locale="en-US"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