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color w:val="808080"/>
          <w:sz w:val="16"/>
          <w:szCs w:val="16"/>
        </w:rPr>
        <w:t xml:space="preserve">IJIMAI — International Journal of Interactive Multimedia and Artificial Intelligence</w:t>
      </w:r>
    </w:p>
    <w:p>
      <w:pPr>
        <w:spacing w:after="120" w:before="120"/>
        <w:jc w:val="center"/>
      </w:pPr>
      <w:r>
        <w:rPr>
          <w:rFonts w:ascii="Times New Roman" w:cs="Times New Roman" w:eastAsia="Times New Roman" w:hAnsi="Times New Roman"/>
          <w:b/>
          <w:bCs/>
          <w:sz w:val="28"/>
          <w:szCs w:val="28"/>
        </w:rPr>
        <w:t xml:space="preserve">Monitoring Population Drift in Deployed AI Medical Devices: An AI-Centered Diagnostic Accuracy Study of Detection Ratios Across US and European Cohorts</w:t>
      </w:r>
    </w:p>
    <w:p>
      <w:pPr>
        <w:spacing w:after="40"/>
        <w:jc w:val="center"/>
      </w:pPr>
      <w:r>
        <w:rPr>
          <w:rFonts w:ascii="Times New Roman" w:cs="Times New Roman" w:eastAsia="Times New Roman" w:hAnsi="Times New Roman"/>
          <w:b/>
          <w:bCs/>
          <w:sz w:val="22"/>
          <w:szCs w:val="22"/>
        </w:rPr>
        <w:t xml:space="preserve">Malik Adeel Anjum</w:t>
      </w:r>
    </w:p>
    <w:p>
      <w:pPr>
        <w:spacing w:after="20"/>
        <w:jc w:val="center"/>
      </w:pPr>
      <w:r>
        <w:rPr>
          <w:rFonts w:ascii="Times New Roman" w:cs="Times New Roman" w:eastAsia="Times New Roman" w:hAnsi="Times New Roman"/>
          <w:i/>
          <w:iCs/>
          <w:sz w:val="20"/>
          <w:szCs w:val="20"/>
        </w:rPr>
        <w:t xml:space="preserve">Independent Researcher, United Kingdom</w:t>
      </w:r>
    </w:p>
    <w:p>
      <w:pPr>
        <w:spacing w:after="180"/>
        <w:jc w:val="center"/>
      </w:pPr>
      <w:r>
        <w:rPr>
          <w:rFonts w:ascii="Times New Roman" w:cs="Times New Roman" w:eastAsia="Times New Roman" w:hAnsi="Times New Roman"/>
          <w:color w:val="1155CC"/>
          <w:sz w:val="18"/>
          <w:szCs w:val="18"/>
        </w:rPr>
        <w:t xml:space="preserve">malikanjum.adeel@gmail.com</w:t>
      </w:r>
    </w:p>
    <w:p>
      <w:pPr>
        <w:spacing w:after="120"/>
        <w:jc w:val="both"/>
      </w:pPr>
      <w:r>
        <w:rPr>
          <w:rFonts w:ascii="Times New Roman" w:cs="Times New Roman" w:eastAsia="Times New Roman" w:hAnsi="Times New Roman"/>
          <w:b/>
          <w:bCs/>
          <w:sz w:val="20"/>
          <w:szCs w:val="20"/>
        </w:rPr>
        <w:t xml:space="preserve">Abstract</w:t>
      </w:r>
      <w:r>
        <w:rPr>
          <w:rFonts w:ascii="Times New Roman" w:cs="Times New Roman" w:eastAsia="Times New Roman" w:hAnsi="Times New Roman"/>
          <w:sz w:val="20"/>
          <w:szCs w:val="20"/>
        </w:rPr>
        <w:t xml:space="preserve">—Deployed medical AI models degrade silently as patient populations drift away from training distributions. This study presents an AI-centred diagnostic accuracy evaluation of two unsupervised anomaly detectors—One-Class Support Vector Machine (OCSVM) with RBF kernel and Isolation Forest—for monitoring population drift in two publicly available clinical datasets (Pima Indians Diabetes, n=768; Framingham Heart-Glucose Dataset, n=890). Using a leak-free chronological 70/30 partition, we applied three levels of gradual multiplicative drift (α ∈ {10%, 25%, 40%}) and one abrupt affine drift scenario. Performance was quantified via the Detection Ratio (DR)—drifted anomaly rate divided by zero-drift control rate—with bootstrapped 95% confidence intervals (10,000 iterations) and Kolmogorov-Smirnov distributional validation across 32 feature-scenario pairs. Isolation Forest demonstrated superior sensitivity to gradual multivariate drift (DR 4.40×, 95% CI 3.91–4.92, Pima α=40%; DR 2.91×, FHGD α=40%), while OCSVM achieved higher DR under abrupt affine shift (DR 3.18×, FHGD). Both algorithms showed equivalent and near-unity DR under univariate drift conditions. All 32 K-S tests confirmed significant distributional separation (p &lt; 0.001). SHAP KernelExplainer attribution validated mechanistic plausibility of anomaly signals. These findings provide actionable, evidence-based guidance for post-market surveillance of deployed medical AI, with implications for MHRA and FDA monitoring frameworks.</w:t>
      </w:r>
    </w:p>
    <w:p>
      <w:pPr>
        <w:spacing w:after="120"/>
        <w:jc w:val="both"/>
      </w:pPr>
      <w:r>
        <w:rPr>
          <w:rFonts w:ascii="Times New Roman" w:cs="Times New Roman" w:eastAsia="Times New Roman" w:hAnsi="Times New Roman"/>
          <w:b/>
          <w:bCs/>
          <w:sz w:val="20"/>
          <w:szCs w:val="20"/>
        </w:rPr>
        <w:t xml:space="preserve">Index Terms—</w:t>
      </w:r>
      <w:r>
        <w:rPr>
          <w:rFonts w:ascii="Times New Roman" w:cs="Times New Roman" w:eastAsia="Times New Roman" w:hAnsi="Times New Roman"/>
          <w:i/>
          <w:iCs/>
          <w:sz w:val="20"/>
          <w:szCs w:val="20"/>
        </w:rPr>
        <w:t xml:space="preserve">population drift, concept drift, medical AI, anomaly detection, OCSVM, Isolation Forest, post-market surveillance, diagnostic accuracy</w:t>
      </w:r>
    </w:p>
    <w:p>
      <w:pPr>
        <w:pBdr>
          <w:bottom w:val="single" w:color="000000" w:sz="4" w:space="1"/>
        </w:pBdr>
        <w:spacing w:after="60" w:before="60"/>
      </w:pPr>
    </w:p>
    <w:p>
      <w:pPr>
        <w:spacing w:after="240"/>
        <w:jc w:val="center"/>
      </w:pPr>
      <w:r>
        <w:rPr>
          <w:rFonts w:ascii="Times New Roman" w:cs="Times New Roman" w:eastAsia="Times New Roman" w:hAnsi="Times New Roman"/>
          <w:i/>
          <w:iCs/>
          <w:color w:val="808080"/>
          <w:sz w:val="18"/>
          <w:szCs w:val="18"/>
        </w:rPr>
        <w:t xml:space="preserve">Preprint available: Anjum, M. A. (2025). Monitoring population drift in deployed AI medical devices. Zenodo. https://doi.org/[INSERT DOI]</w:t>
      </w:r>
    </w:p>
    <w:p>
      <w:pPr>
        <w:sectPr>
          <w:pgSz w:w="12240" w:h="15840" w:orient="portrait"/>
          <w:pgMar w:top="1080" w:right="1080" w:bottom="1080" w:left="1080" w:header="708" w:footer="708" w:gutter="0"/>
          <w:pgNumType/>
          <w:docGrid w:linePitch="360"/>
        </w:sectPr>
      </w:pPr>
    </w:p>
    <w:p>
      <w:pPr>
        <w:spacing w:after="60" w:before="180"/>
        <w:jc w:val="center"/>
      </w:pPr>
      <w:r>
        <w:rPr>
          <w:rFonts w:ascii="Times New Roman" w:cs="Times New Roman" w:eastAsia="Times New Roman" w:hAnsi="Times New Roman"/>
          <w:b/>
          <w:bCs/>
          <w:caps/>
          <w:sz w:val="20"/>
          <w:szCs w:val="20"/>
        </w:rPr>
        <w:t xml:space="preserve">I. Introduction</w:t>
      </w:r>
    </w:p>
    <w:p>
      <w:pPr>
        <w:spacing w:after="60" w:before="0"/>
        <w:jc w:val="both"/>
      </w:pPr>
      <w:r>
        <w:rPr>
          <w:rFonts w:ascii="Times New Roman" w:cs="Times New Roman" w:eastAsia="Times New Roman" w:hAnsi="Times New Roman"/>
          <w:sz w:val="20"/>
          <w:szCs w:val="20"/>
        </w:rPr>
        <w:t xml:space="preserve">Artificial intelligence systems embedded in medical devices face a fundamental challenge: the patient population encountered after deployment may differ systematically from the population on which the model was trained. This phenomenon—termed population drift, covariate shift, or concept drift—can degrade diagnostic performance insidiously, without triggering explicit error signals [1]. Unlike classification failures that manifest as obvious prediction errors, drift-induced degradation may be invisible at the point of care yet cumulatively harmful at population scale.</w:t>
      </w:r>
    </w:p>
    <w:p>
      <w:pPr>
        <w:spacing w:after="60" w:before="0"/>
        <w:ind w:firstLine="360"/>
        <w:jc w:val="both"/>
      </w:pPr>
      <w:r>
        <w:rPr>
          <w:rFonts w:ascii="Times New Roman" w:cs="Times New Roman" w:eastAsia="Times New Roman" w:hAnsi="Times New Roman"/>
          <w:sz w:val="20"/>
          <w:szCs w:val="20"/>
        </w:rPr>
        <w:t xml:space="preserve">Regulatory frameworks are beginning to respond. The US FDA’s action plan for AI-based software as a medical device and the UK MHRA’s guidance on software and AI as a medical device both identify post-market performance monitoring as a priority requirement [2], [3]. However, translating regulatory intent into operational monitoring practice requires concrete, evidence-based method selection. Clinicians and regulators need to know not merely that drift detection is possible, but which algorithm to deploy, under which drift conditions, and with what expected performance.</w:t>
      </w:r>
    </w:p>
    <w:p>
      <w:pPr>
        <w:spacing w:after="60" w:before="0"/>
        <w:ind w:firstLine="360"/>
        <w:jc w:val="both"/>
      </w:pPr>
      <w:r>
        <w:rPr>
          <w:rFonts w:ascii="Times New Roman" w:cs="Times New Roman" w:eastAsia="Times New Roman" w:hAnsi="Times New Roman"/>
          <w:sz w:val="20"/>
          <w:szCs w:val="20"/>
        </w:rPr>
        <w:t xml:space="preserve">Existing literature on drift detection for medical AI is predominantly methodological or simulation-based. Jones and Farrow [1] established foundational benchmarks for detection sensitivity across scenario types, demonstrating that algorithm choice interacts substantially with drift morphology. Their findings—that gradual covariate shift and abrupt distributional remapping reward different detector properties—motivate the present comparative study, which operationalises their framework on two independent clinical cohorts with distinct demographic profiles.</w:t>
      </w:r>
    </w:p>
    <w:p>
      <w:pPr>
        <w:spacing w:after="60" w:before="0"/>
        <w:ind w:firstLine="360"/>
        <w:jc w:val="both"/>
      </w:pPr>
      <w:r>
        <w:rPr>
          <w:rFonts w:ascii="Times New Roman" w:cs="Times New Roman" w:eastAsia="Times New Roman" w:hAnsi="Times New Roman"/>
          <w:sz w:val="20"/>
          <w:szCs w:val="20"/>
        </w:rPr>
        <w:t xml:space="preserve">We contribute three specific advances. First, we introduce the Detection Ratio (DR) as a standardised, dimensionless performance metric that expresses detector sensitivity as a fold-change relative to a zero-drift control, enabling cross-dataset and cross-scenario comparisons on a common scale. Second, we validate drift induction rigorously using Kolmogorov-Smirnov tests across all 32 feature-scenario pairs, ensuring that measured DR differences reflect genuine distributional change rather than sampling artefact. Third, we provide SHAP KernelExplainer attribution to confirm that anomaly signals are mechanistically traceable to the drifted features, supporting clinical interpretability requirements under STARD-AI 2025 reporting standards [4].</w:t>
      </w:r>
    </w:p>
    <w:p>
      <w:pPr>
        <w:spacing w:after="60" w:before="0"/>
        <w:ind w:firstLine="360"/>
        <w:jc w:val="both"/>
      </w:pPr>
      <w:r>
        <w:rPr>
          <w:rFonts w:ascii="Times New Roman" w:cs="Times New Roman" w:eastAsia="Times New Roman" w:hAnsi="Times New Roman"/>
          <w:sz w:val="20"/>
          <w:szCs w:val="20"/>
        </w:rPr>
        <w:t xml:space="preserve">This study does not aim to recommend a single superior algorithm in general. Rather, it provides an evidence-based decision framework: Isolation Forest is preferred for gradual multivariate drift; OCSVM with RBF kernel is preferred for abrupt affine shifts; and both are equivalent under univariate monitoring conditions. These findings are intended to be directly actionable by clinical AI teams, regulators, and biomedical informatics practitioners.</w:t>
      </w:r>
    </w:p>
    <w:p>
      <w:pPr>
        <w:spacing w:after="60" w:before="180"/>
        <w:jc w:val="center"/>
      </w:pPr>
      <w:r>
        <w:rPr>
          <w:rFonts w:ascii="Times New Roman" w:cs="Times New Roman" w:eastAsia="Times New Roman" w:hAnsi="Times New Roman"/>
          <w:b/>
          <w:bCs/>
          <w:caps/>
          <w:sz w:val="20"/>
          <w:szCs w:val="20"/>
        </w:rPr>
        <w:t xml:space="preserve">II. Methods</w:t>
      </w:r>
    </w:p>
    <w:p>
      <w:pPr>
        <w:spacing w:after="40" w:before="120"/>
      </w:pPr>
      <w:r>
        <w:rPr>
          <w:rFonts w:ascii="Times New Roman" w:cs="Times New Roman" w:eastAsia="Times New Roman" w:hAnsi="Times New Roman"/>
          <w:b/>
          <w:bCs/>
          <w:sz w:val="20"/>
          <w:szCs w:val="20"/>
        </w:rPr>
        <w:t xml:space="preserve">A. Datasets</w:t>
      </w:r>
    </w:p>
    <w:p>
      <w:pPr>
        <w:spacing w:after="60" w:before="0"/>
        <w:jc w:val="both"/>
      </w:pPr>
      <w:r>
        <w:rPr>
          <w:rFonts w:ascii="Times New Roman" w:cs="Times New Roman" w:eastAsia="Times New Roman" w:hAnsi="Times New Roman"/>
          <w:sz w:val="20"/>
          <w:szCs w:val="20"/>
        </w:rPr>
        <w:t xml:space="preserve">Two publicly available clinical datasets were used. The Pima Indians Diabetes Database (Pima; n=768) comprises eight clinical features collected from female patients of Pima Native American heritage and has been extensively validated as a benchmark for diabetes prediction. The Framingham Heart-Glucose Dataset (FHGD; n=890) is derived from the Framingham Heart Study and contains eight cardiovascular and metabolic features with a binary outcome indicator. Both datasets are in the public domain and contain no identifiable patient information; formal ethics committee approval was therefore not required.</w:t>
      </w:r>
    </w:p>
    <w:p>
      <w:pPr>
        <w:spacing w:after="60" w:before="0"/>
        <w:ind w:firstLine="360"/>
        <w:jc w:val="both"/>
      </w:pPr>
      <w:r>
        <w:rPr>
          <w:rFonts w:ascii="Times New Roman" w:cs="Times New Roman" w:eastAsia="Times New Roman" w:hAnsi="Times New Roman"/>
          <w:sz w:val="20"/>
          <w:szCs w:val="20"/>
        </w:rPr>
        <w:t xml:space="preserve">Each dataset was partitioned chronologically in a 70:30 ratio, yielding training baselines of n=537 (Pima) and n=623 (FHGD) and test sets of n=231 and n=267 respectively. Chronological partitioning prevents temporal data leakage. All preprocessing—including StandardScaler normalisation—was fitted exclusively on the training partition and applied as a fixed transform to test data, preserving strict leak-free methodology. Table I (Annex) summarises dataset characteristics and drift level configurations.</w:t>
      </w:r>
    </w:p>
    <w:p>
      <w:pPr>
        <w:spacing w:after="40" w:before="120"/>
      </w:pPr>
      <w:r>
        <w:rPr>
          <w:rFonts w:ascii="Times New Roman" w:cs="Times New Roman" w:eastAsia="Times New Roman" w:hAnsi="Times New Roman"/>
          <w:b/>
          <w:bCs/>
          <w:sz w:val="20"/>
          <w:szCs w:val="20"/>
        </w:rPr>
        <w:t xml:space="preserve">B. Drift Simulation</w:t>
      </w:r>
    </w:p>
    <w:p>
      <w:pPr>
        <w:spacing w:after="60" w:before="0"/>
        <w:jc w:val="both"/>
      </w:pPr>
      <w:r>
        <w:rPr>
          <w:rFonts w:ascii="Times New Roman" w:cs="Times New Roman" w:eastAsia="Times New Roman" w:hAnsi="Times New Roman"/>
          <w:sz w:val="20"/>
          <w:szCs w:val="20"/>
        </w:rPr>
        <w:t xml:space="preserve">Population drift was induced using two established paradigms. Gradual multiplicative drift applies a linearly increasing scale factor to each feature value: x_new = x_orig × (1 + linspace(0, α, n)), where α ∈ {0.10, 0.25, 0.40}. This simulates the slow distributional shift that accumulates when a deployed model encounters a patient population with incrementally different physiological measurement profiles—for example, a system trained on younger cohorts encountering an ageing referral population.</w:t>
      </w:r>
    </w:p>
    <w:p>
      <w:pPr>
        <w:spacing w:after="60" w:before="0"/>
        <w:ind w:firstLine="360"/>
        <w:jc w:val="both"/>
      </w:pPr>
      <w:r>
        <w:rPr>
          <w:rFonts w:ascii="Times New Roman" w:cs="Times New Roman" w:eastAsia="Times New Roman" w:hAnsi="Times New Roman"/>
          <w:sz w:val="20"/>
          <w:szCs w:val="20"/>
        </w:rPr>
        <w:t xml:space="preserve">Abrupt affine drift applies a Min-Max remapping followed by an affine transformation: x_new = x_minmax × σ + δ, with shift δ = 0.4 and range scaling σ = 1.5. This simulates sudden distributional change arising from device recalibration, software update, or integration of data from a new measurement instrument.</w:t>
      </w:r>
    </w:p>
    <w:p>
      <w:pPr>
        <w:spacing w:after="60" w:before="0"/>
        <w:ind w:firstLine="360"/>
        <w:jc w:val="both"/>
      </w:pPr>
      <w:r>
        <w:rPr>
          <w:rFonts w:ascii="Times New Roman" w:cs="Times New Roman" w:eastAsia="Times New Roman" w:hAnsi="Times New Roman"/>
          <w:sz w:val="20"/>
          <w:szCs w:val="20"/>
        </w:rPr>
        <w:t xml:space="preserve">Kolmogorov-Smirnov (K-S) tests were applied to each of the eight features in each drift scenario for both datasets, yielding 32 K-S test comparisons in total. All 32 tests confirmed statistically significant distributional separation between drifted and baseline feature distributions (p &lt; 0.001), validating that the induced drift produced genuine, measurable change. Detailed K-S statistics for all 32 comparisons are provided in Supplementary Table S1, available at https://github.com/MalikAdeel-Hull/Population-Drift.</w:t>
      </w:r>
    </w:p>
    <w:p>
      <w:pPr>
        <w:spacing w:after="40" w:before="120"/>
      </w:pPr>
      <w:r>
        <w:rPr>
          <w:rFonts w:ascii="Times New Roman" w:cs="Times New Roman" w:eastAsia="Times New Roman" w:hAnsi="Times New Roman"/>
          <w:b/>
          <w:bCs/>
          <w:sz w:val="20"/>
          <w:szCs w:val="20"/>
        </w:rPr>
        <w:t xml:space="preserve">C. Anomaly Detection Algorithms</w:t>
      </w:r>
    </w:p>
    <w:p>
      <w:pPr>
        <w:spacing w:after="60" w:before="0"/>
        <w:jc w:val="both"/>
      </w:pPr>
      <w:r>
        <w:rPr>
          <w:rFonts w:ascii="Times New Roman" w:cs="Times New Roman" w:eastAsia="Times New Roman" w:hAnsi="Times New Roman"/>
          <w:sz w:val="20"/>
          <w:szCs w:val="20"/>
        </w:rPr>
        <w:t xml:space="preserve">One-Class Support Vector Machine (OCSVM) with RBF kernel was trained on baseline (non-drifted) data to learn the support of the normal distribution. The nu parameter (0.05) sets an upper bound on the fraction of training observations treated as anomalies. The gamma parameter was set to ‘scale’ (1/(n_features × X.var())), providing adaptive kernel width calibration.</w:t>
      </w:r>
    </w:p>
    <w:p>
      <w:pPr>
        <w:spacing w:after="60" w:before="0"/>
        <w:ind w:firstLine="360"/>
        <w:jc w:val="both"/>
      </w:pPr>
      <w:r>
        <w:rPr>
          <w:rFonts w:ascii="Times New Roman" w:cs="Times New Roman" w:eastAsia="Times New Roman" w:hAnsi="Times New Roman"/>
          <w:sz w:val="20"/>
          <w:szCs w:val="20"/>
        </w:rPr>
        <w:t xml:space="preserve">Isolation Forest (IF) builds an ensemble of 100 isolation trees, each randomly selecting a feature and a split value to isolate observations. Anomaly score is the average path length across the ensemble; shorter paths indicate greater isolation (anomalousness). The contamination parameter was set to 0.05 to match the OCSVM nu assumption. The random state was fixed at 42 for all experiments. Table II (Annex) provides complete hyperparameter specifications and rationale.</w:t>
      </w:r>
    </w:p>
    <w:p>
      <w:pPr>
        <w:spacing w:after="40" w:before="120"/>
      </w:pPr>
      <w:r>
        <w:rPr>
          <w:rFonts w:ascii="Times New Roman" w:cs="Times New Roman" w:eastAsia="Times New Roman" w:hAnsi="Times New Roman"/>
          <w:b/>
          <w:bCs/>
          <w:sz w:val="20"/>
          <w:szCs w:val="20"/>
        </w:rPr>
        <w:t xml:space="preserve">D. Performance Metric: Detection Ratio</w:t>
      </w:r>
    </w:p>
    <w:p>
      <w:pPr>
        <w:spacing w:after="60" w:before="0"/>
        <w:jc w:val="both"/>
      </w:pPr>
      <w:r>
        <w:rPr>
          <w:rFonts w:ascii="Times New Roman" w:cs="Times New Roman" w:eastAsia="Times New Roman" w:hAnsi="Times New Roman"/>
          <w:sz w:val="20"/>
          <w:szCs w:val="20"/>
        </w:rPr>
        <w:t xml:space="preserve">The Detection Ratio (DR) is defined as:</w:t>
      </w:r>
    </w:p>
    <w:p>
      <w:pPr>
        <w:spacing w:after="60" w:before="60"/>
        <w:jc w:val="center"/>
      </w:pPr>
      <w:r>
        <w:rPr>
          <w:rFonts w:ascii="Times New Roman" w:cs="Times New Roman" w:eastAsia="Times New Roman" w:hAnsi="Times New Roman"/>
          <w:i/>
          <w:iCs/>
          <w:sz w:val="20"/>
          <w:szCs w:val="20"/>
        </w:rPr>
        <w:t xml:space="preserve">DR = (Anomaly rate under drift) / (Anomaly rate under zero-drift control)</w:t>
      </w:r>
    </w:p>
    <w:p>
      <w:pPr>
        <w:spacing w:after="60" w:before="0"/>
        <w:ind w:firstLine="360"/>
        <w:jc w:val="both"/>
      </w:pPr>
      <w:r>
        <w:rPr>
          <w:rFonts w:ascii="Times New Roman" w:cs="Times New Roman" w:eastAsia="Times New Roman" w:hAnsi="Times New Roman"/>
          <w:sz w:val="20"/>
          <w:szCs w:val="20"/>
        </w:rPr>
        <w:t xml:space="preserve">A DR of 1.0 indicates no detection advantage relative to baseline; DR &gt; 1.0 indicates that the algorithm flags more observations as anomalous under drift than under normal conditions, proportionally to the degree of drift. This dimensionless ratio enables direct comparison across datasets, algorithms, and drift levels without sensitivity to absolute anomaly rate differences arising from dataset characteristics.</w:t>
      </w:r>
    </w:p>
    <w:p>
      <w:pPr>
        <w:spacing w:after="60" w:before="0"/>
        <w:ind w:firstLine="360"/>
        <w:jc w:val="both"/>
      </w:pPr>
      <w:r>
        <w:rPr>
          <w:rFonts w:ascii="Times New Roman" w:cs="Times New Roman" w:eastAsia="Times New Roman" w:hAnsi="Times New Roman"/>
          <w:sz w:val="20"/>
          <w:szCs w:val="20"/>
        </w:rPr>
        <w:t xml:space="preserve">Bootstrapped 95% confidence intervals were computed via 10,000 parametric resampling iterations for all DR estimates. Where reported CIs do not overlap, differences are statistically significant at α = 0.05. Per-feature DR decompositions are provided in Supplementary Tables S2–S4, available at https://github.com/MalikAdeel-Hull/Population-Drift.</w:t>
      </w:r>
    </w:p>
    <w:p>
      <w:pPr>
        <w:spacing w:after="40" w:before="120"/>
      </w:pPr>
      <w:r>
        <w:rPr>
          <w:rFonts w:ascii="Times New Roman" w:cs="Times New Roman" w:eastAsia="Times New Roman" w:hAnsi="Times New Roman"/>
          <w:b/>
          <w:bCs/>
          <w:sz w:val="20"/>
          <w:szCs w:val="20"/>
        </w:rPr>
        <w:t xml:space="preserve">E. Explainability Validation</w:t>
      </w:r>
    </w:p>
    <w:p>
      <w:pPr>
        <w:spacing w:after="60" w:before="0"/>
        <w:jc w:val="both"/>
      </w:pPr>
      <w:r>
        <w:rPr>
          <w:rFonts w:ascii="Times New Roman" w:cs="Times New Roman" w:eastAsia="Times New Roman" w:hAnsi="Times New Roman"/>
          <w:sz w:val="20"/>
          <w:szCs w:val="20"/>
        </w:rPr>
        <w:t xml:space="preserve">To confirm that anomaly signals are mechanistically traceable to the features subjected to drift—rather than arising from incidental correlations—SHAP KernelExplainer was applied to a 100-observation random sample from each drifted test set. SHAP attribution maps were generated for both OCSVM and IF outputs. Concordance between top-ranked SHAP features and the features subjected to drift was assessed qualitatively. This validation step follows STARD-AI 2025 reporting requirements for transparency in AI-based diagnostic accuracy studies [4]. Full SHAP attribution figures are provided as Figures 5 and 6 (see Figure Legends).</w:t>
      </w:r>
    </w:p>
    <w:p>
      <w:pPr>
        <w:spacing w:after="60" w:before="180"/>
        <w:jc w:val="center"/>
      </w:pPr>
      <w:r>
        <w:rPr>
          <w:rFonts w:ascii="Times New Roman" w:cs="Times New Roman" w:eastAsia="Times New Roman" w:hAnsi="Times New Roman"/>
          <w:b/>
          <w:bCs/>
          <w:caps/>
          <w:sz w:val="20"/>
          <w:szCs w:val="20"/>
        </w:rPr>
        <w:t xml:space="preserve">III. Results</w:t>
      </w:r>
    </w:p>
    <w:p>
      <w:pPr>
        <w:spacing w:after="40" w:before="120"/>
      </w:pPr>
      <w:r>
        <w:rPr>
          <w:rFonts w:ascii="Times New Roman" w:cs="Times New Roman" w:eastAsia="Times New Roman" w:hAnsi="Times New Roman"/>
          <w:b/>
          <w:bCs/>
          <w:sz w:val="20"/>
          <w:szCs w:val="20"/>
        </w:rPr>
        <w:t xml:space="preserve">A. Distributional Validation</w:t>
      </w:r>
    </w:p>
    <w:p>
      <w:pPr>
        <w:spacing w:after="60" w:before="0"/>
        <w:jc w:val="both"/>
      </w:pPr>
      <w:r>
        <w:rPr>
          <w:rFonts w:ascii="Times New Roman" w:cs="Times New Roman" w:eastAsia="Times New Roman" w:hAnsi="Times New Roman"/>
          <w:sz w:val="20"/>
          <w:szCs w:val="20"/>
        </w:rPr>
        <w:t xml:space="preserve">All 32 K-S tests (8 features × 4 drift scenarios × 2 datasets) confirmed statistically significant distributional separation between drifted and baseline feature distributions (p &lt; 0.001 in all cases). This validates that the simulated drift conditions represent genuine, measurable changes to the input distribution as seen by deployed models. A condensed summary is presented in Table III (Annex). The complete K-S test statistics, including exact D-statistics and p-values for every feature-scenario combination, are available in Supplementary Table S1 at https://github.com/MalikAdeel-Hull/Population-Drift.</w:t>
      </w:r>
    </w:p>
    <w:p>
      <w:pPr>
        <w:spacing w:after="40" w:before="120"/>
      </w:pPr>
      <w:r>
        <w:rPr>
          <w:rFonts w:ascii="Times New Roman" w:cs="Times New Roman" w:eastAsia="Times New Roman" w:hAnsi="Times New Roman"/>
          <w:b/>
          <w:bCs/>
          <w:sz w:val="20"/>
          <w:szCs w:val="20"/>
        </w:rPr>
        <w:t xml:space="preserve">B. Gradual Drift—Isolation Forest Advantage</w:t>
      </w:r>
    </w:p>
    <w:p>
      <w:pPr>
        <w:spacing w:after="60" w:before="0"/>
        <w:jc w:val="both"/>
      </w:pPr>
      <w:r>
        <w:rPr>
          <w:rFonts w:ascii="Times New Roman" w:cs="Times New Roman" w:eastAsia="Times New Roman" w:hAnsi="Times New Roman"/>
          <w:sz w:val="20"/>
          <w:szCs w:val="20"/>
        </w:rPr>
        <w:t xml:space="preserve">Under gradual multiplicative drift, Isolation Forest demonstrated substantially higher Detection Ratios than OCSVM across both datasets and all three α levels. At maximum drift intensity (α = 40%), IF achieved DR = 4.40 (95% CI: 3.91–4.92) on the Pima dataset and DR = 2.91 (95% CI: 2.54–3.31) on FHGD, compared to OCSVM DR values of 1.82 (95% CI: 1.54–2.13) and 1.44 (95% CI: 1.21–1.69) respectively. The IF advantage was monotonically increasing with α, consistent with the hypothesis that ensemble-based path-length isolation is more sensitive to gradual covariate accumulation than boundary-based support estimation.</w:t>
      </w:r>
    </w:p>
    <w:p>
      <w:pPr>
        <w:spacing w:after="60" w:before="0"/>
        <w:ind w:firstLine="360"/>
        <w:jc w:val="both"/>
      </w:pPr>
      <w:r>
        <w:rPr>
          <w:rFonts w:ascii="Times New Roman" w:cs="Times New Roman" w:eastAsia="Times New Roman" w:hAnsi="Times New Roman"/>
          <w:sz w:val="20"/>
          <w:szCs w:val="20"/>
        </w:rPr>
        <w:t xml:space="preserve">At α = 10%, both algorithms showed modest DR elevation (IF: 1.89 Pima, 1.42 FHGD; OCSVM: 1.31 Pima, 1.18 FHGD), confirming that even mild drift is detectable above baseline. Figure 1 illustrates DR trajectories across drift levels for both algorithms on both datasets. [Figure 1 placeholder—insert detection ratio trajectory plot]</w:t>
      </w:r>
    </w:p>
    <w:p>
      <w:pPr>
        <w:spacing w:after="40" w:before="120"/>
      </w:pPr>
      <w:r>
        <w:rPr>
          <w:rFonts w:ascii="Times New Roman" w:cs="Times New Roman" w:eastAsia="Times New Roman" w:hAnsi="Times New Roman"/>
          <w:b/>
          <w:bCs/>
          <w:sz w:val="20"/>
          <w:szCs w:val="20"/>
        </w:rPr>
        <w:t xml:space="preserve">C. Abrupt Drift—OCSVM Advantage</w:t>
      </w:r>
    </w:p>
    <w:p>
      <w:pPr>
        <w:spacing w:after="60" w:before="0"/>
        <w:jc w:val="both"/>
      </w:pPr>
      <w:r>
        <w:rPr>
          <w:rFonts w:ascii="Times New Roman" w:cs="Times New Roman" w:eastAsia="Times New Roman" w:hAnsi="Times New Roman"/>
          <w:sz w:val="20"/>
          <w:szCs w:val="20"/>
        </w:rPr>
        <w:t xml:space="preserve">Under abrupt affine drift, the performance ordering reversed. OCSVM achieved DR = 3.18 (95% CI: 2.77–3.61) on FHGD and DR = 2.54 (95% CI: 2.19–2.91) on Pima. Isolation Forest DR values were 2.43 (95% CI: 2.09–2.79) on FHGD and 1.97 (95% CI: 1.68–2.28) on Pima. The RBF kernel in OCSVM is particularly sensitive to distributional boundary violations produced by the affine remapping, which shifts the feature space in ways that more clearly violate the learned support boundary.</w:t>
      </w:r>
    </w:p>
    <w:p>
      <w:pPr>
        <w:spacing w:after="60" w:before="0"/>
        <w:ind w:firstLine="360"/>
        <w:jc w:val="both"/>
      </w:pPr>
      <w:r>
        <w:rPr>
          <w:rFonts w:ascii="Times New Roman" w:cs="Times New Roman" w:eastAsia="Times New Roman" w:hAnsi="Times New Roman"/>
          <w:sz w:val="20"/>
          <w:szCs w:val="20"/>
        </w:rPr>
        <w:t xml:space="preserve">Figure 2 shows detection rate distributions under abrupt drift for both algorithms. [Figure 2 placeholder—insert abrupt drift detection distribution plot]</w:t>
      </w:r>
    </w:p>
    <w:p>
      <w:pPr>
        <w:spacing w:after="40" w:before="120"/>
      </w:pPr>
      <w:r>
        <w:rPr>
          <w:rFonts w:ascii="Times New Roman" w:cs="Times New Roman" w:eastAsia="Times New Roman" w:hAnsi="Times New Roman"/>
          <w:b/>
          <w:bCs/>
          <w:sz w:val="20"/>
          <w:szCs w:val="20"/>
        </w:rPr>
        <w:t xml:space="preserve">D. Univariate Drift—Equivalent Performance</w:t>
      </w:r>
    </w:p>
    <w:p>
      <w:pPr>
        <w:spacing w:after="60" w:before="0"/>
        <w:jc w:val="both"/>
      </w:pPr>
      <w:r>
        <w:rPr>
          <w:rFonts w:ascii="Times New Roman" w:cs="Times New Roman" w:eastAsia="Times New Roman" w:hAnsi="Times New Roman"/>
          <w:sz w:val="20"/>
          <w:szCs w:val="20"/>
        </w:rPr>
        <w:t xml:space="preserve">When drift was applied to individual features in isolation (univariate condition), both OCSVM and IF produced DR values clustered around 1.0–1.2 across all features and both datasets, with confidence intervals overlapping substantially. This equivalence indicates that neither algorithm provides a meaningful advantage for single-feature monitoring, and that the performance separation observed in multivariate scenarios reflects differential sensitivity to correlated, system-level drift rather than single-variable perturbation.</w:t>
      </w:r>
    </w:p>
    <w:p>
      <w:pPr>
        <w:spacing w:after="60" w:before="0"/>
        <w:ind w:firstLine="360"/>
        <w:jc w:val="both"/>
      </w:pPr>
      <w:r>
        <w:rPr>
          <w:rFonts w:ascii="Times New Roman" w:cs="Times New Roman" w:eastAsia="Times New Roman" w:hAnsi="Times New Roman"/>
          <w:sz w:val="20"/>
          <w:szCs w:val="20"/>
        </w:rPr>
        <w:t xml:space="preserve">Figure 3 provides per-feature DR heatmaps comparing the two algorithms under univariate conditions. [Figure 3 placeholder—insert per-feature DR heatmap]</w:t>
      </w:r>
    </w:p>
    <w:p>
      <w:pPr>
        <w:spacing w:after="40" w:before="120"/>
      </w:pPr>
      <w:r>
        <w:rPr>
          <w:rFonts w:ascii="Times New Roman" w:cs="Times New Roman" w:eastAsia="Times New Roman" w:hAnsi="Times New Roman"/>
          <w:b/>
          <w:bCs/>
          <w:sz w:val="20"/>
          <w:szCs w:val="20"/>
        </w:rPr>
        <w:t xml:space="preserve">E. Score Distribution Analysis</w:t>
      </w:r>
    </w:p>
    <w:p>
      <w:pPr>
        <w:spacing w:after="60" w:before="0"/>
        <w:jc w:val="both"/>
      </w:pPr>
      <w:r>
        <w:rPr>
          <w:rFonts w:ascii="Times New Roman" w:cs="Times New Roman" w:eastAsia="Times New Roman" w:hAnsi="Times New Roman"/>
          <w:sz w:val="20"/>
          <w:szCs w:val="20"/>
        </w:rPr>
        <w:t xml:space="preserve">Anomaly score distributions for drifted versus control samples were examined for each algorithm and scenario (Figures 4a–4d). Under gradual drift, IF score distributions showed progressive right-shift with increasing α, while OCSVM distributions showed less separation. Under abrupt drift, OCSVM score distributions showed sharper bimodal separation between control and drifted samples, consistent with the higher DR observed for this algorithm in the abrupt condition. [Figure 4 placeholder—insert score distribution panels a–d]</w:t>
      </w:r>
    </w:p>
    <w:p>
      <w:pPr>
        <w:spacing w:after="40" w:before="120"/>
      </w:pPr>
      <w:r>
        <w:rPr>
          <w:rFonts w:ascii="Times New Roman" w:cs="Times New Roman" w:eastAsia="Times New Roman" w:hAnsi="Times New Roman"/>
          <w:b/>
          <w:bCs/>
          <w:sz w:val="20"/>
          <w:szCs w:val="20"/>
        </w:rPr>
        <w:t xml:space="preserve">F. SHAP Attribution</w:t>
      </w:r>
    </w:p>
    <w:p>
      <w:pPr>
        <w:spacing w:after="60" w:before="0"/>
        <w:jc w:val="both"/>
      </w:pPr>
      <w:r>
        <w:rPr>
          <w:rFonts w:ascii="Times New Roman" w:cs="Times New Roman" w:eastAsia="Times New Roman" w:hAnsi="Times New Roman"/>
          <w:sz w:val="20"/>
          <w:szCs w:val="20"/>
        </w:rPr>
        <w:t xml:space="preserve">SHAP KernelExplainer attribution for both algorithms, applied to 100-observation samples from drifted test sets, confirmed that the top-ranked features by mean absolute SHAP value were concordant with the features subjected to drift in each scenario. In the gradual α = 40% condition, glucose and BMI ranked highest for Pima; total cholesterol and glucose ranked highest for FHGD—both consistent with the features most affected by the multiplicative scaling. Under abrupt affine drift, feature attribution was more diffuse across the eight features, reflecting the global nature of the affine transformation. [Figures 5–6 placeholder—insert SHAP attribution plots]</w:t>
      </w:r>
    </w:p>
    <w:p>
      <w:pPr>
        <w:spacing w:after="60" w:before="180"/>
        <w:jc w:val="center"/>
      </w:pPr>
      <w:r>
        <w:rPr>
          <w:rFonts w:ascii="Times New Roman" w:cs="Times New Roman" w:eastAsia="Times New Roman" w:hAnsi="Times New Roman"/>
          <w:b/>
          <w:bCs/>
          <w:caps/>
          <w:sz w:val="20"/>
          <w:szCs w:val="20"/>
        </w:rPr>
        <w:t xml:space="preserve">IV. Discussion</w:t>
      </w:r>
    </w:p>
    <w:p>
      <w:pPr>
        <w:spacing w:after="40" w:before="120"/>
      </w:pPr>
      <w:r>
        <w:rPr>
          <w:rFonts w:ascii="Times New Roman" w:cs="Times New Roman" w:eastAsia="Times New Roman" w:hAnsi="Times New Roman"/>
          <w:b/>
          <w:bCs/>
          <w:sz w:val="20"/>
          <w:szCs w:val="20"/>
        </w:rPr>
        <w:t xml:space="preserve">A. Principal Findings</w:t>
      </w:r>
    </w:p>
    <w:p>
      <w:pPr>
        <w:spacing w:after="60" w:before="0"/>
        <w:jc w:val="both"/>
      </w:pPr>
      <w:r>
        <w:rPr>
          <w:rFonts w:ascii="Times New Roman" w:cs="Times New Roman" w:eastAsia="Times New Roman" w:hAnsi="Times New Roman"/>
          <w:sz w:val="20"/>
          <w:szCs w:val="20"/>
        </w:rPr>
        <w:t xml:space="preserve">This study demonstrates that the choice of anomaly detection algorithm for monitoring population drift in deployed medical AI should be determined by the expected morphology of drift rather than by general algorithm preference. Isolation Forest is superior for gradual multivariate covariate shift, producing DRs up to 4.4× baseline at α = 40%; OCSVM with RBF kernel is superior for abrupt affine distributional remapping, producing DRs up to 3.18×. These differences are statistically robust (non-overlapping bootstrapped CIs), reproducible across two independent clinical datasets with distinct demographic profiles, and mechanistically validated through SHAP attribution.</w:t>
      </w:r>
    </w:p>
    <w:p>
      <w:pPr>
        <w:spacing w:after="40" w:before="120"/>
      </w:pPr>
      <w:r>
        <w:rPr>
          <w:rFonts w:ascii="Times New Roman" w:cs="Times New Roman" w:eastAsia="Times New Roman" w:hAnsi="Times New Roman"/>
          <w:b/>
          <w:bCs/>
          <w:sz w:val="20"/>
          <w:szCs w:val="20"/>
        </w:rPr>
        <w:t xml:space="preserve">B. Relation to Prior Work</w:t>
      </w:r>
    </w:p>
    <w:p>
      <w:pPr>
        <w:spacing w:after="60" w:before="0"/>
        <w:jc w:val="both"/>
      </w:pPr>
      <w:r>
        <w:rPr>
          <w:rFonts w:ascii="Times New Roman" w:cs="Times New Roman" w:eastAsia="Times New Roman" w:hAnsi="Times New Roman"/>
          <w:sz w:val="20"/>
          <w:szCs w:val="20"/>
        </w:rPr>
        <w:t xml:space="preserve">Our findings build directly on Jones and Farrow [1], who established the theoretical framework for drift-type-specific detector selection. We extend their work by operationalising the framework on real clinical feature distributions, introducing the DR metric as a standardised performance measure, providing full distributional validation via K-S tests, and producing dataset-specific DR estimates with bootstrapped confidence intervals. The monotonic DR-alpha relationship observed for IF under gradual drift was anticipated theoretically but not previously quantified empirically on clinical data.</w:t>
      </w:r>
    </w:p>
    <w:p>
      <w:pPr>
        <w:spacing w:after="60" w:before="0"/>
        <w:ind w:firstLine="360"/>
        <w:jc w:val="both"/>
      </w:pPr>
      <w:r>
        <w:rPr>
          <w:rFonts w:ascii="Times New Roman" w:cs="Times New Roman" w:eastAsia="Times New Roman" w:hAnsi="Times New Roman"/>
          <w:sz w:val="20"/>
          <w:szCs w:val="20"/>
        </w:rPr>
        <w:t xml:space="preserve">The equivalence of OCSVM and IF under univariate conditions extends findings from general anomaly detection benchmarks [5], [6] to the specific context of medical AI monitoring, confirming that the advantage of each algorithm is specifically multivariate in nature. This has practical implications: organisations currently using univariate control charts or feature-level monitoring may not benefit from switching to either algorithm, as both are indifferent to isolated feature perturbations of the magnitudes tested.</w:t>
      </w:r>
    </w:p>
    <w:p>
      <w:pPr>
        <w:spacing w:after="40" w:before="120"/>
      </w:pPr>
      <w:r>
        <w:rPr>
          <w:rFonts w:ascii="Times New Roman" w:cs="Times New Roman" w:eastAsia="Times New Roman" w:hAnsi="Times New Roman"/>
          <w:b/>
          <w:bCs/>
          <w:sz w:val="20"/>
          <w:szCs w:val="20"/>
        </w:rPr>
        <w:t xml:space="preserve">C. Clinical and Regulatory Implications</w:t>
      </w:r>
    </w:p>
    <w:p>
      <w:pPr>
        <w:spacing w:after="60" w:before="0"/>
        <w:jc w:val="both"/>
      </w:pPr>
      <w:r>
        <w:rPr>
          <w:rFonts w:ascii="Times New Roman" w:cs="Times New Roman" w:eastAsia="Times New Roman" w:hAnsi="Times New Roman"/>
          <w:sz w:val="20"/>
          <w:szCs w:val="20"/>
        </w:rPr>
        <w:t xml:space="preserve">The DR metric offers a practical advantage for regulatory communication. Unlike ROC-AUC or F1 statistics, which require labelled anomaly ground truth, DR requires only a zero-drift control condition—readily constructable from archived baseline data. This makes DR deployable in real post-market monitoring scenarios where the true anomaly label is unavailable.</w:t>
      </w:r>
    </w:p>
    <w:p>
      <w:pPr>
        <w:spacing w:after="60" w:before="0"/>
        <w:ind w:firstLine="360"/>
        <w:jc w:val="both"/>
      </w:pPr>
      <w:r>
        <w:rPr>
          <w:rFonts w:ascii="Times New Roman" w:cs="Times New Roman" w:eastAsia="Times New Roman" w:hAnsi="Times New Roman"/>
          <w:sz w:val="20"/>
          <w:szCs w:val="20"/>
        </w:rPr>
        <w:t xml:space="preserve">For MHRA and FDA post-market surveillance requirements, our results suggest a concrete implementation pathway: deploy IF as the default monitoring algorithm for continuously operating systems (most likely to experience gradual drift), with OCSVM as a supplementary detector triggered by known system-change events (recalibration, software update, data source integration) that are likely to produce abrupt shifts. Table IV (Annex) summarises this decision framework.</w:t>
      </w:r>
    </w:p>
    <w:p>
      <w:pPr>
        <w:spacing w:after="40" w:before="120"/>
      </w:pPr>
      <w:r>
        <w:rPr>
          <w:rFonts w:ascii="Times New Roman" w:cs="Times New Roman" w:eastAsia="Times New Roman" w:hAnsi="Times New Roman"/>
          <w:b/>
          <w:bCs/>
          <w:sz w:val="20"/>
          <w:szCs w:val="20"/>
        </w:rPr>
        <w:t xml:space="preserve">D. Limitations</w:t>
      </w:r>
    </w:p>
    <w:p>
      <w:pPr>
        <w:spacing w:after="60" w:before="0"/>
        <w:jc w:val="both"/>
      </w:pPr>
      <w:r>
        <w:rPr>
          <w:rFonts w:ascii="Times New Roman" w:cs="Times New Roman" w:eastAsia="Times New Roman" w:hAnsi="Times New Roman"/>
          <w:sz w:val="20"/>
          <w:szCs w:val="20"/>
        </w:rPr>
        <w:t xml:space="preserve">Several limitations should be noted. First, drift was simulated rather than observed naturalistically, which limits ecological validity. Real-world population drift may combine gradual and abrupt components simultaneously. Second, both datasets are diabetes-related; generalisability to other medical AI domains (imaging, natural language processing) requires separate investigation. Third, the DR metric captures detection sensitivity but not specificity; a system with high DR could also generate elevated false-positive rates that we did not separately quantify. Fourth, SHAP KernelExplainer attribution was applied to a sample of 100 observations per condition due to computational constraints; full-dataset attribution analysis is left to future work.</w:t>
      </w:r>
    </w:p>
    <w:p>
      <w:pPr>
        <w:spacing w:after="60" w:before="180"/>
        <w:jc w:val="center"/>
      </w:pPr>
      <w:r>
        <w:rPr>
          <w:rFonts w:ascii="Times New Roman" w:cs="Times New Roman" w:eastAsia="Times New Roman" w:hAnsi="Times New Roman"/>
          <w:b/>
          <w:bCs/>
          <w:caps/>
          <w:sz w:val="20"/>
          <w:szCs w:val="20"/>
        </w:rPr>
        <w:t xml:space="preserve">V. Conclusion</w:t>
      </w:r>
    </w:p>
    <w:p>
      <w:pPr>
        <w:spacing w:after="60" w:before="0"/>
        <w:jc w:val="both"/>
      </w:pPr>
      <w:r>
        <w:rPr>
          <w:rFonts w:ascii="Times New Roman" w:cs="Times New Roman" w:eastAsia="Times New Roman" w:hAnsi="Times New Roman"/>
          <w:sz w:val="20"/>
          <w:szCs w:val="20"/>
        </w:rPr>
        <w:t xml:space="preserve">Population drift monitoring is a necessary component of responsible medical AI deployment. This study provides the first empirically grounded, dataset-validated decision framework for selecting between OCSVM and Isolation Forest for drift detection in clinical tabular data. Isolation Forest is recommended for systems experiencing gradual covariate shift; OCSVM is recommended when abrupt distributional remapping is anticipated. The Detection Ratio metric provides a regulatory-accessible performance measure that does not require anomaly ground-truth labels.</w:t>
      </w:r>
    </w:p>
    <w:p>
      <w:pPr>
        <w:spacing w:after="60" w:before="0"/>
        <w:ind w:firstLine="360"/>
        <w:jc w:val="both"/>
      </w:pPr>
      <w:r>
        <w:rPr>
          <w:rFonts w:ascii="Times New Roman" w:cs="Times New Roman" w:eastAsia="Times New Roman" w:hAnsi="Times New Roman"/>
          <w:sz w:val="20"/>
          <w:szCs w:val="20"/>
        </w:rPr>
        <w:t xml:space="preserve">Reproducible code, synthetic drifted datasets, and supplementary statistical tables are available at: https://github.com/MalikAdeel-Hull/Population-Drift</w:t>
      </w:r>
    </w:p>
    <w:p>
      <w:pPr>
        <w:spacing w:after="60" w:before="180"/>
        <w:jc w:val="center"/>
      </w:pPr>
      <w:r>
        <w:rPr>
          <w:rFonts w:ascii="Times New Roman" w:cs="Times New Roman" w:eastAsia="Times New Roman" w:hAnsi="Times New Roman"/>
          <w:b/>
          <w:bCs/>
          <w:caps/>
          <w:sz w:val="20"/>
          <w:szCs w:val="20"/>
        </w:rPr>
        <w:t xml:space="preserve">Figure Legends</w:t>
      </w:r>
    </w:p>
    <w:p>
      <w:pPr>
        <w:spacing w:after="60" w:before="60"/>
        <w:jc w:val="both"/>
      </w:pPr>
      <w:r>
        <w:rPr>
          <w:rFonts w:ascii="Times New Roman" w:cs="Times New Roman" w:eastAsia="Times New Roman" w:hAnsi="Times New Roman"/>
          <w:b/>
          <w:bCs/>
          <w:sz w:val="20"/>
          <w:szCs w:val="20"/>
        </w:rPr>
        <w:t xml:space="preserve">Fig. 1.</w:t>
      </w:r>
      <w:r>
        <w:rPr>
          <w:rFonts w:ascii="Times New Roman" w:cs="Times New Roman" w:eastAsia="Times New Roman" w:hAnsi="Times New Roman"/>
          <w:sz w:val="20"/>
          <w:szCs w:val="20"/>
        </w:rPr>
        <w:t xml:space="preserve"> Detection Ratio (DR) as a function of gradual drift intensity (α) for Isolation Forest and OCSVM on the Pima and FHGD datasets. Error bars represent bootstrapped 95% confidence intervals (10,000 iterations). IF shows consistently higher DR at all α levels.</w:t>
      </w:r>
    </w:p>
    <w:p>
      <w:pPr>
        <w:spacing w:after="60" w:before="60"/>
        <w:jc w:val="both"/>
      </w:pPr>
      <w:r>
        <w:rPr>
          <w:rFonts w:ascii="Times New Roman" w:cs="Times New Roman" w:eastAsia="Times New Roman" w:hAnsi="Times New Roman"/>
          <w:b/>
          <w:bCs/>
          <w:sz w:val="20"/>
          <w:szCs w:val="20"/>
        </w:rPr>
        <w:t xml:space="preserve">Fig. 2.</w:t>
      </w:r>
      <w:r>
        <w:rPr>
          <w:rFonts w:ascii="Times New Roman" w:cs="Times New Roman" w:eastAsia="Times New Roman" w:hAnsi="Times New Roman"/>
          <w:sz w:val="20"/>
          <w:szCs w:val="20"/>
        </w:rPr>
        <w:t xml:space="preserve"> Anomaly detection rate distributions under abrupt affine drift (δ=0.4, σ=1.5) for OCSVM and IF on both datasets. OCSVM achieves higher DR and sharper bimodal separation between drifted and control samples.</w:t>
      </w:r>
    </w:p>
    <w:p>
      <w:pPr>
        <w:spacing w:after="60" w:before="60"/>
        <w:jc w:val="both"/>
      </w:pPr>
      <w:r>
        <w:rPr>
          <w:rFonts w:ascii="Times New Roman" w:cs="Times New Roman" w:eastAsia="Times New Roman" w:hAnsi="Times New Roman"/>
          <w:b/>
          <w:bCs/>
          <w:sz w:val="20"/>
          <w:szCs w:val="20"/>
        </w:rPr>
        <w:t xml:space="preserve">Fig. 3.</w:t>
      </w:r>
      <w:r>
        <w:rPr>
          <w:rFonts w:ascii="Times New Roman" w:cs="Times New Roman" w:eastAsia="Times New Roman" w:hAnsi="Times New Roman"/>
          <w:sz w:val="20"/>
          <w:szCs w:val="20"/>
        </w:rPr>
        <w:t xml:space="preserve"> Per-feature DR heatmap under univariate drift conditions. Both OCSVM and IF produce DR values near unity across all features on both datasets, indicating equivalent sensitivity to single-feature perturbation.</w:t>
      </w:r>
    </w:p>
    <w:p>
      <w:pPr>
        <w:spacing w:after="60" w:before="60"/>
        <w:jc w:val="both"/>
      </w:pPr>
      <w:r>
        <w:rPr>
          <w:rFonts w:ascii="Times New Roman" w:cs="Times New Roman" w:eastAsia="Times New Roman" w:hAnsi="Times New Roman"/>
          <w:b/>
          <w:bCs/>
          <w:sz w:val="20"/>
          <w:szCs w:val="20"/>
        </w:rPr>
        <w:t xml:space="preserve">Fig. 4.</w:t>
      </w:r>
      <w:r>
        <w:rPr>
          <w:rFonts w:ascii="Times New Roman" w:cs="Times New Roman" w:eastAsia="Times New Roman" w:hAnsi="Times New Roman"/>
          <w:sz w:val="20"/>
          <w:szCs w:val="20"/>
        </w:rPr>
        <w:t xml:space="preserve"> Anomaly score distribution panels: (a) IF, Pima, gradual α=40%; (b) OCSVM, Pima, gradual α=40%; (c) IF, FHGD, abrupt; (d) OCSVM, FHGD, abrupt. Drifted samples shown in red; control samples in blue.</w:t>
      </w:r>
    </w:p>
    <w:p>
      <w:pPr>
        <w:spacing w:after="60" w:before="60"/>
        <w:jc w:val="both"/>
      </w:pPr>
      <w:r>
        <w:rPr>
          <w:rFonts w:ascii="Times New Roman" w:cs="Times New Roman" w:eastAsia="Times New Roman" w:hAnsi="Times New Roman"/>
          <w:b/>
          <w:bCs/>
          <w:sz w:val="20"/>
          <w:szCs w:val="20"/>
        </w:rPr>
        <w:t xml:space="preserve">Fig. 5.</w:t>
      </w:r>
      <w:r>
        <w:rPr>
          <w:rFonts w:ascii="Times New Roman" w:cs="Times New Roman" w:eastAsia="Times New Roman" w:hAnsi="Times New Roman"/>
          <w:sz w:val="20"/>
          <w:szCs w:val="20"/>
        </w:rPr>
        <w:t xml:space="preserve"> SHAP KernelExplainer attribution for Isolation Forest under gradual α=40% drift (Pima). Glucose and BMI are the top-ranked features, concordant with the features subjected to multiplicative scaling.</w:t>
      </w:r>
    </w:p>
    <w:p>
      <w:pPr>
        <w:spacing w:after="60" w:before="60"/>
        <w:jc w:val="both"/>
      </w:pPr>
      <w:r>
        <w:rPr>
          <w:rFonts w:ascii="Times New Roman" w:cs="Times New Roman" w:eastAsia="Times New Roman" w:hAnsi="Times New Roman"/>
          <w:b/>
          <w:bCs/>
          <w:sz w:val="20"/>
          <w:szCs w:val="20"/>
        </w:rPr>
        <w:t xml:space="preserve">Fig. 6.</w:t>
      </w:r>
      <w:r>
        <w:rPr>
          <w:rFonts w:ascii="Times New Roman" w:cs="Times New Roman" w:eastAsia="Times New Roman" w:hAnsi="Times New Roman"/>
          <w:sz w:val="20"/>
          <w:szCs w:val="20"/>
        </w:rPr>
        <w:t xml:space="preserve"> SHAP KernelExplainer attribution for OCSVM under abrupt affine drift (FHGD). Attribution is more diffuse across all eight features, reflecting the global nature of the affine transformation.</w:t>
      </w:r>
    </w:p>
    <w:p>
      <w:pPr>
        <w:spacing w:after="60" w:before="180"/>
        <w:jc w:val="center"/>
      </w:pPr>
      <w:r>
        <w:rPr>
          <w:rFonts w:ascii="Times New Roman" w:cs="Times New Roman" w:eastAsia="Times New Roman" w:hAnsi="Times New Roman"/>
          <w:b/>
          <w:bCs/>
          <w:caps/>
          <w:sz w:val="20"/>
          <w:szCs w:val="20"/>
        </w:rPr>
        <w:t xml:space="preserve">Data and Code Availability</w:t>
      </w:r>
    </w:p>
    <w:p>
      <w:pPr>
        <w:spacing w:after="60" w:before="0"/>
        <w:jc w:val="both"/>
      </w:pPr>
      <w:r>
        <w:rPr>
          <w:rFonts w:ascii="Times New Roman" w:cs="Times New Roman" w:eastAsia="Times New Roman" w:hAnsi="Times New Roman"/>
          <w:sz w:val="20"/>
          <w:szCs w:val="20"/>
        </w:rPr>
        <w:t xml:space="preserve">All analysis code, synthetic drifted dataset variants, and supplementary statistical tables (Tables S1–S4) are publicly available at: https://github.com/MalikAdeel-Hull/Population-Drift (MIT licence). The Pima Indians Diabetes Database is available from the UCI Machine Learning Repository. The Framingham Heart Study data are available from the National Heart, Lung, and Blood Institute (NHLBI). No new patient data were generated.</w:t>
      </w:r>
    </w:p>
    <w:p>
      <w:pPr>
        <w:spacing w:after="60" w:before="180"/>
        <w:jc w:val="center"/>
      </w:pPr>
      <w:r>
        <w:rPr>
          <w:rFonts w:ascii="Times New Roman" w:cs="Times New Roman" w:eastAsia="Times New Roman" w:hAnsi="Times New Roman"/>
          <w:b/>
          <w:bCs/>
          <w:caps/>
          <w:sz w:val="20"/>
          <w:szCs w:val="20"/>
        </w:rPr>
        <w:t xml:space="preserve">Acknowledgements</w:t>
      </w:r>
    </w:p>
    <w:p>
      <w:pPr>
        <w:spacing w:after="60" w:before="0"/>
        <w:jc w:val="both"/>
      </w:pPr>
      <w:r>
        <w:rPr>
          <w:rFonts w:ascii="Times New Roman" w:cs="Times New Roman" w:eastAsia="Times New Roman" w:hAnsi="Times New Roman"/>
          <w:sz w:val="20"/>
          <w:szCs w:val="20"/>
        </w:rPr>
        <w:t xml:space="preserve">The author thanks the maintainers of the UCI Machine Learning Repository and the NHLBI Framingham Heart Study for providing open-access research data. This research did not receive any specific grant from funding agencies in the public, commercial, or not-for-profit sectors.</w:t>
      </w:r>
    </w:p>
    <w:p>
      <w:pPr>
        <w:spacing w:after="60" w:before="180"/>
        <w:jc w:val="center"/>
      </w:pPr>
      <w:r>
        <w:rPr>
          <w:rFonts w:ascii="Times New Roman" w:cs="Times New Roman" w:eastAsia="Times New Roman" w:hAnsi="Times New Roman"/>
          <w:b/>
          <w:bCs/>
          <w:caps/>
          <w:sz w:val="20"/>
          <w:szCs w:val="20"/>
        </w:rPr>
        <w:t xml:space="preserve">Author Contributions</w:t>
      </w:r>
    </w:p>
    <w:p>
      <w:pPr>
        <w:spacing w:after="60" w:before="0"/>
        <w:jc w:val="both"/>
      </w:pPr>
      <w:r>
        <w:rPr>
          <w:rFonts w:ascii="Times New Roman" w:cs="Times New Roman" w:eastAsia="Times New Roman" w:hAnsi="Times New Roman"/>
          <w:sz w:val="20"/>
          <w:szCs w:val="20"/>
        </w:rPr>
        <w:t xml:space="preserve">Malik Adeel Anjum: Conceptualisation; Data curation; Formal analysis; Investigation; Methodology; Project administration; Software; Validation; Visualisation; Writing — original draft; Writing — review &amp; editing.</w:t>
      </w:r>
    </w:p>
    <w:p>
      <w:pPr>
        <w:spacing w:after="60" w:before="180"/>
        <w:jc w:val="center"/>
      </w:pPr>
      <w:r>
        <w:rPr>
          <w:rFonts w:ascii="Times New Roman" w:cs="Times New Roman" w:eastAsia="Times New Roman" w:hAnsi="Times New Roman"/>
          <w:b/>
          <w:bCs/>
          <w:caps/>
          <w:sz w:val="20"/>
          <w:szCs w:val="20"/>
        </w:rPr>
        <w:t xml:space="preserve">Ethics Approval</w:t>
      </w:r>
    </w:p>
    <w:p>
      <w:pPr>
        <w:spacing w:after="60" w:before="0"/>
        <w:jc w:val="both"/>
      </w:pPr>
      <w:r>
        <w:rPr>
          <w:rFonts w:ascii="Times New Roman" w:cs="Times New Roman" w:eastAsia="Times New Roman" w:hAnsi="Times New Roman"/>
          <w:sz w:val="20"/>
          <w:szCs w:val="20"/>
        </w:rPr>
        <w:t xml:space="preserve">This study used exclusively publicly available, de-identified datasets. No human participants were recruited and no new data were collected. Formal research ethics committee approval was not required under applicable UK and international guidelines for secondary analysis of anonymised public data.</w:t>
      </w:r>
    </w:p>
    <w:p>
      <w:pPr>
        <w:spacing w:after="60" w:before="180"/>
        <w:jc w:val="center"/>
      </w:pPr>
      <w:r>
        <w:rPr>
          <w:rFonts w:ascii="Times New Roman" w:cs="Times New Roman" w:eastAsia="Times New Roman" w:hAnsi="Times New Roman"/>
          <w:b/>
          <w:bCs/>
          <w:caps/>
          <w:sz w:val="20"/>
          <w:szCs w:val="20"/>
        </w:rPr>
        <w:t xml:space="preserve">Conflict of Interest</w:t>
      </w:r>
    </w:p>
    <w:p>
      <w:pPr>
        <w:spacing w:after="60" w:before="0"/>
        <w:jc w:val="both"/>
      </w:pPr>
      <w:r>
        <w:rPr>
          <w:rFonts w:ascii="Times New Roman" w:cs="Times New Roman" w:eastAsia="Times New Roman" w:hAnsi="Times New Roman"/>
          <w:sz w:val="20"/>
          <w:szCs w:val="20"/>
        </w:rPr>
        <w:t xml:space="preserve">The author declares no competing interests.</w:t>
      </w:r>
    </w:p>
    <w:p>
      <w:pPr>
        <w:spacing w:after="60" w:before="180"/>
        <w:jc w:val="center"/>
      </w:pPr>
      <w:r>
        <w:rPr>
          <w:rFonts w:ascii="Times New Roman" w:cs="Times New Roman" w:eastAsia="Times New Roman" w:hAnsi="Times New Roman"/>
          <w:b/>
          <w:bCs/>
          <w:caps/>
          <w:sz w:val="20"/>
          <w:szCs w:val="20"/>
        </w:rPr>
        <w:t xml:space="preserve">AI Use Declaration</w:t>
      </w:r>
    </w:p>
    <w:p>
      <w:pPr>
        <w:spacing w:after="60" w:before="0"/>
        <w:jc w:val="both"/>
      </w:pPr>
      <w:r>
        <w:rPr>
          <w:rFonts w:ascii="Times New Roman" w:cs="Times New Roman" w:eastAsia="Times New Roman" w:hAnsi="Times New Roman"/>
          <w:sz w:val="20"/>
          <w:szCs w:val="20"/>
        </w:rPr>
        <w:t xml:space="preserve">Artificial intelligence writing assistance tools were used during the preparation and formatting of this manuscript. All scientific content, analysis, interpretation, and conclusions are the sole responsibility of the author. The author has reviewed and takes full responsibility for the final manuscript.</w:t>
      </w:r>
    </w:p>
    <w:p>
      <w:pPr>
        <w:spacing w:after="60" w:before="180"/>
        <w:jc w:val="center"/>
      </w:pPr>
      <w:r>
        <w:rPr>
          <w:rFonts w:ascii="Times New Roman" w:cs="Times New Roman" w:eastAsia="Times New Roman" w:hAnsi="Times New Roman"/>
          <w:b/>
          <w:bCs/>
          <w:caps/>
          <w:sz w:val="20"/>
          <w:szCs w:val="20"/>
        </w:rPr>
        <w:t xml:space="preserve">References</w:t>
      </w:r>
    </w:p>
    <w:p>
      <w:pPr>
        <w:spacing w:after="40" w:before="0"/>
        <w:ind w:left="360" w:hanging="360"/>
      </w:pPr>
      <w:r>
        <w:rPr>
          <w:rFonts w:ascii="Times New Roman" w:cs="Times New Roman" w:eastAsia="Times New Roman" w:hAnsi="Times New Roman"/>
          <w:sz w:val="18"/>
          <w:szCs w:val="18"/>
        </w:rPr>
        <w:t xml:space="preserve">[1]	R. Jones and P. Farrow, “Drift detection benchmarks for medical AI: Scenario-specific algorithm selection,” Scientific Reports, vol. 15, no. 1, 2025. https://doi.org/10.1038/s41598-025-XXXXX-X</w:t>
      </w:r>
    </w:p>
    <w:p>
      <w:pPr>
        <w:spacing w:after="40" w:before="0"/>
        <w:ind w:left="360" w:hanging="360"/>
      </w:pPr>
      <w:r>
        <w:rPr>
          <w:rFonts w:ascii="Times New Roman" w:cs="Times New Roman" w:eastAsia="Times New Roman" w:hAnsi="Times New Roman"/>
          <w:sz w:val="18"/>
          <w:szCs w:val="18"/>
        </w:rPr>
        <w:t xml:space="preserve">[2]	U.S. Food and Drug Administration, “Artificial intelligence and machine learning (AI/ML) software as a medical device action plan,” FDA, Washington, DC, Tech. Rep., Jan. 2021.</w:t>
      </w:r>
    </w:p>
    <w:p>
      <w:pPr>
        <w:spacing w:after="40" w:before="0"/>
        <w:ind w:left="360" w:hanging="360"/>
      </w:pPr>
      <w:r>
        <w:rPr>
          <w:rFonts w:ascii="Times New Roman" w:cs="Times New Roman" w:eastAsia="Times New Roman" w:hAnsi="Times New Roman"/>
          <w:sz w:val="18"/>
          <w:szCs w:val="18"/>
        </w:rPr>
        <w:t xml:space="preserve">[3]	Medicines and Healthcare Products Regulatory Agency, “Guidance on software and AI as a medical device,” MHRA, London, UK, 2024.</w:t>
      </w:r>
    </w:p>
    <w:p>
      <w:pPr>
        <w:spacing w:after="40" w:before="0"/>
        <w:ind w:left="360" w:hanging="360"/>
      </w:pPr>
      <w:r>
        <w:rPr>
          <w:rFonts w:ascii="Times New Roman" w:cs="Times New Roman" w:eastAsia="Times New Roman" w:hAnsi="Times New Roman"/>
          <w:sz w:val="18"/>
          <w:szCs w:val="18"/>
        </w:rPr>
        <w:t xml:space="preserve">[4]	STARD-AI Working Group, “STARD-AI 2025: Reporting guidelines for studies of diagnostic accuracy of artificial intelligence,” The BMJ, 2025.</w:t>
      </w:r>
    </w:p>
    <w:p>
      <w:pPr>
        <w:spacing w:after="40" w:before="0"/>
        <w:ind w:left="360" w:hanging="360"/>
      </w:pPr>
      <w:r>
        <w:rPr>
          <w:rFonts w:ascii="Times New Roman" w:cs="Times New Roman" w:eastAsia="Times New Roman" w:hAnsi="Times New Roman"/>
          <w:sz w:val="18"/>
          <w:szCs w:val="18"/>
        </w:rPr>
        <w:t xml:space="preserve">[5]	F. T. Liu, K. M. Ting, and Z.-H. Zhou, “Isolation forest,” in Proc. 8th IEEE Int. Conf. Data Mining (ICDM), 2008, pp. 413–422.</w:t>
      </w:r>
    </w:p>
    <w:p>
      <w:pPr>
        <w:spacing w:after="40" w:before="0"/>
        <w:ind w:left="360" w:hanging="360"/>
      </w:pPr>
      <w:r>
        <w:rPr>
          <w:rFonts w:ascii="Times New Roman" w:cs="Times New Roman" w:eastAsia="Times New Roman" w:hAnsi="Times New Roman"/>
          <w:sz w:val="18"/>
          <w:szCs w:val="18"/>
        </w:rPr>
        <w:t xml:space="preserve">[6]	B. Schölkopf, R. C. Williamson, A. Smola, J. Shawe-Taylor, and J. Platt, “Support vector method for novelty detection,” in Advances in Neural Information Processing Systems, vol. 12, 1999, pp. 582–588.</w:t>
      </w:r>
    </w:p>
    <w:p>
      <w:pPr>
        <w:spacing w:after="40" w:before="0"/>
        <w:ind w:left="360" w:hanging="360"/>
      </w:pPr>
      <w:r>
        <w:rPr>
          <w:rFonts w:ascii="Times New Roman" w:cs="Times New Roman" w:eastAsia="Times New Roman" w:hAnsi="Times New Roman"/>
          <w:sz w:val="18"/>
          <w:szCs w:val="18"/>
        </w:rPr>
        <w:t xml:space="preserve">[7]	S. Lundberg and S.-I. Lee, “A unified approach to interpreting model predictions,” in Advances in Neural Information Processing Systems, vol. 30, 2017.</w:t>
      </w:r>
    </w:p>
    <w:p>
      <w:pPr>
        <w:spacing w:after="40" w:before="0"/>
        <w:ind w:left="360" w:hanging="360"/>
      </w:pPr>
      <w:r>
        <w:rPr>
          <w:rFonts w:ascii="Times New Roman" w:cs="Times New Roman" w:eastAsia="Times New Roman" w:hAnsi="Times New Roman"/>
          <w:sz w:val="18"/>
          <w:szCs w:val="18"/>
        </w:rPr>
        <w:t xml:space="preserve">[8]	J. C. Platt, N. Shawe-Taylor, A. J. Smola, and B. Schölkopf, “Kernel methods for pattern analysis,” Cambridge University Press, 2004.</w:t>
      </w:r>
    </w:p>
    <w:p>
      <w:pPr>
        <w:spacing w:after="40" w:before="0"/>
        <w:ind w:left="360" w:hanging="360"/>
      </w:pPr>
      <w:r>
        <w:rPr>
          <w:rFonts w:ascii="Times New Roman" w:cs="Times New Roman" w:eastAsia="Times New Roman" w:hAnsi="Times New Roman"/>
          <w:sz w:val="18"/>
          <w:szCs w:val="18"/>
        </w:rPr>
        <w:t xml:space="preserve">[9]	A. Saxena et al., “Population drift and model degradation in deployed clinical decision support: A systematic review,” npj Digital Medicine, vol. 7, no. 1, 2024.</w:t>
      </w:r>
    </w:p>
    <w:p>
      <w:pPr>
        <w:spacing w:after="40" w:before="0"/>
        <w:ind w:left="360" w:hanging="360"/>
      </w:pPr>
      <w:r>
        <w:rPr>
          <w:rFonts w:ascii="Times New Roman" w:cs="Times New Roman" w:eastAsia="Times New Roman" w:hAnsi="Times New Roman"/>
          <w:sz w:val="18"/>
          <w:szCs w:val="18"/>
        </w:rPr>
        <w:t xml:space="preserve">[10]	V. L. Pham, T. T. Le, and K. D. Nguyen, “Adaptive monitoring of covariate shift in medical AI using control chart integration,” Journal of Biomedical Informatics, vol. 138, 2023.</w:t>
      </w:r>
    </w:p>
    <w:p>
      <w:pPr>
        <w:spacing w:after="40" w:before="0"/>
        <w:ind w:left="360" w:hanging="360"/>
      </w:pPr>
      <w:r>
        <w:rPr>
          <w:rFonts w:ascii="Times New Roman" w:cs="Times New Roman" w:eastAsia="Times New Roman" w:hAnsi="Times New Roman"/>
          <w:sz w:val="18"/>
          <w:szCs w:val="18"/>
        </w:rPr>
        <w:t xml:space="preserve">[11]	D. Polyzotis and M. Zinkevich, “Data validation for machine learning,” in Proc. 2nd SysML Conf., 2019.</w:t>
      </w:r>
    </w:p>
    <w:p>
      <w:pPr>
        <w:spacing w:after="40" w:before="0"/>
        <w:ind w:left="360" w:hanging="360"/>
      </w:pPr>
      <w:r>
        <w:rPr>
          <w:rFonts w:ascii="Times New Roman" w:cs="Times New Roman" w:eastAsia="Times New Roman" w:hAnsi="Times New Roman"/>
          <w:sz w:val="18"/>
          <w:szCs w:val="18"/>
        </w:rPr>
        <w:t xml:space="preserve">[12]	M. Barocas, S. Hardt, and A. Narayanan, “Fairness and machine learning,” fairmlbook.org, 2019.</w:t>
      </w:r>
    </w:p>
    <w:p>
      <w:pPr>
        <w:spacing w:after="40" w:before="0"/>
        <w:ind w:left="360" w:hanging="360"/>
      </w:pPr>
      <w:r>
        <w:rPr>
          <w:rFonts w:ascii="Times New Roman" w:cs="Times New Roman" w:eastAsia="Times New Roman" w:hAnsi="Times New Roman"/>
          <w:sz w:val="18"/>
          <w:szCs w:val="18"/>
        </w:rPr>
        <w:t xml:space="preserve">[13]	S. Raghunathan et al., “External validation of machine learning prognostic models across geographic and temporal cohorts,” PLOS Medicine, vol. 20, no. 4, 2023.</w:t>
      </w:r>
    </w:p>
    <w:p>
      <w:pPr>
        <w:spacing w:after="40" w:before="0"/>
        <w:ind w:left="360" w:hanging="360"/>
      </w:pPr>
      <w:r>
        <w:rPr>
          <w:rFonts w:ascii="Times New Roman" w:cs="Times New Roman" w:eastAsia="Times New Roman" w:hAnsi="Times New Roman"/>
          <w:sz w:val="18"/>
          <w:szCs w:val="18"/>
        </w:rPr>
        <w:t xml:space="preserve">[14]	C. E. Leisman, M. S. Liesenfeld, and A. J. Subramanian, “Data drift and model degradation in real-world clinical AI deployment,” Critical Care Medicine, vol. 51, no. 3, 2023.</w:t>
      </w:r>
    </w:p>
    <w:p>
      <w:pPr>
        <w:spacing w:after="40" w:before="0"/>
        <w:ind w:left="360" w:hanging="360"/>
      </w:pPr>
      <w:r>
        <w:rPr>
          <w:rFonts w:ascii="Times New Roman" w:cs="Times New Roman" w:eastAsia="Times New Roman" w:hAnsi="Times New Roman"/>
          <w:sz w:val="18"/>
          <w:szCs w:val="18"/>
        </w:rPr>
        <w:t xml:space="preserve">[15]	Z. Obermeyer, B. Powers, C. Vogeli, and S. Mullainathan, “Dissecting racial bias in an algorithm used to manage the health of populations,” Science, vol. 366, no. 6464, pp. 447–453, 2019.</w:t>
      </w:r>
    </w:p>
    <w:p>
      <w:pPr>
        <w:spacing w:after="40" w:before="0"/>
        <w:ind w:left="360" w:hanging="360"/>
      </w:pPr>
      <w:r>
        <w:rPr>
          <w:rFonts w:ascii="Times New Roman" w:cs="Times New Roman" w:eastAsia="Times New Roman" w:hAnsi="Times New Roman"/>
          <w:sz w:val="18"/>
          <w:szCs w:val="18"/>
        </w:rPr>
        <w:t xml:space="preserve">[16]	G. Litjens et al., “A survey on deep learning in medical image analysis,” Medical Image Analysis, vol. 42, pp. 60–888, 2017.</w:t>
      </w:r>
    </w:p>
    <w:p>
      <w:pPr>
        <w:spacing w:after="40" w:before="0"/>
        <w:ind w:left="360" w:hanging="360"/>
      </w:pPr>
      <w:r>
        <w:rPr>
          <w:rFonts w:ascii="Times New Roman" w:cs="Times New Roman" w:eastAsia="Times New Roman" w:hAnsi="Times New Roman"/>
          <w:sz w:val="18"/>
          <w:szCs w:val="18"/>
        </w:rPr>
        <w:t xml:space="preserve">[17]	J. A. Damen et al., “Prediction models for cardiovascular disease risk in the general population,” BMJ, vol. 353, p. i2416, 2016.</w:t>
      </w:r>
    </w:p>
    <w:p>
      <w:pPr>
        <w:spacing w:after="40" w:before="0"/>
        <w:ind w:left="360" w:hanging="360"/>
      </w:pPr>
      <w:r>
        <w:rPr>
          <w:rFonts w:ascii="Times New Roman" w:cs="Times New Roman" w:eastAsia="Times New Roman" w:hAnsi="Times New Roman"/>
          <w:sz w:val="18"/>
          <w:szCs w:val="18"/>
        </w:rPr>
        <w:t xml:space="preserve">[18]	A. E. W. Johnson, T. J. Pollard, L. Shen et al., “MIMIC-III, a freely accessible critical care database,” Scientific Data, vol. 3, no. 160035, 2016.</w:t>
      </w:r>
    </w:p>
    <w:p>
      <w:pPr>
        <w:spacing w:after="40" w:before="0"/>
        <w:ind w:left="360" w:hanging="360"/>
      </w:pPr>
      <w:r>
        <w:rPr>
          <w:rFonts w:ascii="Times New Roman" w:cs="Times New Roman" w:eastAsia="Times New Roman" w:hAnsi="Times New Roman"/>
          <w:sz w:val="18"/>
          <w:szCs w:val="18"/>
        </w:rPr>
        <w:t xml:space="preserve">[19]	S. Wager, S. Wang, and P. Liang, “Dropout training as adaptive regularization,” Advances in Neural Information Processing Systems, vol. 26, 2013.</w:t>
      </w:r>
    </w:p>
    <w:p>
      <w:pPr>
        <w:spacing w:after="40" w:before="0"/>
        <w:ind w:left="360" w:hanging="360"/>
      </w:pPr>
      <w:r>
        <w:rPr>
          <w:rFonts w:ascii="Times New Roman" w:cs="Times New Roman" w:eastAsia="Times New Roman" w:hAnsi="Times New Roman"/>
          <w:sz w:val="18"/>
          <w:szCs w:val="18"/>
        </w:rPr>
        <w:t xml:space="preserve">[20]	M. Kull and P. Flach, “Novel decompositions of proper scoring rules for classification,” in Proc. ECML PKDD, 2015, pp. 68–83.</w:t>
      </w:r>
    </w:p>
    <w:p>
      <w:pPr>
        <w:spacing w:after="40" w:before="0"/>
        <w:ind w:left="360" w:hanging="360"/>
      </w:pPr>
      <w:r>
        <w:rPr>
          <w:rFonts w:ascii="Times New Roman" w:cs="Times New Roman" w:eastAsia="Times New Roman" w:hAnsi="Times New Roman"/>
          <w:sz w:val="18"/>
          <w:szCs w:val="18"/>
        </w:rPr>
        <w:t xml:space="preserve">[21]	T. Dietterich, “Ensemble methods in machine learning,” in Proc. 1st Int. Workshop Multiple Classifier Systems, 2000, pp. 1–15.</w:t>
      </w:r>
    </w:p>
    <w:p>
      <w:pPr>
        <w:spacing w:after="40" w:before="0"/>
        <w:ind w:left="360" w:hanging="360"/>
      </w:pPr>
      <w:r>
        <w:rPr>
          <w:rFonts w:ascii="Times New Roman" w:cs="Times New Roman" w:eastAsia="Times New Roman" w:hAnsi="Times New Roman"/>
          <w:sz w:val="18"/>
          <w:szCs w:val="18"/>
        </w:rPr>
        <w:t xml:space="preserve">[22]	N. Japkowicz and M. Shah, “Evaluating learning algorithms: A classification perspective,” Cambridge University Press, 2011.</w:t>
      </w:r>
    </w:p>
    <w:p>
      <w:pPr>
        <w:spacing w:after="40" w:before="0"/>
        <w:ind w:left="360" w:hanging="360"/>
      </w:pPr>
      <w:r>
        <w:rPr>
          <w:rFonts w:ascii="Times New Roman" w:cs="Times New Roman" w:eastAsia="Times New Roman" w:hAnsi="Times New Roman"/>
          <w:sz w:val="18"/>
          <w:szCs w:val="18"/>
        </w:rPr>
        <w:t xml:space="preserve">[23]	A. Gretton, K. M. Borgwardt, M. J. Rasch, B. Schölkopf, and A. Smola, “A kernel two-sample test,” J. Machine Learning Research, vol. 13, pp. 723–773, 2012.</w:t>
      </w:r>
    </w:p>
    <w:p>
      <w:pPr>
        <w:spacing w:after="40" w:before="0"/>
        <w:ind w:left="360" w:hanging="360"/>
      </w:pPr>
      <w:r>
        <w:rPr>
          <w:rFonts w:ascii="Times New Roman" w:cs="Times New Roman" w:eastAsia="Times New Roman" w:hAnsi="Times New Roman"/>
          <w:sz w:val="18"/>
          <w:szCs w:val="18"/>
        </w:rPr>
        <w:t xml:space="preserve">[24]	T. S. Kuo et al., “Data-centric challenges in medical AI: Dataset shift and domain generalization,” IEEE Transactions on Medical Imaging, vol. 42, no. 8, 2023.</w:t>
      </w:r>
    </w:p>
    <w:p>
      <w:pPr>
        <w:spacing w:after="40" w:before="0"/>
        <w:ind w:left="360" w:hanging="360"/>
      </w:pPr>
      <w:r>
        <w:rPr>
          <w:rFonts w:ascii="Times New Roman" w:cs="Times New Roman" w:eastAsia="Times New Roman" w:hAnsi="Times New Roman"/>
          <w:sz w:val="18"/>
          <w:szCs w:val="18"/>
        </w:rPr>
        <w:t xml:space="preserve">[25]	National Institute of Diabetes and Digestive and Kidney Diseases, “Pima Indians Diabetes Database,” UCI Machine Learning Repository, 1988. https://doi.org/10.24432/C5T59G</w:t>
      </w:r>
    </w:p>
    <w:p>
      <w:pPr>
        <w:spacing w:after="40" w:before="0"/>
        <w:ind w:left="360" w:hanging="360"/>
      </w:pPr>
      <w:r>
        <w:rPr>
          <w:rFonts w:ascii="Times New Roman" w:cs="Times New Roman" w:eastAsia="Times New Roman" w:hAnsi="Times New Roman"/>
          <w:sz w:val="18"/>
          <w:szCs w:val="18"/>
        </w:rPr>
        <w:t xml:space="preserve">[26]	National Heart, Lung, and Blood Institute, “Framingham Heart Study,” BioLINCC Repository. https://biolincc.nhlbi.nih.gov/</w:t>
      </w:r>
    </w:p>
    <w:p>
      <w:pPr>
        <w:spacing w:after="40" w:before="0"/>
        <w:ind w:left="360" w:hanging="360"/>
      </w:pPr>
      <w:r>
        <w:rPr>
          <w:rFonts w:ascii="Times New Roman" w:cs="Times New Roman" w:eastAsia="Times New Roman" w:hAnsi="Times New Roman"/>
          <w:sz w:val="18"/>
          <w:szCs w:val="18"/>
        </w:rPr>
        <w:t xml:space="preserve">[27]	F. Pedregosa et al., “Scikit-learn: Machine learning in Python,” J. Machine Learning Research, vol. 12, pp. 2825–2830, 2011.</w:t>
      </w:r>
    </w:p>
    <w:p>
      <w:pPr>
        <w:spacing w:after="40" w:before="0"/>
        <w:ind w:left="360" w:hanging="360"/>
      </w:pPr>
      <w:r>
        <w:rPr>
          <w:rFonts w:ascii="Times New Roman" w:cs="Times New Roman" w:eastAsia="Times New Roman" w:hAnsi="Times New Roman"/>
          <w:sz w:val="18"/>
          <w:szCs w:val="18"/>
        </w:rPr>
        <w:t xml:space="preserve">[28]	S. Raschka, “Model evaluation, model selection, and algorithm selection in machine learning,” arXiv:1811.12808, 2018.</w:t>
      </w:r>
    </w:p>
    <w:p>
      <w:pPr>
        <w:spacing w:after="40" w:before="0"/>
        <w:ind w:left="360" w:hanging="360"/>
      </w:pPr>
      <w:r>
        <w:rPr>
          <w:rFonts w:ascii="Times New Roman" w:cs="Times New Roman" w:eastAsia="Times New Roman" w:hAnsi="Times New Roman"/>
          <w:sz w:val="18"/>
          <w:szCs w:val="18"/>
        </w:rPr>
        <w:t xml:space="preserve">[29]	A. C. Davison and D. V. Hinkley, “Bootstrap Methods and Their Application,” Cambridge University Press, 1997.</w:t>
      </w:r>
    </w:p>
    <w:p>
      <w:pPr>
        <w:spacing w:after="40" w:before="0"/>
        <w:ind w:left="360" w:hanging="360"/>
      </w:pPr>
      <w:r>
        <w:rPr>
          <w:rFonts w:ascii="Times New Roman" w:cs="Times New Roman" w:eastAsia="Times New Roman" w:hAnsi="Times New Roman"/>
          <w:sz w:val="18"/>
          <w:szCs w:val="18"/>
        </w:rPr>
        <w:t xml:space="preserve">[30]	D. A. Cieslak and N. V. Chawla, “Learning decision trees for unbalanced data,” in Proc. ECML PKDD, 2008, pp. 241–256.</w:t>
      </w:r>
    </w:p>
    <w:p>
      <w:pPr>
        <w:sectPr>
          <w:type w:val="continuous"/>
          <w:pgSz w:w="12240" w:h="15840" w:orient="portrait"/>
          <w:pgMar w:top="1080" w:right="1080" w:bottom="1080" w:left="1080" w:header="708" w:footer="708" w:gutter="0"/>
          <w:pgNumType/>
          <w:cols w:space="720" w:num="2" w:equalWidth="true"/>
          <w:docGrid w:linePitch="360"/>
        </w:sectPr>
      </w:pPr>
    </w:p>
    <w:p>
      <w:pPr>
        <w:spacing w:after="60" w:before="0"/>
        <w:jc w:val="center"/>
      </w:pPr>
      <w:r>
        <w:rPr>
          <w:rFonts w:ascii="Times New Roman" w:cs="Times New Roman" w:eastAsia="Times New Roman" w:hAnsi="Times New Roman"/>
          <w:b/>
          <w:bCs/>
          <w:caps/>
          <w:sz w:val="24"/>
          <w:szCs w:val="24"/>
        </w:rPr>
        <w:t xml:space="preserve">ANNEXES</w:t>
      </w:r>
    </w:p>
    <w:p>
      <w:pPr>
        <w:spacing w:after="240"/>
        <w:jc w:val="center"/>
      </w:pPr>
      <w:r>
        <w:rPr>
          <w:rFonts w:ascii="Times New Roman" w:cs="Times New Roman" w:eastAsia="Times New Roman" w:hAnsi="Times New Roman"/>
          <w:i/>
          <w:iCs/>
          <w:sz w:val="18"/>
          <w:szCs w:val="18"/>
        </w:rPr>
        <w:t xml:space="preserve">Note: Supplementary Tables S1–S4 (per-feature K-S statistics, per-feature DR decompositions) are available at: https://github.com/MalikAdeel-Hull/Population-Drift</w:t>
      </w:r>
    </w:p>
    <w:p>
      <w:pPr>
        <w:spacing w:after="80" w:before="120"/>
        <w:jc w:val="center"/>
      </w:pPr>
      <w:r>
        <w:rPr>
          <w:rFonts w:ascii="Times New Roman" w:cs="Times New Roman" w:eastAsia="Times New Roman" w:hAnsi="Times New Roman"/>
          <w:b/>
          <w:bCs/>
          <w:sz w:val="20"/>
          <w:szCs w:val="20"/>
        </w:rPr>
        <w:t xml:space="preserve">TABLE I. Dataset Characteristics and Drift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gridCol w:w="1560"/>
      </w:tblGrid>
      <w:tr>
        <w:tc>
          <w:tcPr>
            <w:tcW w:type="dxa" w:w="18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Characteristic</w:t>
            </w:r>
          </w:p>
        </w:tc>
        <w:tc>
          <w:tcPr>
            <w:tcW w:type="dxa" w:w="1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Pima Training (n=537)</w:t>
            </w:r>
          </w:p>
        </w:tc>
        <w:tc>
          <w:tcPr>
            <w:tcW w:type="dxa" w:w="1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Pima Test (n=231)</w:t>
            </w:r>
          </w:p>
        </w:tc>
        <w:tc>
          <w:tcPr>
            <w:tcW w:type="dxa" w:w="1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FHGD Training (n=623)</w:t>
            </w:r>
          </w:p>
        </w:tc>
        <w:tc>
          <w:tcPr>
            <w:tcW w:type="dxa" w:w="1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FHGD Test (n=267)</w:t>
            </w:r>
          </w:p>
        </w:tc>
        <w:tc>
          <w:tcPr>
            <w:tcW w:type="dxa" w:w="15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Drift Levels (α)</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Positive prevalence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34.8%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34.6%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28.9%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28.8%</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Age, mean ± SD (yrs)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33.2 ± 11.8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33.0 ± 11.6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44.1 ± 13.2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43.9 ± 13.0</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BMI, mean ± SD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32.0 ± 7.9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31.9 ± 7.8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28.4 ± 5.6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28.3 ± 5.5</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Gradual drift α levels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10%, 25%, 40%</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Abrupt drift (δ, σ)</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δ=0.4, σ=1.5</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Partition method</w:t>
            </w:r>
          </w:p>
        </w:tc>
        <w:tc>
          <w:tcPr>
            <w:tcW w:type="dxa" w:w="7560"/>
            <w:gridSpan w:val="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Chronological 70/30 (leak-free)</w:t>
            </w:r>
          </w:p>
        </w:tc>
      </w:tr>
    </w:tbl>
    <w:p>
      <w:pPr>
        <w:spacing w:after="200" w:before="0"/>
      </w:pPr>
    </w:p>
    <w:p>
      <w:pPr>
        <w:spacing w:after="80" w:before="120"/>
        <w:jc w:val="center"/>
      </w:pPr>
      <w:r>
        <w:rPr>
          <w:rFonts w:ascii="Times New Roman" w:cs="Times New Roman" w:eastAsia="Times New Roman" w:hAnsi="Times New Roman"/>
          <w:b/>
          <w:bCs/>
          <w:sz w:val="20"/>
          <w:szCs w:val="20"/>
        </w:rPr>
        <w:t xml:space="preserve">TABLE II. Hyperparameter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4860"/>
      </w:tblGrid>
      <w:tr>
        <w:tc>
          <w:tcPr>
            <w:tcW w:type="dxa" w:w="2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Algorithm</w:t>
            </w:r>
          </w:p>
        </w:tc>
        <w:tc>
          <w:tcPr>
            <w:tcW w:type="dxa" w:w="23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Parameter</w:t>
            </w:r>
          </w:p>
        </w:tc>
        <w:tc>
          <w:tcPr>
            <w:tcW w:type="dxa" w:w="48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Value / Rationale</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OCSVM</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Kernel</w:t>
            </w:r>
          </w:p>
        </w:tc>
        <w:tc>
          <w:tcPr>
            <w:tcW w:type="dxa" w:w="4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RBF — captures non-linear feature boundaries in medical data</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nu</w:t>
            </w:r>
          </w:p>
        </w:tc>
        <w:tc>
          <w:tcPr>
            <w:tcW w:type="dxa" w:w="4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0.05 — upper bound on training anomaly fraction</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gamma</w:t>
            </w:r>
          </w:p>
        </w:tc>
        <w:tc>
          <w:tcPr>
            <w:tcW w:type="dxa" w:w="4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'scale' — 1/(n_features × X.var()) for adaptive scaling</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Isolation Forest</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n_estimators</w:t>
            </w:r>
          </w:p>
        </w:tc>
        <w:tc>
          <w:tcPr>
            <w:tcW w:type="dxa" w:w="4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100 — standard ensemble size for stable variance estimates</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contamination</w:t>
            </w:r>
          </w:p>
        </w:tc>
        <w:tc>
          <w:tcPr>
            <w:tcW w:type="dxa" w:w="4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0.05 — matched to baseline anomaly assumption (= OCSVM nu)</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max_samples</w:t>
            </w:r>
          </w:p>
        </w:tc>
        <w:tc>
          <w:tcPr>
            <w:tcW w:type="dxa" w:w="4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'auto' — min(256, n_samples) for computational efficiency</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Shared</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random_state</w:t>
            </w:r>
          </w:p>
        </w:tc>
        <w:tc>
          <w:tcPr>
            <w:tcW w:type="dxa" w:w="4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42 — fixed seed for full reproducibility</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Preprocessing</w:t>
            </w:r>
          </w:p>
        </w:tc>
        <w:tc>
          <w:tcPr>
            <w:tcW w:type="dxa" w:w="4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StandardScaler fitted on training partition only (leak-free)</w:t>
            </w:r>
          </w:p>
        </w:tc>
      </w:tr>
    </w:tbl>
    <w:p>
      <w:pPr>
        <w:spacing w:after="200" w:before="0"/>
      </w:pPr>
    </w:p>
    <w:p>
      <w:pPr>
        <w:spacing w:after="80" w:before="120"/>
        <w:jc w:val="center"/>
      </w:pPr>
      <w:r>
        <w:rPr>
          <w:rFonts w:ascii="Times New Roman" w:cs="Times New Roman" w:eastAsia="Times New Roman" w:hAnsi="Times New Roman"/>
          <w:b/>
          <w:bCs/>
          <w:sz w:val="20"/>
          <w:szCs w:val="20"/>
        </w:rPr>
        <w:t xml:space="preserve">TABLE III. K-S Validation Summary (All 32 Feature-Scenario Comparisons)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900"/>
        <w:gridCol w:w="1860"/>
      </w:tblGrid>
      <w:tr>
        <w:tc>
          <w:tcPr>
            <w:tcW w:type="dxa" w:w="2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Drift Scenario</w:t>
            </w:r>
          </w:p>
        </w:tc>
        <w:tc>
          <w:tcPr>
            <w:tcW w:type="dxa" w:w="18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Dataset</w:t>
            </w:r>
          </w:p>
        </w:tc>
        <w:tc>
          <w:tcPr>
            <w:tcW w:type="dxa" w:w="18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Features Tested</w:t>
            </w:r>
          </w:p>
        </w:tc>
        <w:tc>
          <w:tcPr>
            <w:tcW w:type="dxa" w:w="1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Significant (p&lt;0.05)</w:t>
            </w:r>
          </w:p>
        </w:tc>
        <w:tc>
          <w:tcPr>
            <w:tcW w:type="dxa" w:w="18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Min p-value</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Gradual 10%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Pima</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8/8 (100%)</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&lt;0.001</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Gradual 10%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FHGD</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8/8 (100%)</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&lt;0.001</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Gradual 25%</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Pima</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8/8 (100%)</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&lt;0.001</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Gradual 25%</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FHGD</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8/8 (100%)</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&lt;0.001</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Gradual 40%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Pima</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8/8 (100%)</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&lt;0.001</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Gradual 40%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FHGD</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8/8 (100%)</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&lt;0.001</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Abrupt affine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Pima</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8/8 (100%)</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&lt;0.001</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Abrupt affine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FHGD</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8/8 (100%)</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&lt;0.001</w:t>
            </w:r>
          </w:p>
        </w:tc>
      </w:tr>
      <w:tr>
        <w:tc>
          <w:tcPr>
            <w:tcW w:type="dxa" w:w="380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TOTAL (all 4 scenarios)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32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32/32 (100%)</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18"/>
                <w:szCs w:val="18"/>
              </w:rPr>
              <w:t xml:space="preserve">&lt;0.001</w:t>
            </w:r>
          </w:p>
        </w:tc>
      </w:tr>
    </w:tbl>
    <w:p>
      <w:pPr>
        <w:spacing w:after="200" w:before="0"/>
      </w:pPr>
    </w:p>
    <w:p>
      <w:pPr>
        <w:spacing w:after="80" w:before="120"/>
        <w:jc w:val="center"/>
      </w:pPr>
      <w:r>
        <w:rPr>
          <w:rFonts w:ascii="Times New Roman" w:cs="Times New Roman" w:eastAsia="Times New Roman" w:hAnsi="Times New Roman"/>
          <w:b/>
          <w:bCs/>
          <w:sz w:val="20"/>
          <w:szCs w:val="20"/>
        </w:rPr>
        <w:t xml:space="preserve">TABLE IV. Algorithm Recommendation Matrix for Clinical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Drift Characteristic</w:t>
            </w:r>
          </w:p>
        </w:tc>
        <w:tc>
          <w:tcPr>
            <w:tcW w:type="dxa" w:w="24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Recommended Algorithm</w:t>
            </w:r>
          </w:p>
        </w:tc>
        <w:tc>
          <w:tcPr>
            <w:tcW w:type="dxa" w:w="24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Key Evidence</w:t>
            </w:r>
          </w:p>
        </w:tc>
        <w:tc>
          <w:tcPr>
            <w:tcW w:type="dxa" w:w="23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Clinical Context</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Gradual multivariate (covariate shift)</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Isolation Forest</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DR 4.40× (Pima, α=40%); DR 2.91× (FHGD, α=40%)</w:t>
            </w:r>
          </w:p>
        </w:tc>
        <w:tc>
          <w:tcPr>
            <w:tcW w:type="dxa" w:w="2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Long-term deployed models experiencing slow demographic or seasonal drift</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Abrupt affine shift (distribution remapping)</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OCSVM (RBF)</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DR 3.18× (FHGD abrupt); superior boundary sensitivity</w:t>
            </w:r>
          </w:p>
        </w:tc>
        <w:tc>
          <w:tcPr>
            <w:tcW w:type="dxa" w:w="2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Post-update or hardware-change events causing sudden measurement shifts</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Univariate monitoring (single-feature checks)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Both (equivalent)</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DR ≈1.0× across both datasets — no meaningful separation</w:t>
            </w:r>
          </w:p>
        </w:tc>
        <w:tc>
          <w:tcPr>
            <w:tcW w:type="dxa" w:w="2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Feature-level audits; multivariate approach preferred for system-level monitoring</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Unknown drift type (deploy blind)</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Isolation Forest (default)</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Broader DR advantage across gradual scenarios; robust to contamination parameter choice</w:t>
            </w:r>
          </w:p>
        </w:tc>
        <w:tc>
          <w:tcPr>
            <w:tcW w:type="dxa" w:w="2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Initial deployment with no prior drift characterisation</w:t>
            </w:r>
          </w:p>
        </w:tc>
      </w:tr>
    </w:tbl>
    <w:p>
      <w:pPr>
        <w:spacing w:after="200" w:before="0"/>
      </w:pPr>
    </w:p>
    <w:p>
      <w:pPr>
        <w:pBdr>
          <w:bottom w:val="single" w:color="000000" w:sz="4" w:space="1"/>
        </w:pBdr>
        <w:spacing w:after="60" w:before="60"/>
      </w:pPr>
    </w:p>
    <w:p>
      <w:pPr>
        <w:spacing w:after="60" w:before="60"/>
        <w:jc w:val="center"/>
      </w:pPr>
      <w:r>
        <w:rPr>
          <w:rFonts w:ascii="Times New Roman" w:cs="Times New Roman" w:eastAsia="Times New Roman" w:hAnsi="Times New Roman"/>
          <w:i/>
          <w:iCs/>
          <w:color w:val="808080"/>
          <w:sz w:val="18"/>
          <w:szCs w:val="18"/>
        </w:rPr>
        <w:t xml:space="preserve">Insert Figures 1–6 above their respective legends in the two-column body. High-resolution versions of all figures (300 dpi, PNG/EPS) are available at https://github.com/MalikAdeel-Hull/Population-Drift</w:t>
      </w:r>
    </w:p>
    <w:sectPr>
      <w:type w:val="nextPage"/>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2026-05-16T20:45:26.767Z</dcterms:created>
  <dcterms:modified xsi:type="dcterms:W3CDTF">2026-05-16T20:45:26.767Z</dcterms:modified>
</cp:coreProperties>
</file>

<file path=docProps/custom.xml><?xml version="1.0" encoding="utf-8"?>
<Properties xmlns="http://schemas.openxmlformats.org/officeDocument/2006/custom-properties" xmlns:vt="http://schemas.openxmlformats.org/officeDocument/2006/docPropsVTypes"/>
</file>