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3F1A10" w:rsidRPr="004415E2" w:rsidTr="00D76388">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1A10" w:rsidRPr="004415E2" w:rsidRDefault="003F1A10" w:rsidP="00D76388">
            <w:pPr>
              <w:rPr>
                <w:rFonts w:ascii="Times New Roman" w:hAnsi="Times New Roman" w:cs="Times New Roman"/>
                <w:b/>
                <w:sz w:val="24"/>
                <w:szCs w:val="24"/>
              </w:rPr>
            </w:pPr>
            <w:r w:rsidRPr="004415E2">
              <w:rPr>
                <w:rFonts w:ascii="Times New Roman" w:hAnsi="Times New Roman" w:cs="Times New Roman"/>
                <w:b/>
                <w:sz w:val="24"/>
                <w:szCs w:val="24"/>
              </w:rPr>
              <w:t>WASH ASSIGNMENT 6-READY</w:t>
            </w:r>
          </w:p>
        </w:tc>
      </w:tr>
    </w:tbl>
    <w:p w:rsidR="003F1A10" w:rsidRPr="004415E2" w:rsidRDefault="0062761A" w:rsidP="0062761A">
      <w:pPr>
        <w:tabs>
          <w:tab w:val="left" w:pos="2415"/>
        </w:tabs>
        <w:rPr>
          <w:rFonts w:ascii="Times New Roman" w:hAnsi="Times New Roman" w:cs="Times New Roman"/>
          <w:sz w:val="24"/>
          <w:szCs w:val="24"/>
        </w:rPr>
      </w:pPr>
      <w:r w:rsidRPr="004415E2">
        <w:rPr>
          <w:rFonts w:ascii="Times New Roman" w:hAnsi="Times New Roman" w:cs="Times New Roman"/>
          <w:sz w:val="24"/>
          <w:szCs w:val="24"/>
        </w:rPr>
        <w:tab/>
      </w:r>
    </w:p>
    <w:p w:rsidR="003F1A10" w:rsidRPr="004415E2" w:rsidRDefault="003F1A10" w:rsidP="003F1A10">
      <w:pPr>
        <w:rPr>
          <w:rFonts w:ascii="Times New Roman" w:hAnsi="Times New Roman" w:cs="Times New Roman"/>
          <w:b/>
          <w:sz w:val="24"/>
          <w:szCs w:val="24"/>
        </w:rPr>
      </w:pPr>
      <w:r w:rsidRPr="004415E2">
        <w:rPr>
          <w:rFonts w:ascii="Times New Roman" w:hAnsi="Times New Roman" w:cs="Times New Roman"/>
          <w:b/>
          <w:sz w:val="24"/>
          <w:szCs w:val="24"/>
        </w:rPr>
        <w:t>COURSE TITLE: POST GRADUATE DIPLOMA IN WATER, HYGIENE &amp; SANITATION.</w:t>
      </w:r>
    </w:p>
    <w:p w:rsidR="003F1A10" w:rsidRPr="004415E2" w:rsidRDefault="003F1A10" w:rsidP="003F1A10">
      <w:pPr>
        <w:rPr>
          <w:rFonts w:ascii="Times New Roman" w:hAnsi="Times New Roman" w:cs="Times New Roman"/>
          <w:b/>
          <w:sz w:val="24"/>
          <w:szCs w:val="24"/>
        </w:rPr>
      </w:pPr>
    </w:p>
    <w:p w:rsidR="003F1A10" w:rsidRPr="004415E2" w:rsidRDefault="003F1A10" w:rsidP="003F1A10">
      <w:pPr>
        <w:rPr>
          <w:rFonts w:ascii="Times New Roman" w:hAnsi="Times New Roman" w:cs="Times New Roman"/>
          <w:b/>
          <w:sz w:val="24"/>
          <w:szCs w:val="24"/>
        </w:rPr>
      </w:pPr>
      <w:r w:rsidRPr="004415E2">
        <w:rPr>
          <w:rFonts w:ascii="Times New Roman" w:hAnsi="Times New Roman" w:cs="Times New Roman"/>
          <w:b/>
          <w:sz w:val="24"/>
          <w:szCs w:val="24"/>
        </w:rPr>
        <w:t>STUDENT NAME: JAMES MARIK LUETH.</w:t>
      </w:r>
    </w:p>
    <w:p w:rsidR="003F1A10" w:rsidRPr="004415E2" w:rsidRDefault="003F1A10" w:rsidP="003F1A10">
      <w:pPr>
        <w:rPr>
          <w:rFonts w:ascii="Times New Roman" w:hAnsi="Times New Roman" w:cs="Times New Roman"/>
          <w:b/>
          <w:sz w:val="24"/>
          <w:szCs w:val="24"/>
        </w:rPr>
      </w:pPr>
    </w:p>
    <w:p w:rsidR="003F1A10" w:rsidRPr="004415E2" w:rsidRDefault="003F1A10" w:rsidP="003F1A10">
      <w:pPr>
        <w:rPr>
          <w:rFonts w:ascii="Times New Roman" w:hAnsi="Times New Roman" w:cs="Times New Roman"/>
          <w:b/>
          <w:sz w:val="24"/>
          <w:szCs w:val="24"/>
        </w:rPr>
      </w:pPr>
      <w:proofErr w:type="gramStart"/>
      <w:r w:rsidRPr="004415E2">
        <w:rPr>
          <w:rFonts w:ascii="Times New Roman" w:hAnsi="Times New Roman" w:cs="Times New Roman"/>
          <w:b/>
          <w:sz w:val="24"/>
          <w:szCs w:val="24"/>
        </w:rPr>
        <w:t>Aimps/226/2019.</w:t>
      </w:r>
      <w:proofErr w:type="gramEnd"/>
    </w:p>
    <w:p w:rsidR="003F1A10" w:rsidRPr="004415E2" w:rsidRDefault="003F1A10" w:rsidP="003F1A10">
      <w:pPr>
        <w:rPr>
          <w:rFonts w:ascii="Times New Roman" w:hAnsi="Times New Roman" w:cs="Times New Roman"/>
          <w:b/>
          <w:sz w:val="24"/>
          <w:szCs w:val="24"/>
        </w:rPr>
      </w:pPr>
    </w:p>
    <w:p w:rsidR="003F1A10" w:rsidRPr="004415E2" w:rsidRDefault="003F1A10" w:rsidP="003F1A10">
      <w:pPr>
        <w:rPr>
          <w:rFonts w:ascii="Times New Roman" w:hAnsi="Times New Roman" w:cs="Times New Roman"/>
          <w:b/>
          <w:sz w:val="24"/>
          <w:szCs w:val="24"/>
        </w:rPr>
      </w:pPr>
    </w:p>
    <w:p w:rsidR="003F1A10" w:rsidRPr="004415E2" w:rsidRDefault="003F1A10" w:rsidP="003F1A10">
      <w:pPr>
        <w:rPr>
          <w:rFonts w:ascii="Times New Roman" w:hAnsi="Times New Roman" w:cs="Times New Roman"/>
          <w:b/>
          <w:sz w:val="24"/>
          <w:szCs w:val="24"/>
        </w:rPr>
      </w:pPr>
      <w:r w:rsidRPr="004415E2">
        <w:rPr>
          <w:rFonts w:ascii="Times New Roman" w:hAnsi="Times New Roman" w:cs="Times New Roman"/>
          <w:b/>
          <w:sz w:val="24"/>
          <w:szCs w:val="24"/>
        </w:rPr>
        <w:t>30 SEPT. 2019.</w:t>
      </w: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3F1A10" w:rsidRPr="004415E2" w:rsidRDefault="003F1A10" w:rsidP="003F1A10">
      <w:pPr>
        <w:rPr>
          <w:rFonts w:ascii="Times New Roman" w:hAnsi="Times New Roman" w:cs="Times New Roman"/>
          <w:sz w:val="24"/>
          <w:szCs w:val="24"/>
        </w:rPr>
      </w:pPr>
    </w:p>
    <w:p w:rsidR="00500A9F" w:rsidRPr="004415E2" w:rsidRDefault="00500A9F" w:rsidP="003F1A10">
      <w:pPr>
        <w:rPr>
          <w:rFonts w:ascii="Times New Roman" w:hAnsi="Times New Roman" w:cs="Times New Roman"/>
          <w:sz w:val="24"/>
          <w:szCs w:val="24"/>
        </w:rPr>
      </w:pPr>
    </w:p>
    <w:p w:rsidR="00500A9F" w:rsidRPr="004415E2" w:rsidRDefault="00500A9F" w:rsidP="003F1A10">
      <w:pPr>
        <w:rPr>
          <w:rFonts w:ascii="Times New Roman" w:hAnsi="Times New Roman" w:cs="Times New Roman"/>
          <w:sz w:val="24"/>
          <w:szCs w:val="24"/>
        </w:rPr>
      </w:pPr>
    </w:p>
    <w:p w:rsidR="00500A9F" w:rsidRPr="004415E2" w:rsidRDefault="00500A9F" w:rsidP="003F1A10">
      <w:pPr>
        <w:rPr>
          <w:rFonts w:ascii="Times New Roman" w:hAnsi="Times New Roman" w:cs="Times New Roman"/>
          <w:sz w:val="24"/>
          <w:szCs w:val="24"/>
        </w:rPr>
      </w:pPr>
    </w:p>
    <w:p w:rsidR="00500A9F" w:rsidRPr="004415E2" w:rsidRDefault="00500A9F" w:rsidP="003F1A10">
      <w:pPr>
        <w:rPr>
          <w:rFonts w:ascii="Times New Roman" w:hAnsi="Times New Roman" w:cs="Times New Roman"/>
          <w:sz w:val="24"/>
          <w:szCs w:val="24"/>
        </w:rPr>
      </w:pPr>
    </w:p>
    <w:p w:rsidR="00500A9F" w:rsidRPr="004415E2" w:rsidRDefault="00500A9F" w:rsidP="0062761A">
      <w:pPr>
        <w:ind w:left="360"/>
        <w:rPr>
          <w:rFonts w:ascii="Times New Roman" w:hAnsi="Times New Roman" w:cs="Times New Roman"/>
          <w:sz w:val="24"/>
          <w:szCs w:val="24"/>
        </w:rPr>
      </w:pPr>
    </w:p>
    <w:p w:rsidR="00500A9F" w:rsidRPr="004415E2" w:rsidRDefault="00500A9F" w:rsidP="003F1A10">
      <w:pPr>
        <w:rPr>
          <w:rFonts w:ascii="Times New Roman" w:hAnsi="Times New Roman" w:cs="Times New Roman"/>
          <w:sz w:val="24"/>
          <w:szCs w:val="24"/>
        </w:rPr>
      </w:pPr>
    </w:p>
    <w:p w:rsidR="00500A9F" w:rsidRPr="004415E2" w:rsidRDefault="00500A9F" w:rsidP="00500A9F">
      <w:pPr>
        <w:numPr>
          <w:ilvl w:val="0"/>
          <w:numId w:val="1"/>
        </w:numPr>
        <w:spacing w:before="120" w:after="0" w:line="360" w:lineRule="auto"/>
        <w:contextualSpacing/>
        <w:rPr>
          <w:rFonts w:ascii="Times New Roman" w:eastAsia="Calibri" w:hAnsi="Times New Roman" w:cs="Times New Roman"/>
          <w:sz w:val="24"/>
          <w:szCs w:val="24"/>
          <w:lang w:val="en-GB"/>
        </w:rPr>
      </w:pPr>
      <w:r w:rsidRPr="004415E2">
        <w:rPr>
          <w:rFonts w:ascii="Times New Roman" w:eastAsia="Calibri" w:hAnsi="Times New Roman" w:cs="Times New Roman"/>
          <w:sz w:val="24"/>
          <w:szCs w:val="24"/>
          <w:lang w:val="en-GB"/>
        </w:rPr>
        <w:lastRenderedPageBreak/>
        <w:t>Explain four examples of potential benefits and four examples of possible drawbacks from public–private partnerships in urban sanitation and waste management.</w:t>
      </w:r>
    </w:p>
    <w:p w:rsidR="00500A9F" w:rsidRPr="004415E2" w:rsidRDefault="00500A9F" w:rsidP="003F1A10">
      <w:pPr>
        <w:rPr>
          <w:rFonts w:ascii="Times New Roman" w:hAnsi="Times New Roman" w:cs="Times New Roman"/>
          <w:sz w:val="24"/>
          <w:szCs w:val="24"/>
        </w:rPr>
      </w:pPr>
      <w:r w:rsidRPr="004415E2">
        <w:rPr>
          <w:rFonts w:ascii="Times New Roman" w:hAnsi="Times New Roman" w:cs="Times New Roman"/>
          <w:sz w:val="24"/>
          <w:szCs w:val="24"/>
        </w:rPr>
        <w:t>QN1. A public –private partnership is any collaboration between public bodies, such as a municipality or even the government, and private companies in the water supply/dis</w:t>
      </w:r>
      <w:r w:rsidR="00987C01" w:rsidRPr="004415E2">
        <w:rPr>
          <w:rFonts w:ascii="Times New Roman" w:hAnsi="Times New Roman" w:cs="Times New Roman"/>
          <w:sz w:val="24"/>
          <w:szCs w:val="24"/>
        </w:rPr>
        <w:t>tribution system, urban sanitation and waste management.</w:t>
      </w:r>
      <w:r w:rsidRPr="004415E2">
        <w:rPr>
          <w:rFonts w:ascii="Times New Roman" w:hAnsi="Times New Roman" w:cs="Times New Roman"/>
          <w:sz w:val="24"/>
          <w:szCs w:val="24"/>
        </w:rPr>
        <w:t xml:space="preserve"> The belief is that private companies are some efficient and better run than bureaucratic public bodies, and the management skills and financial acumen that they bring will create better value for money for customers. The incentive for the private companies is the profit that can be generated. PPPs have become popular, to the extent that the number of people served by private water operators in developing and former Communist countries increased from 94 million in 2000 to more than 160 million in 2007 (Marin, 2009).</w:t>
      </w:r>
      <w:r w:rsidR="0062761A" w:rsidRPr="004415E2">
        <w:rPr>
          <w:rFonts w:ascii="Times New Roman" w:hAnsi="Times New Roman" w:cs="Times New Roman"/>
          <w:sz w:val="24"/>
          <w:szCs w:val="24"/>
        </w:rPr>
        <w:t xml:space="preserve"> The following are some of the potential benefits from the public-private partnerships in urban sanitation and waste management.</w:t>
      </w:r>
    </w:p>
    <w:p w:rsidR="00A74C2C" w:rsidRPr="004415E2" w:rsidRDefault="00A74C2C" w:rsidP="00A74C2C">
      <w:pPr>
        <w:pStyle w:val="Bulletlist"/>
        <w:numPr>
          <w:ilvl w:val="0"/>
          <w:numId w:val="0"/>
        </w:numPr>
        <w:rPr>
          <w:sz w:val="24"/>
          <w:szCs w:val="24"/>
        </w:rPr>
      </w:pPr>
      <w:r w:rsidRPr="004415E2">
        <w:rPr>
          <w:sz w:val="24"/>
          <w:szCs w:val="24"/>
        </w:rPr>
        <w:t>They can be more efficient and provide a better service because private companies are motivated by the potential profits.</w:t>
      </w:r>
    </w:p>
    <w:p w:rsidR="00A74C2C" w:rsidRPr="004415E2" w:rsidRDefault="00A74C2C" w:rsidP="00A74C2C">
      <w:pPr>
        <w:pStyle w:val="Bulletlist"/>
        <w:numPr>
          <w:ilvl w:val="0"/>
          <w:numId w:val="0"/>
        </w:numPr>
        <w:rPr>
          <w:sz w:val="24"/>
          <w:szCs w:val="24"/>
        </w:rPr>
      </w:pPr>
      <w:r w:rsidRPr="004415E2">
        <w:rPr>
          <w:sz w:val="24"/>
          <w:szCs w:val="24"/>
        </w:rPr>
        <w:t xml:space="preserve">Private companies can be specialists in the service area and have access to expert knowledge and special equipment. </w:t>
      </w:r>
    </w:p>
    <w:p w:rsidR="00A74C2C" w:rsidRPr="004415E2" w:rsidRDefault="00A74C2C" w:rsidP="00A74C2C">
      <w:pPr>
        <w:pStyle w:val="Bulletlist"/>
        <w:numPr>
          <w:ilvl w:val="0"/>
          <w:numId w:val="0"/>
        </w:numPr>
        <w:rPr>
          <w:sz w:val="24"/>
          <w:szCs w:val="24"/>
        </w:rPr>
      </w:pPr>
      <w:r w:rsidRPr="004415E2">
        <w:rPr>
          <w:sz w:val="24"/>
          <w:szCs w:val="24"/>
        </w:rPr>
        <w:t>They may be able to access funds that are not available to government offices.</w:t>
      </w:r>
    </w:p>
    <w:p w:rsidR="00A74C2C" w:rsidRPr="004415E2" w:rsidRDefault="0062761A" w:rsidP="00A74C2C">
      <w:pPr>
        <w:pStyle w:val="Bulletlist"/>
        <w:numPr>
          <w:ilvl w:val="0"/>
          <w:numId w:val="0"/>
        </w:numPr>
        <w:rPr>
          <w:sz w:val="24"/>
          <w:szCs w:val="24"/>
        </w:rPr>
      </w:pPr>
      <w:r w:rsidRPr="004415E2">
        <w:rPr>
          <w:sz w:val="24"/>
          <w:szCs w:val="24"/>
        </w:rPr>
        <w:t>Manufacture of latrine slabs; digging latrine pits and building the superstructure; emptying latrines; operating public latrines; setting up and operating handwashing facilities; collecting recyclable materials from households and taking them to merchants; composting organic wastes and latrines sludge and selling the compost. Private sector operators become eligible to obtain permits to take part in waste collection, transport and treatment.</w:t>
      </w:r>
      <w:r w:rsidR="00A74C2C" w:rsidRPr="004415E2">
        <w:rPr>
          <w:sz w:val="24"/>
          <w:szCs w:val="24"/>
        </w:rPr>
        <w:t xml:space="preserve"> </w:t>
      </w:r>
    </w:p>
    <w:p w:rsidR="00A74C2C" w:rsidRPr="004415E2" w:rsidRDefault="00A74C2C" w:rsidP="003F1A10">
      <w:pPr>
        <w:rPr>
          <w:rFonts w:ascii="Times New Roman" w:hAnsi="Times New Roman" w:cs="Times New Roman"/>
          <w:sz w:val="24"/>
          <w:szCs w:val="24"/>
        </w:rPr>
      </w:pPr>
    </w:p>
    <w:p w:rsidR="0062761A" w:rsidRPr="004415E2" w:rsidRDefault="0062761A" w:rsidP="003F1A10">
      <w:pPr>
        <w:rPr>
          <w:rFonts w:ascii="Times New Roman" w:hAnsi="Times New Roman" w:cs="Times New Roman"/>
          <w:sz w:val="24"/>
          <w:szCs w:val="24"/>
        </w:rPr>
      </w:pPr>
      <w:r w:rsidRPr="004415E2">
        <w:rPr>
          <w:rFonts w:ascii="Times New Roman" w:hAnsi="Times New Roman" w:cs="Times New Roman"/>
          <w:sz w:val="24"/>
          <w:szCs w:val="24"/>
        </w:rPr>
        <w:t xml:space="preserve">These commercial opportunities range from product design and manufacture through to recovery and reuse of materials and all bring both economic and environmental benefits. In most of the urban and </w:t>
      </w:r>
      <w:proofErr w:type="spellStart"/>
      <w:r w:rsidRPr="004415E2">
        <w:rPr>
          <w:rFonts w:ascii="Times New Roman" w:hAnsi="Times New Roman" w:cs="Times New Roman"/>
          <w:sz w:val="24"/>
          <w:szCs w:val="24"/>
        </w:rPr>
        <w:t>peri</w:t>
      </w:r>
      <w:proofErr w:type="spellEnd"/>
      <w:r w:rsidRPr="004415E2">
        <w:rPr>
          <w:rFonts w:ascii="Times New Roman" w:hAnsi="Times New Roman" w:cs="Times New Roman"/>
          <w:sz w:val="24"/>
          <w:szCs w:val="24"/>
        </w:rPr>
        <w:t>-urban areas of South Sudan, these opportunities are increasingly being taken up by micro- and small enterprises.</w:t>
      </w:r>
    </w:p>
    <w:p w:rsidR="0062761A" w:rsidRPr="004415E2" w:rsidRDefault="0062761A" w:rsidP="0062761A">
      <w:pPr>
        <w:rPr>
          <w:rFonts w:ascii="Times New Roman" w:eastAsia="Calibri" w:hAnsi="Times New Roman" w:cs="Times New Roman"/>
          <w:sz w:val="24"/>
          <w:szCs w:val="24"/>
          <w:lang w:val="en-GB"/>
        </w:rPr>
      </w:pPr>
      <w:r w:rsidRPr="004415E2">
        <w:rPr>
          <w:rFonts w:ascii="Times New Roman" w:hAnsi="Times New Roman" w:cs="Times New Roman"/>
          <w:sz w:val="24"/>
          <w:szCs w:val="24"/>
        </w:rPr>
        <w:t xml:space="preserve">The following are the drawbacks </w:t>
      </w:r>
      <w:r w:rsidRPr="004415E2">
        <w:rPr>
          <w:rFonts w:ascii="Times New Roman" w:eastAsia="Calibri" w:hAnsi="Times New Roman" w:cs="Times New Roman"/>
          <w:sz w:val="24"/>
          <w:szCs w:val="24"/>
          <w:lang w:val="en-GB"/>
        </w:rPr>
        <w:t xml:space="preserve">from public–private partnerships in urban sanitation and waste management. Potential drawbacks include: </w:t>
      </w:r>
    </w:p>
    <w:p w:rsidR="0062761A" w:rsidRPr="004415E2" w:rsidRDefault="0062761A" w:rsidP="0062761A">
      <w:pPr>
        <w:spacing w:before="120" w:after="0" w:line="240" w:lineRule="atLeast"/>
        <w:ind w:left="357" w:hanging="357"/>
        <w:rPr>
          <w:rFonts w:ascii="Times New Roman" w:eastAsia="Calibri" w:hAnsi="Times New Roman" w:cs="Times New Roman"/>
          <w:sz w:val="24"/>
          <w:szCs w:val="24"/>
          <w:lang w:val="en-GB"/>
        </w:rPr>
      </w:pPr>
      <w:r w:rsidRPr="004415E2">
        <w:rPr>
          <w:rFonts w:ascii="Times New Roman" w:eastAsia="Calibri" w:hAnsi="Times New Roman" w:cs="Times New Roman"/>
          <w:sz w:val="24"/>
          <w:szCs w:val="24"/>
          <w:lang w:val="en-GB"/>
        </w:rPr>
        <w:t xml:space="preserve">Seeking higher profits can lead to lower standards. Private companies can ‘walk away’ from a contract if it proves less profitable than they expected, leaving householders without the service. </w:t>
      </w:r>
    </w:p>
    <w:p w:rsidR="0062761A" w:rsidRPr="004415E2" w:rsidRDefault="0062761A" w:rsidP="0062761A">
      <w:pPr>
        <w:spacing w:before="120" w:after="0" w:line="240" w:lineRule="atLeast"/>
        <w:ind w:left="357" w:hanging="357"/>
        <w:rPr>
          <w:rFonts w:ascii="Times New Roman" w:eastAsia="Calibri" w:hAnsi="Times New Roman" w:cs="Times New Roman"/>
          <w:sz w:val="24"/>
          <w:szCs w:val="24"/>
          <w:lang w:val="en-GB"/>
        </w:rPr>
      </w:pPr>
      <w:r w:rsidRPr="004415E2">
        <w:rPr>
          <w:rFonts w:ascii="Times New Roman" w:eastAsia="Calibri" w:hAnsi="Times New Roman" w:cs="Times New Roman"/>
          <w:sz w:val="24"/>
          <w:szCs w:val="24"/>
          <w:lang w:val="en-GB"/>
        </w:rPr>
        <w:t>The risk of a monopoly situation developing, so that there is no alternative to one particular service provider – who can then increase prices and/or reduce standards without fear of losing the contract.</w:t>
      </w:r>
    </w:p>
    <w:p w:rsidR="00A74C2C" w:rsidRPr="004415E2" w:rsidRDefault="0062761A" w:rsidP="00A74C2C">
      <w:pPr>
        <w:pStyle w:val="Bulletlist"/>
        <w:numPr>
          <w:ilvl w:val="0"/>
          <w:numId w:val="0"/>
        </w:numPr>
        <w:rPr>
          <w:sz w:val="24"/>
          <w:szCs w:val="24"/>
        </w:rPr>
      </w:pPr>
      <w:r w:rsidRPr="004415E2">
        <w:rPr>
          <w:sz w:val="24"/>
          <w:szCs w:val="24"/>
        </w:rPr>
        <w:t>Corruption (bribes paid to inspectors and officials to award contracts to a particular firm or to overlook shortcomings and associated penalties) can happen.</w:t>
      </w:r>
      <w:r w:rsidR="00A74C2C" w:rsidRPr="004415E2">
        <w:rPr>
          <w:sz w:val="24"/>
          <w:szCs w:val="24"/>
        </w:rPr>
        <w:t xml:space="preserve"> </w:t>
      </w:r>
    </w:p>
    <w:p w:rsidR="00A74C2C" w:rsidRPr="004415E2" w:rsidRDefault="00A74C2C" w:rsidP="00A74C2C">
      <w:pPr>
        <w:pStyle w:val="Bulletlist"/>
        <w:numPr>
          <w:ilvl w:val="0"/>
          <w:numId w:val="0"/>
        </w:numPr>
        <w:rPr>
          <w:sz w:val="24"/>
          <w:szCs w:val="24"/>
        </w:rPr>
      </w:pPr>
      <w:r w:rsidRPr="004415E2">
        <w:rPr>
          <w:sz w:val="24"/>
          <w:szCs w:val="24"/>
        </w:rPr>
        <w:lastRenderedPageBreak/>
        <w:t>Private companies may be greedy and more interested in profit than in providing a good service.</w:t>
      </w:r>
    </w:p>
    <w:p w:rsidR="00A74C2C" w:rsidRPr="004415E2" w:rsidRDefault="00A74C2C" w:rsidP="00A74C2C">
      <w:pPr>
        <w:pStyle w:val="Bulletlist"/>
        <w:numPr>
          <w:ilvl w:val="0"/>
          <w:numId w:val="0"/>
        </w:numPr>
        <w:rPr>
          <w:sz w:val="24"/>
          <w:szCs w:val="24"/>
        </w:rPr>
      </w:pPr>
      <w:r w:rsidRPr="004415E2">
        <w:rPr>
          <w:sz w:val="24"/>
          <w:szCs w:val="24"/>
        </w:rPr>
        <w:t>They may not be committed to providing the service over a long period of time and may leave or close down unexpectedly.</w:t>
      </w:r>
    </w:p>
    <w:p w:rsidR="00A74C2C" w:rsidRPr="004415E2" w:rsidRDefault="00A74C2C" w:rsidP="00A74C2C">
      <w:pPr>
        <w:pStyle w:val="Bulletlist"/>
        <w:numPr>
          <w:ilvl w:val="0"/>
          <w:numId w:val="0"/>
        </w:numPr>
        <w:rPr>
          <w:sz w:val="24"/>
          <w:szCs w:val="24"/>
        </w:rPr>
      </w:pPr>
      <w:r w:rsidRPr="004415E2">
        <w:rPr>
          <w:sz w:val="24"/>
          <w:szCs w:val="24"/>
        </w:rPr>
        <w:t xml:space="preserve">If a single company provides a service with no competition they may take advantage of their monopoly by raising prices. </w:t>
      </w:r>
    </w:p>
    <w:p w:rsidR="0062761A" w:rsidRPr="004415E2" w:rsidRDefault="0062761A" w:rsidP="0062761A">
      <w:pPr>
        <w:spacing w:before="120" w:after="0" w:line="240" w:lineRule="atLeast"/>
        <w:ind w:left="357" w:hanging="357"/>
        <w:rPr>
          <w:rFonts w:ascii="Times New Roman" w:eastAsia="Calibri" w:hAnsi="Times New Roman" w:cs="Times New Roman"/>
          <w:sz w:val="24"/>
          <w:szCs w:val="24"/>
          <w:lang w:val="en-GB"/>
        </w:rPr>
      </w:pPr>
    </w:p>
    <w:p w:rsidR="00A74C2C" w:rsidRPr="004415E2" w:rsidRDefault="00A74C2C" w:rsidP="0062761A">
      <w:pPr>
        <w:spacing w:before="120" w:after="0" w:line="240" w:lineRule="atLeast"/>
        <w:ind w:left="357" w:hanging="357"/>
        <w:rPr>
          <w:rFonts w:ascii="Times New Roman" w:eastAsia="Calibri" w:hAnsi="Times New Roman" w:cs="Times New Roman"/>
          <w:sz w:val="24"/>
          <w:szCs w:val="24"/>
          <w:lang w:val="en-GB"/>
        </w:rPr>
      </w:pPr>
    </w:p>
    <w:p w:rsidR="0062761A" w:rsidRPr="004415E2" w:rsidRDefault="0062761A" w:rsidP="0062761A">
      <w:pPr>
        <w:pStyle w:val="ListParagraph"/>
        <w:numPr>
          <w:ilvl w:val="0"/>
          <w:numId w:val="1"/>
        </w:numPr>
        <w:spacing w:before="120" w:after="0" w:line="360" w:lineRule="auto"/>
        <w:rPr>
          <w:rFonts w:ascii="Times New Roman" w:eastAsia="Calibri" w:hAnsi="Times New Roman" w:cs="Times New Roman"/>
          <w:sz w:val="24"/>
          <w:szCs w:val="24"/>
          <w:lang w:val="en-GB"/>
        </w:rPr>
      </w:pPr>
      <w:r w:rsidRPr="004415E2">
        <w:rPr>
          <w:rFonts w:ascii="Times New Roman" w:eastAsia="Calibri" w:hAnsi="Times New Roman" w:cs="Times New Roman"/>
          <w:sz w:val="24"/>
          <w:szCs w:val="24"/>
          <w:lang w:val="en-GB"/>
        </w:rPr>
        <w:t>Briefly describe the main activities needed for planning improvements in sanitation and waste management in local institutions.</w:t>
      </w:r>
    </w:p>
    <w:p w:rsidR="0062761A" w:rsidRPr="004415E2" w:rsidRDefault="0062761A" w:rsidP="0062761A">
      <w:pPr>
        <w:rPr>
          <w:rFonts w:ascii="Times New Roman" w:hAnsi="Times New Roman" w:cs="Times New Roman"/>
          <w:sz w:val="24"/>
          <w:szCs w:val="24"/>
        </w:rPr>
      </w:pPr>
      <w:r w:rsidRPr="004415E2">
        <w:rPr>
          <w:rFonts w:ascii="Times New Roman" w:hAnsi="Times New Roman" w:cs="Times New Roman"/>
          <w:sz w:val="24"/>
          <w:szCs w:val="24"/>
        </w:rPr>
        <w:t>Solid waste management systems are developing in many Ethiopian towns and cities, but there is still considerable scope for improvement. Based on a study of Addis Ababa, Desta et al</w:t>
      </w:r>
      <w:r w:rsidR="00A74C2C" w:rsidRPr="004415E2">
        <w:rPr>
          <w:rFonts w:ascii="Times New Roman" w:hAnsi="Times New Roman" w:cs="Times New Roman"/>
          <w:sz w:val="24"/>
          <w:szCs w:val="24"/>
        </w:rPr>
        <w:t>. (</w:t>
      </w:r>
      <w:r w:rsidRPr="004415E2">
        <w:rPr>
          <w:rFonts w:ascii="Times New Roman" w:hAnsi="Times New Roman" w:cs="Times New Roman"/>
          <w:sz w:val="24"/>
          <w:szCs w:val="24"/>
        </w:rPr>
        <w:t>2014) identified several ways of increasing efficiency including:</w:t>
      </w:r>
    </w:p>
    <w:p w:rsidR="0062761A" w:rsidRPr="004415E2" w:rsidRDefault="0062761A" w:rsidP="0062761A">
      <w:pPr>
        <w:pStyle w:val="Bulletlist"/>
        <w:numPr>
          <w:ilvl w:val="0"/>
          <w:numId w:val="0"/>
        </w:numPr>
        <w:rPr>
          <w:sz w:val="24"/>
          <w:szCs w:val="24"/>
        </w:rPr>
      </w:pPr>
      <w:proofErr w:type="gramStart"/>
      <w:r w:rsidRPr="004415E2">
        <w:rPr>
          <w:sz w:val="24"/>
          <w:szCs w:val="24"/>
          <w:lang w:val="en-US"/>
        </w:rPr>
        <w:t>R</w:t>
      </w:r>
      <w:r w:rsidRPr="004415E2">
        <w:rPr>
          <w:sz w:val="24"/>
          <w:szCs w:val="24"/>
        </w:rPr>
        <w:t>aising awareness of the public health implications of poor waste management.</w:t>
      </w:r>
      <w:proofErr w:type="gramEnd"/>
    </w:p>
    <w:p w:rsidR="0062761A" w:rsidRPr="004415E2" w:rsidRDefault="0062761A" w:rsidP="0062761A">
      <w:pPr>
        <w:pStyle w:val="Bulletlist"/>
        <w:numPr>
          <w:ilvl w:val="0"/>
          <w:numId w:val="0"/>
        </w:numPr>
        <w:rPr>
          <w:sz w:val="24"/>
          <w:szCs w:val="24"/>
        </w:rPr>
      </w:pPr>
      <w:r w:rsidRPr="004415E2">
        <w:rPr>
          <w:sz w:val="24"/>
          <w:szCs w:val="24"/>
        </w:rPr>
        <w:t>Improving planning decisions and the enforcement of regulations</w:t>
      </w:r>
    </w:p>
    <w:p w:rsidR="0062761A" w:rsidRPr="004415E2" w:rsidRDefault="0062761A" w:rsidP="0062761A">
      <w:pPr>
        <w:pStyle w:val="Bulletlist"/>
        <w:numPr>
          <w:ilvl w:val="0"/>
          <w:numId w:val="0"/>
        </w:numPr>
        <w:tabs>
          <w:tab w:val="left" w:pos="5820"/>
        </w:tabs>
        <w:rPr>
          <w:sz w:val="24"/>
          <w:szCs w:val="24"/>
        </w:rPr>
      </w:pPr>
      <w:r w:rsidRPr="004415E2">
        <w:rPr>
          <w:sz w:val="24"/>
          <w:szCs w:val="24"/>
        </w:rPr>
        <w:t xml:space="preserve">Increasing the number of transfer stations at accessible sites </w:t>
      </w:r>
      <w:r w:rsidRPr="004415E2">
        <w:rPr>
          <w:sz w:val="24"/>
          <w:szCs w:val="24"/>
        </w:rPr>
        <w:tab/>
      </w:r>
    </w:p>
    <w:p w:rsidR="0062761A" w:rsidRPr="004415E2" w:rsidRDefault="0062761A" w:rsidP="0062761A">
      <w:pPr>
        <w:pStyle w:val="Bulletlist"/>
        <w:numPr>
          <w:ilvl w:val="0"/>
          <w:numId w:val="0"/>
        </w:numPr>
        <w:rPr>
          <w:sz w:val="24"/>
          <w:szCs w:val="24"/>
        </w:rPr>
      </w:pPr>
      <w:r w:rsidRPr="004415E2">
        <w:rPr>
          <w:sz w:val="24"/>
          <w:szCs w:val="24"/>
        </w:rPr>
        <w:t>Increasing the number of trucks available for transportation</w:t>
      </w:r>
    </w:p>
    <w:p w:rsidR="0062761A" w:rsidRPr="004415E2" w:rsidRDefault="0062761A" w:rsidP="0062761A">
      <w:pPr>
        <w:pStyle w:val="Bulletlist"/>
        <w:numPr>
          <w:ilvl w:val="0"/>
          <w:numId w:val="0"/>
        </w:numPr>
        <w:rPr>
          <w:sz w:val="24"/>
          <w:szCs w:val="24"/>
        </w:rPr>
      </w:pPr>
      <w:r w:rsidRPr="004415E2">
        <w:rPr>
          <w:sz w:val="24"/>
          <w:szCs w:val="24"/>
        </w:rPr>
        <w:t>Promoting compost production from organic waste</w:t>
      </w:r>
    </w:p>
    <w:p w:rsidR="0062761A" w:rsidRPr="004415E2" w:rsidRDefault="0062761A" w:rsidP="0062761A">
      <w:pPr>
        <w:pStyle w:val="Bulletlist"/>
        <w:numPr>
          <w:ilvl w:val="0"/>
          <w:numId w:val="0"/>
        </w:numPr>
        <w:rPr>
          <w:sz w:val="24"/>
          <w:szCs w:val="24"/>
        </w:rPr>
      </w:pPr>
      <w:r w:rsidRPr="004415E2">
        <w:rPr>
          <w:sz w:val="24"/>
          <w:szCs w:val="24"/>
        </w:rPr>
        <w:t>Promoting the separation of waste at the source (household level)</w:t>
      </w:r>
    </w:p>
    <w:p w:rsidR="0062761A" w:rsidRPr="004415E2" w:rsidRDefault="0062761A" w:rsidP="0062761A">
      <w:pPr>
        <w:pStyle w:val="Bulletlist"/>
        <w:numPr>
          <w:ilvl w:val="0"/>
          <w:numId w:val="0"/>
        </w:numPr>
        <w:rPr>
          <w:sz w:val="24"/>
          <w:szCs w:val="24"/>
        </w:rPr>
      </w:pPr>
      <w:proofErr w:type="gramStart"/>
      <w:r w:rsidRPr="004415E2">
        <w:rPr>
          <w:sz w:val="24"/>
          <w:szCs w:val="24"/>
        </w:rPr>
        <w:t>Enhancing the collaboration and participation of the private sector and communities.</w:t>
      </w:r>
      <w:proofErr w:type="gramEnd"/>
    </w:p>
    <w:p w:rsidR="0062761A" w:rsidRPr="004415E2" w:rsidRDefault="0062761A" w:rsidP="0062761A">
      <w:pPr>
        <w:rPr>
          <w:rFonts w:ascii="Times New Roman" w:hAnsi="Times New Roman" w:cs="Times New Roman"/>
          <w:sz w:val="24"/>
          <w:szCs w:val="24"/>
        </w:rPr>
      </w:pPr>
      <w:r w:rsidRPr="004415E2">
        <w:rPr>
          <w:rFonts w:ascii="Times New Roman" w:hAnsi="Times New Roman" w:cs="Times New Roman"/>
          <w:sz w:val="24"/>
          <w:szCs w:val="24"/>
        </w:rPr>
        <w:t xml:space="preserve">To make significant and sustainable progress in solid waste management, an integrated approach that used </w:t>
      </w:r>
      <w:r w:rsidR="00136E3B" w:rsidRPr="004415E2">
        <w:rPr>
          <w:rFonts w:ascii="Times New Roman" w:hAnsi="Times New Roman" w:cs="Times New Roman"/>
          <w:sz w:val="24"/>
          <w:szCs w:val="24"/>
        </w:rPr>
        <w:t>a combination of these methods should be adopted.</w:t>
      </w:r>
    </w:p>
    <w:p w:rsidR="008C0680" w:rsidRPr="004415E2" w:rsidRDefault="008C0680" w:rsidP="0062761A">
      <w:pPr>
        <w:rPr>
          <w:rFonts w:ascii="Times New Roman" w:hAnsi="Times New Roman" w:cs="Times New Roman"/>
          <w:sz w:val="24"/>
          <w:szCs w:val="24"/>
        </w:rPr>
      </w:pPr>
      <w:proofErr w:type="gramStart"/>
      <w:r w:rsidRPr="004415E2">
        <w:rPr>
          <w:rFonts w:ascii="Times New Roman" w:hAnsi="Times New Roman" w:cs="Times New Roman"/>
          <w:sz w:val="24"/>
          <w:szCs w:val="24"/>
        </w:rPr>
        <w:t>Sanitation and waste management as part of institutional framework.</w:t>
      </w:r>
      <w:proofErr w:type="gramEnd"/>
    </w:p>
    <w:p w:rsidR="00D756B5" w:rsidRPr="004415E2" w:rsidRDefault="008C0680"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hAnsi="Times New Roman" w:cs="Times New Roman"/>
          <w:sz w:val="24"/>
          <w:szCs w:val="24"/>
        </w:rPr>
        <w:t xml:space="preserve">Awareness campaigns in the </w:t>
      </w:r>
      <w:r w:rsidR="004063F0" w:rsidRPr="004415E2">
        <w:rPr>
          <w:rFonts w:ascii="Times New Roman" w:hAnsi="Times New Roman" w:cs="Times New Roman"/>
          <w:sz w:val="24"/>
          <w:szCs w:val="24"/>
        </w:rPr>
        <w:t>neighborhoods</w:t>
      </w:r>
      <w:r w:rsidR="00251937" w:rsidRPr="004415E2">
        <w:rPr>
          <w:rFonts w:ascii="Times New Roman" w:hAnsi="Times New Roman" w:cs="Times New Roman"/>
          <w:sz w:val="24"/>
          <w:szCs w:val="24"/>
        </w:rPr>
        <w:t>.</w:t>
      </w:r>
      <w:r w:rsidR="00136E3B" w:rsidRPr="004415E2">
        <w:rPr>
          <w:rFonts w:ascii="Times New Roman" w:hAnsi="Times New Roman" w:cs="Times New Roman"/>
          <w:sz w:val="24"/>
          <w:szCs w:val="24"/>
        </w:rPr>
        <w:t xml:space="preserve"> Healthcare waste management should include;</w:t>
      </w:r>
      <w:r w:rsidR="00136E3B" w:rsidRPr="004415E2">
        <w:rPr>
          <w:rFonts w:ascii="Times New Roman" w:eastAsia="Times New Roman" w:hAnsi="Times New Roman" w:cs="Times New Roman"/>
          <w:sz w:val="24"/>
          <w:szCs w:val="24"/>
          <w:lang w:val="en-GB" w:eastAsia="en-GB"/>
        </w:rPr>
        <w:t xml:space="preserve"> healthcare workers should try to reduce the amount of waste but reducing (or reusing) waste should never be carried out if it compromises patient care or creates any other risk of infection.</w:t>
      </w:r>
    </w:p>
    <w:p w:rsidR="00D756B5" w:rsidRPr="004415E2" w:rsidRDefault="00136E3B"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 Hazardous and non-hazardous waste must be separated and stored separately. </w:t>
      </w:r>
    </w:p>
    <w:p w:rsidR="00D756B5" w:rsidRPr="004415E2" w:rsidRDefault="00D756B5" w:rsidP="00D756B5">
      <w:pPr>
        <w:spacing w:after="0" w:line="240" w:lineRule="auto"/>
        <w:ind w:right="780"/>
        <w:rPr>
          <w:rFonts w:ascii="Times New Roman" w:eastAsia="Times New Roman" w:hAnsi="Times New Roman" w:cs="Times New Roman"/>
          <w:sz w:val="24"/>
          <w:szCs w:val="24"/>
          <w:lang w:val="en-GB" w:eastAsia="en-GB"/>
        </w:rPr>
      </w:pPr>
    </w:p>
    <w:p w:rsidR="00136E3B" w:rsidRPr="004415E2" w:rsidRDefault="00136E3B"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Waste should be separated immediately by the person generating it. The different wastes should be placed in containers with the appropriate colour for that particular type of waste (FMHACA, 2013). The container for each waste type is: </w:t>
      </w:r>
    </w:p>
    <w:p w:rsidR="00136E3B" w:rsidRPr="004415E2" w:rsidRDefault="00136E3B" w:rsidP="00D756B5">
      <w:pPr>
        <w:spacing w:after="0" w:line="240" w:lineRule="auto"/>
        <w:ind w:right="156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Black bins for all non-hazardous waste such as paper, packaging materials, office supplies, drink containers, hand towels, boxes, plastic bottles and food wastes. </w:t>
      </w:r>
    </w:p>
    <w:p w:rsidR="00136E3B" w:rsidRPr="004415E2" w:rsidRDefault="00136E3B" w:rsidP="00D756B5">
      <w:pPr>
        <w:spacing w:after="0" w:line="240" w:lineRule="auto"/>
        <w:ind w:right="156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Yellow bins for infectious waste, w</w:t>
      </w:r>
      <w:r w:rsidR="00D756B5" w:rsidRPr="004415E2">
        <w:rPr>
          <w:rFonts w:ascii="Times New Roman" w:eastAsia="Times New Roman" w:hAnsi="Times New Roman" w:cs="Times New Roman"/>
          <w:sz w:val="24"/>
          <w:szCs w:val="24"/>
          <w:lang w:val="en-GB" w:eastAsia="en-GB"/>
        </w:rPr>
        <w:t xml:space="preserve">hich includes any material that </w:t>
      </w:r>
      <w:r w:rsidRPr="004415E2">
        <w:rPr>
          <w:rFonts w:ascii="Times New Roman" w:eastAsia="Times New Roman" w:hAnsi="Times New Roman" w:cs="Times New Roman"/>
          <w:sz w:val="24"/>
          <w:szCs w:val="24"/>
          <w:lang w:val="en-GB" w:eastAsia="en-GB"/>
        </w:rPr>
        <w:t xml:space="preserve">has been in contact with blood or body fluids such as gauze, dressings and gloves. </w:t>
      </w:r>
    </w:p>
    <w:p w:rsidR="00136E3B" w:rsidRPr="004415E2" w:rsidRDefault="00136E3B" w:rsidP="00D756B5">
      <w:pPr>
        <w:spacing w:after="0" w:line="240" w:lineRule="auto"/>
        <w:ind w:right="156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lastRenderedPageBreak/>
        <w:t xml:space="preserve">Red bins for highly infectious wastes such as anatomical wastes (e.g. teeth, placenta) and pathological wastes (e.g. sputum-containing materials, test tubes containing specimen fluids). </w:t>
      </w:r>
    </w:p>
    <w:p w:rsidR="00D756B5" w:rsidRPr="004415E2" w:rsidRDefault="00136E3B" w:rsidP="00D756B5">
      <w:pPr>
        <w:spacing w:after="0" w:line="240" w:lineRule="auto"/>
        <w:ind w:right="156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A safety box for sharps wastes that have the potential to cause injuries and spread disease, such as needles, scalpels, syringes, blades, and broken glass.</w:t>
      </w:r>
    </w:p>
    <w:p w:rsidR="00136E3B" w:rsidRPr="004415E2" w:rsidRDefault="00136E3B" w:rsidP="00D756B5">
      <w:pPr>
        <w:spacing w:after="0" w:line="240" w:lineRule="auto"/>
        <w:ind w:right="156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 </w:t>
      </w:r>
    </w:p>
    <w:p w:rsidR="00D756B5" w:rsidRPr="004415E2" w:rsidRDefault="00136E3B"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Waste disposal facilities such as an incinerator and burial pits must be available, appropriate for the type of waste and health services provided. </w:t>
      </w:r>
    </w:p>
    <w:p w:rsidR="00D756B5" w:rsidRPr="004415E2" w:rsidRDefault="00D756B5" w:rsidP="00D756B5">
      <w:pPr>
        <w:spacing w:after="0" w:line="240" w:lineRule="auto"/>
        <w:ind w:right="780"/>
        <w:rPr>
          <w:rFonts w:ascii="Times New Roman" w:eastAsia="Times New Roman" w:hAnsi="Times New Roman" w:cs="Times New Roman"/>
          <w:sz w:val="24"/>
          <w:szCs w:val="24"/>
          <w:lang w:val="en-GB" w:eastAsia="en-GB"/>
        </w:rPr>
      </w:pPr>
    </w:p>
    <w:p w:rsidR="00D756B5" w:rsidRPr="004415E2" w:rsidRDefault="00136E3B"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Water supply and hand washing facilities are very important for good personal hygiene practice among health workers and patients. </w:t>
      </w:r>
    </w:p>
    <w:p w:rsidR="00D756B5" w:rsidRPr="004415E2" w:rsidRDefault="00D756B5" w:rsidP="00D756B5">
      <w:pPr>
        <w:spacing w:after="0" w:line="240" w:lineRule="auto"/>
        <w:ind w:right="780"/>
        <w:rPr>
          <w:rFonts w:ascii="Times New Roman" w:eastAsia="Times New Roman" w:hAnsi="Times New Roman" w:cs="Times New Roman"/>
          <w:sz w:val="24"/>
          <w:szCs w:val="24"/>
          <w:lang w:val="en-GB" w:eastAsia="en-GB"/>
        </w:rPr>
      </w:pPr>
    </w:p>
    <w:p w:rsidR="00136E3B" w:rsidRPr="004415E2" w:rsidRDefault="00136E3B" w:rsidP="00D756B5">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 xml:space="preserve">In addition, all staff that handle or come in contact with the waste should be provided with appropriate protective clothing including gloves, aprons and face masks. </w:t>
      </w:r>
    </w:p>
    <w:p w:rsidR="008C0680" w:rsidRPr="004415E2" w:rsidRDefault="008C0680" w:rsidP="00136E3B">
      <w:pPr>
        <w:rPr>
          <w:rFonts w:ascii="Times New Roman" w:hAnsi="Times New Roman" w:cs="Times New Roman"/>
          <w:sz w:val="24"/>
          <w:szCs w:val="24"/>
        </w:rPr>
      </w:pPr>
    </w:p>
    <w:p w:rsidR="008C0680" w:rsidRPr="004415E2" w:rsidRDefault="00136E3B" w:rsidP="0062761A">
      <w:pPr>
        <w:rPr>
          <w:rFonts w:ascii="Times New Roman" w:hAnsi="Times New Roman" w:cs="Times New Roman"/>
          <w:sz w:val="24"/>
          <w:szCs w:val="24"/>
        </w:rPr>
      </w:pPr>
      <w:r w:rsidRPr="004415E2">
        <w:rPr>
          <w:rFonts w:ascii="Times New Roman" w:hAnsi="Times New Roman" w:cs="Times New Roman"/>
          <w:sz w:val="24"/>
          <w:szCs w:val="24"/>
        </w:rPr>
        <w:t xml:space="preserve">(Source: Institutional </w:t>
      </w:r>
      <w:r w:rsidR="003515A4" w:rsidRPr="004415E2">
        <w:rPr>
          <w:rFonts w:ascii="Times New Roman" w:hAnsi="Times New Roman" w:cs="Times New Roman"/>
          <w:sz w:val="24"/>
          <w:szCs w:val="24"/>
        </w:rPr>
        <w:t>sanitation</w:t>
      </w:r>
      <w:r w:rsidRPr="004415E2">
        <w:rPr>
          <w:rFonts w:ascii="Times New Roman" w:hAnsi="Times New Roman" w:cs="Times New Roman"/>
          <w:sz w:val="24"/>
          <w:szCs w:val="24"/>
        </w:rPr>
        <w:t xml:space="preserve"> and waste management study sess</w:t>
      </w:r>
      <w:r w:rsidR="003515A4" w:rsidRPr="004415E2">
        <w:rPr>
          <w:rFonts w:ascii="Times New Roman" w:hAnsi="Times New Roman" w:cs="Times New Roman"/>
          <w:sz w:val="24"/>
          <w:szCs w:val="24"/>
        </w:rPr>
        <w:t>ion 12, study session 10: disposal of solid wastes and study session 11: Integrated solid waste management).</w:t>
      </w:r>
    </w:p>
    <w:p w:rsidR="0062761A" w:rsidRPr="004415E2" w:rsidRDefault="0062761A">
      <w:pPr>
        <w:rPr>
          <w:rFonts w:ascii="Times New Roman" w:hAnsi="Times New Roman" w:cs="Times New Roman"/>
          <w:sz w:val="24"/>
          <w:szCs w:val="24"/>
        </w:rPr>
      </w:pPr>
    </w:p>
    <w:p w:rsidR="001E1121" w:rsidRPr="004415E2" w:rsidRDefault="001E1121">
      <w:pPr>
        <w:rPr>
          <w:rFonts w:ascii="Times New Roman" w:hAnsi="Times New Roman" w:cs="Times New Roman"/>
          <w:sz w:val="24"/>
          <w:szCs w:val="24"/>
        </w:rPr>
      </w:pPr>
    </w:p>
    <w:p w:rsidR="001E1121" w:rsidRPr="004415E2" w:rsidRDefault="001E1121">
      <w:pPr>
        <w:rPr>
          <w:rFonts w:ascii="Times New Roman" w:hAnsi="Times New Roman" w:cs="Times New Roman"/>
          <w:sz w:val="24"/>
          <w:szCs w:val="24"/>
        </w:rPr>
      </w:pPr>
    </w:p>
    <w:p w:rsidR="001E1121" w:rsidRPr="004415E2" w:rsidRDefault="001E1121">
      <w:pPr>
        <w:rPr>
          <w:rFonts w:ascii="Times New Roman" w:hAnsi="Times New Roman" w:cs="Times New Roman"/>
          <w:sz w:val="24"/>
          <w:szCs w:val="24"/>
        </w:rPr>
      </w:pPr>
    </w:p>
    <w:p w:rsidR="001E1121" w:rsidRPr="004415E2" w:rsidRDefault="001E1121">
      <w:pPr>
        <w:rPr>
          <w:rFonts w:ascii="Times New Roman" w:hAnsi="Times New Roman" w:cs="Times New Roman"/>
          <w:sz w:val="24"/>
          <w:szCs w:val="24"/>
        </w:rPr>
      </w:pPr>
    </w:p>
    <w:p w:rsidR="001E1121" w:rsidRPr="004415E2" w:rsidRDefault="001E1121">
      <w:pPr>
        <w:rPr>
          <w:rFonts w:ascii="Times New Roman" w:hAnsi="Times New Roman" w:cs="Times New Roman"/>
          <w:sz w:val="24"/>
          <w:szCs w:val="24"/>
        </w:rPr>
      </w:pPr>
    </w:p>
    <w:p w:rsidR="001E1121" w:rsidRPr="004415E2" w:rsidRDefault="001E1121" w:rsidP="001E1121">
      <w:pPr>
        <w:pStyle w:val="ListParagraph"/>
        <w:numPr>
          <w:ilvl w:val="0"/>
          <w:numId w:val="1"/>
        </w:numPr>
        <w:spacing w:before="120" w:after="0" w:line="360" w:lineRule="auto"/>
        <w:rPr>
          <w:rFonts w:ascii="Times New Roman" w:hAnsi="Times New Roman" w:cs="Times New Roman"/>
          <w:sz w:val="24"/>
          <w:szCs w:val="24"/>
        </w:rPr>
      </w:pPr>
      <w:r w:rsidRPr="004415E2">
        <w:rPr>
          <w:rFonts w:ascii="Times New Roman" w:hAnsi="Times New Roman" w:cs="Times New Roman"/>
          <w:sz w:val="24"/>
          <w:szCs w:val="24"/>
        </w:rPr>
        <w:t>Composting is an example of waste recycling but it could also be described as an example of recovery from waste. Explain why this statement is true.</w:t>
      </w:r>
    </w:p>
    <w:p w:rsidR="00DA6E02" w:rsidRPr="004415E2" w:rsidRDefault="00DA6E02" w:rsidP="00DA6E02">
      <w:pPr>
        <w:rPr>
          <w:rFonts w:ascii="Times New Roman" w:hAnsi="Times New Roman" w:cs="Times New Roman"/>
          <w:sz w:val="24"/>
          <w:szCs w:val="24"/>
        </w:rPr>
      </w:pPr>
      <w:r w:rsidRPr="004415E2">
        <w:rPr>
          <w:rFonts w:ascii="Times New Roman" w:hAnsi="Times New Roman" w:cs="Times New Roman"/>
          <w:sz w:val="24"/>
          <w:szCs w:val="24"/>
        </w:rPr>
        <w:t>Composting is an example of recycling because the waste is reformed into a new material, compost, which is different from the original waste. It is also an example of recovery because the compost has value as a soil improver and has been recovered from the waste.</w:t>
      </w:r>
    </w:p>
    <w:p w:rsidR="00DA6E02" w:rsidRPr="004415E2" w:rsidRDefault="00DA6E02" w:rsidP="00DA6E02">
      <w:pPr>
        <w:rPr>
          <w:rFonts w:ascii="Times New Roman" w:eastAsia="Calibri" w:hAnsi="Times New Roman" w:cs="Times New Roman"/>
          <w:spacing w:val="-2"/>
          <w:sz w:val="24"/>
          <w:szCs w:val="24"/>
          <w:lang w:val="en-GB"/>
        </w:rPr>
      </w:pPr>
      <w:r w:rsidRPr="004415E2">
        <w:rPr>
          <w:rFonts w:ascii="Times New Roman" w:eastAsia="Calibri" w:hAnsi="Times New Roman" w:cs="Times New Roman"/>
          <w:b/>
          <w:spacing w:val="-2"/>
          <w:sz w:val="24"/>
          <w:szCs w:val="24"/>
          <w:lang w:val="en-GB"/>
        </w:rPr>
        <w:t xml:space="preserve"> Composting</w:t>
      </w:r>
      <w:r w:rsidRPr="004415E2">
        <w:rPr>
          <w:rFonts w:ascii="Times New Roman" w:eastAsia="Calibri" w:hAnsi="Times New Roman" w:cs="Times New Roman"/>
          <w:spacing w:val="-2"/>
          <w:sz w:val="24"/>
          <w:szCs w:val="24"/>
          <w:lang w:val="en-GB"/>
        </w:rPr>
        <w:t xml:space="preserve"> is the process where biodegradable organic wastes (food and garden waste) are converted into compost in a natural biological process. Composting can be done by individual householders and community groups or on a commercial scale. On the larger scale, the waste from an entire town or city could be composted if sufficient land, labour and equipment are available. The benefits of composting are not only the reduction of waste, but also the production of compost which is a valuable </w:t>
      </w:r>
      <w:r w:rsidRPr="004415E2">
        <w:rPr>
          <w:rFonts w:ascii="Times New Roman" w:eastAsia="Calibri" w:hAnsi="Times New Roman" w:cs="Times New Roman"/>
          <w:b/>
          <w:spacing w:val="-2"/>
          <w:sz w:val="24"/>
          <w:szCs w:val="24"/>
          <w:lang w:val="en-GB"/>
        </w:rPr>
        <w:t>soil improver</w:t>
      </w:r>
      <w:r w:rsidRPr="004415E2">
        <w:rPr>
          <w:rFonts w:ascii="Times New Roman" w:eastAsia="Calibri" w:hAnsi="Times New Roman" w:cs="Times New Roman"/>
          <w:spacing w:val="-2"/>
          <w:sz w:val="24"/>
          <w:szCs w:val="24"/>
          <w:lang w:val="en-GB"/>
        </w:rPr>
        <w:t xml:space="preserve">. Soils treated with compost are better able to withstand droughts and are more fertile because plant nutrients are returned to the soil, which reduces the need for </w:t>
      </w:r>
      <w:r w:rsidRPr="004415E2">
        <w:rPr>
          <w:rFonts w:ascii="Times New Roman" w:eastAsia="Calibri" w:hAnsi="Times New Roman" w:cs="Times New Roman"/>
          <w:spacing w:val="-2"/>
          <w:sz w:val="24"/>
          <w:szCs w:val="24"/>
          <w:lang w:val="en-GB"/>
        </w:rPr>
        <w:lastRenderedPageBreak/>
        <w:t>manufactured fertilisers. It is possible to add a certain amount of animal manure to residential waste for composting, which may help with other waste problems in the community and adds to the amount of useful soil improver that is made.</w:t>
      </w:r>
    </w:p>
    <w:p w:rsidR="00DA6E02" w:rsidRPr="004415E2" w:rsidRDefault="00DA6E02" w:rsidP="00DA6E02">
      <w:pPr>
        <w:rPr>
          <w:rFonts w:ascii="Times New Roman" w:eastAsia="Calibri" w:hAnsi="Times New Roman" w:cs="Times New Roman"/>
          <w:spacing w:val="-2"/>
          <w:sz w:val="24"/>
          <w:szCs w:val="24"/>
          <w:lang w:val="en-GB"/>
        </w:rPr>
      </w:pPr>
      <w:r w:rsidRPr="004415E2">
        <w:rPr>
          <w:rFonts w:ascii="Times New Roman" w:eastAsia="Calibri" w:hAnsi="Times New Roman" w:cs="Times New Roman"/>
          <w:spacing w:val="-2"/>
          <w:sz w:val="24"/>
          <w:szCs w:val="24"/>
          <w:lang w:val="en-GB"/>
        </w:rPr>
        <w:t>(Source: Study session 8: Solid Waste Reduction, Reuse and Recycling).</w:t>
      </w: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29341D" w:rsidRPr="004415E2" w:rsidRDefault="0029341D"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rPr>
          <w:rFonts w:ascii="Times New Roman" w:eastAsia="Calibri" w:hAnsi="Times New Roman" w:cs="Times New Roman"/>
          <w:spacing w:val="-2"/>
          <w:sz w:val="24"/>
          <w:szCs w:val="24"/>
          <w:lang w:val="en-GB"/>
        </w:rPr>
      </w:pPr>
    </w:p>
    <w:p w:rsidR="00DA6E02" w:rsidRPr="004415E2" w:rsidRDefault="00DA6E02" w:rsidP="00DA6E02">
      <w:pPr>
        <w:pStyle w:val="ListParagraph"/>
        <w:numPr>
          <w:ilvl w:val="0"/>
          <w:numId w:val="1"/>
        </w:numPr>
        <w:spacing w:before="120" w:after="0" w:line="360" w:lineRule="auto"/>
        <w:rPr>
          <w:rFonts w:ascii="Times New Roman" w:hAnsi="Times New Roman" w:cs="Times New Roman"/>
          <w:sz w:val="24"/>
          <w:szCs w:val="24"/>
        </w:rPr>
      </w:pPr>
      <w:r w:rsidRPr="004415E2">
        <w:rPr>
          <w:rFonts w:ascii="Times New Roman" w:hAnsi="Times New Roman" w:cs="Times New Roman"/>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347908" w:rsidRPr="004415E2" w:rsidRDefault="00347908" w:rsidP="00347908">
      <w:pPr>
        <w:keepNext/>
        <w:keepLines/>
        <w:rPr>
          <w:rFonts w:ascii="Times New Roman" w:hAnsi="Times New Roman" w:cs="Times New Roman"/>
          <w:sz w:val="24"/>
          <w:szCs w:val="24"/>
        </w:rPr>
      </w:pPr>
      <w:r w:rsidRPr="004415E2">
        <w:rPr>
          <w:rFonts w:ascii="Times New Roman" w:hAnsi="Times New Roman" w:cs="Times New Roman"/>
          <w:sz w:val="24"/>
          <w:szCs w:val="24"/>
        </w:rPr>
        <w:t>I will advise the local NGO to consider the following minimum requirement</w:t>
      </w:r>
      <w:r w:rsidR="00FD2346" w:rsidRPr="004415E2">
        <w:rPr>
          <w:rFonts w:ascii="Times New Roman" w:hAnsi="Times New Roman" w:cs="Times New Roman"/>
          <w:sz w:val="24"/>
          <w:szCs w:val="24"/>
        </w:rPr>
        <w:t>s</w:t>
      </w:r>
      <w:r w:rsidRPr="004415E2">
        <w:rPr>
          <w:rFonts w:ascii="Times New Roman" w:hAnsi="Times New Roman" w:cs="Times New Roman"/>
          <w:sz w:val="24"/>
          <w:szCs w:val="24"/>
        </w:rPr>
        <w:t>;</w:t>
      </w:r>
    </w:p>
    <w:p w:rsidR="00347908" w:rsidRPr="004415E2" w:rsidRDefault="00347908" w:rsidP="00347908">
      <w:pPr>
        <w:pStyle w:val="Bulletlist"/>
        <w:keepNext/>
        <w:keepLines/>
        <w:numPr>
          <w:ilvl w:val="0"/>
          <w:numId w:val="0"/>
        </w:numPr>
        <w:rPr>
          <w:sz w:val="24"/>
          <w:szCs w:val="24"/>
        </w:rPr>
      </w:pPr>
      <w:r w:rsidRPr="004415E2">
        <w:rPr>
          <w:sz w:val="24"/>
          <w:szCs w:val="24"/>
        </w:rPr>
        <w:t xml:space="preserve">Separate latrines for boys and girls should be provided that are located in a convenient place in the school compound, give privacy to users, are easy to clean and agreeable to use. </w:t>
      </w:r>
    </w:p>
    <w:p w:rsidR="00347908" w:rsidRPr="004415E2" w:rsidRDefault="00347908" w:rsidP="00347908">
      <w:pPr>
        <w:pStyle w:val="Bulletlist"/>
        <w:numPr>
          <w:ilvl w:val="0"/>
          <w:numId w:val="0"/>
        </w:numPr>
        <w:rPr>
          <w:sz w:val="24"/>
          <w:szCs w:val="24"/>
        </w:rPr>
      </w:pPr>
      <w:r w:rsidRPr="004415E2">
        <w:rPr>
          <w:sz w:val="24"/>
          <w:szCs w:val="24"/>
        </w:rPr>
        <w:t>The number of latrines should be calculated based on the number of students (one cubicle per 100 students) with a minimum of two cubicles for girls and two for boys, with urinals as well.</w:t>
      </w:r>
    </w:p>
    <w:p w:rsidR="00347908" w:rsidRPr="004415E2" w:rsidRDefault="00347908" w:rsidP="00347908">
      <w:pPr>
        <w:pStyle w:val="Bulletlist"/>
        <w:numPr>
          <w:ilvl w:val="0"/>
          <w:numId w:val="0"/>
        </w:numPr>
        <w:rPr>
          <w:sz w:val="24"/>
          <w:szCs w:val="24"/>
        </w:rPr>
      </w:pPr>
      <w:r w:rsidRPr="004415E2">
        <w:rPr>
          <w:sz w:val="24"/>
          <w:szCs w:val="24"/>
        </w:rPr>
        <w:t>Latrines should be designed and constructed to be appropriate for children of the age at the school; small children will need facilities they can reach and feel comfortable using.</w:t>
      </w:r>
    </w:p>
    <w:p w:rsidR="00347908" w:rsidRPr="004415E2" w:rsidRDefault="00347908" w:rsidP="00347908">
      <w:pPr>
        <w:pStyle w:val="Bulletlist"/>
        <w:numPr>
          <w:ilvl w:val="0"/>
          <w:numId w:val="0"/>
        </w:numPr>
        <w:rPr>
          <w:sz w:val="24"/>
          <w:szCs w:val="24"/>
        </w:rPr>
      </w:pPr>
      <w:r w:rsidRPr="004415E2">
        <w:rPr>
          <w:sz w:val="24"/>
          <w:szCs w:val="24"/>
        </w:rPr>
        <w:t>There should be appropriate latrine and hand washing facilities for students with disabilities.</w:t>
      </w:r>
    </w:p>
    <w:p w:rsidR="00347908" w:rsidRPr="004415E2" w:rsidRDefault="00347908" w:rsidP="00347908">
      <w:pPr>
        <w:pStyle w:val="Bulletlist"/>
        <w:numPr>
          <w:ilvl w:val="0"/>
          <w:numId w:val="0"/>
        </w:numPr>
        <w:rPr>
          <w:sz w:val="24"/>
          <w:szCs w:val="24"/>
        </w:rPr>
      </w:pPr>
      <w:r w:rsidRPr="004415E2">
        <w:rPr>
          <w:sz w:val="24"/>
          <w:szCs w:val="24"/>
        </w:rPr>
        <w:t>Hand washing facilities with soap should be provided very close to the latrines with separate facilities for boys and girls. The supply of water for hand washing must be maintained at all times.</w:t>
      </w:r>
    </w:p>
    <w:p w:rsidR="00347908" w:rsidRPr="004415E2" w:rsidRDefault="00347908" w:rsidP="00347908">
      <w:pPr>
        <w:pStyle w:val="Bulletlist"/>
        <w:numPr>
          <w:ilvl w:val="0"/>
          <w:numId w:val="0"/>
        </w:numPr>
        <w:rPr>
          <w:sz w:val="24"/>
          <w:szCs w:val="24"/>
        </w:rPr>
      </w:pPr>
      <w:r w:rsidRPr="004415E2">
        <w:rPr>
          <w:sz w:val="24"/>
          <w:szCs w:val="24"/>
        </w:rPr>
        <w:t>There should be appropriate provision of menstrual hygiene management facilities that ensure privacy for girls and allow them to dispose of or wash used menstrual pads hygienically.</w:t>
      </w:r>
    </w:p>
    <w:p w:rsidR="002A008A" w:rsidRPr="004415E2" w:rsidRDefault="002A008A" w:rsidP="00347908">
      <w:pPr>
        <w:pStyle w:val="Bulletlist"/>
        <w:numPr>
          <w:ilvl w:val="0"/>
          <w:numId w:val="0"/>
        </w:numPr>
        <w:rPr>
          <w:sz w:val="24"/>
          <w:szCs w:val="24"/>
        </w:rPr>
      </w:pPr>
      <w:r w:rsidRPr="004415E2">
        <w:rPr>
          <w:sz w:val="24"/>
          <w:szCs w:val="24"/>
        </w:rPr>
        <w:t>Girls’ latrines should be in a separate location from boys’ latrines.</w:t>
      </w:r>
    </w:p>
    <w:p w:rsidR="002A008A" w:rsidRPr="004415E2" w:rsidRDefault="002A008A" w:rsidP="00347908">
      <w:pPr>
        <w:pStyle w:val="Bulletlist"/>
        <w:numPr>
          <w:ilvl w:val="0"/>
          <w:numId w:val="0"/>
        </w:numPr>
        <w:rPr>
          <w:sz w:val="24"/>
          <w:szCs w:val="24"/>
        </w:rPr>
      </w:pPr>
      <w:r w:rsidRPr="004415E2">
        <w:rPr>
          <w:sz w:val="24"/>
          <w:szCs w:val="24"/>
        </w:rPr>
        <w:t>Individual cubicles should be fitted with doors that close properly.</w:t>
      </w:r>
    </w:p>
    <w:p w:rsidR="002A008A" w:rsidRPr="004415E2" w:rsidRDefault="002A008A" w:rsidP="00347908">
      <w:pPr>
        <w:pStyle w:val="Bulletlist"/>
        <w:numPr>
          <w:ilvl w:val="0"/>
          <w:numId w:val="0"/>
        </w:numPr>
        <w:rPr>
          <w:sz w:val="24"/>
          <w:szCs w:val="24"/>
        </w:rPr>
      </w:pPr>
      <w:r w:rsidRPr="004415E2">
        <w:rPr>
          <w:sz w:val="24"/>
          <w:szCs w:val="24"/>
        </w:rPr>
        <w:t>Disposal facilities should be available for used disposable adjacent to the latrines.</w:t>
      </w:r>
    </w:p>
    <w:p w:rsidR="002A008A" w:rsidRPr="004415E2" w:rsidRDefault="002A008A" w:rsidP="00347908">
      <w:pPr>
        <w:pStyle w:val="Bulletlist"/>
        <w:numPr>
          <w:ilvl w:val="0"/>
          <w:numId w:val="0"/>
        </w:numPr>
        <w:rPr>
          <w:sz w:val="24"/>
          <w:szCs w:val="24"/>
        </w:rPr>
      </w:pPr>
      <w:r w:rsidRPr="004415E2">
        <w:rPr>
          <w:sz w:val="24"/>
          <w:szCs w:val="24"/>
        </w:rPr>
        <w:t>Hand washing facilities and soap should be provided adjacent to the latrines.</w:t>
      </w:r>
    </w:p>
    <w:p w:rsidR="002A008A" w:rsidRPr="004415E2" w:rsidRDefault="002A008A" w:rsidP="00347908">
      <w:pPr>
        <w:pStyle w:val="Bulletlist"/>
        <w:numPr>
          <w:ilvl w:val="0"/>
          <w:numId w:val="0"/>
        </w:numPr>
        <w:rPr>
          <w:sz w:val="24"/>
          <w:szCs w:val="24"/>
        </w:rPr>
      </w:pPr>
      <w:r w:rsidRPr="004415E2">
        <w:rPr>
          <w:sz w:val="24"/>
          <w:szCs w:val="24"/>
        </w:rPr>
        <w:t>School offices should have</w:t>
      </w:r>
      <w:r w:rsidR="001B674E" w:rsidRPr="004415E2">
        <w:rPr>
          <w:sz w:val="24"/>
          <w:szCs w:val="24"/>
        </w:rPr>
        <w:t xml:space="preserve"> menstrual hygiene management (</w:t>
      </w:r>
      <w:r w:rsidRPr="004415E2">
        <w:rPr>
          <w:sz w:val="24"/>
          <w:szCs w:val="24"/>
        </w:rPr>
        <w:t>MHM</w:t>
      </w:r>
      <w:r w:rsidR="001B674E" w:rsidRPr="004415E2">
        <w:rPr>
          <w:sz w:val="24"/>
          <w:szCs w:val="24"/>
        </w:rPr>
        <w:t>)</w:t>
      </w:r>
      <w:r w:rsidRPr="004415E2">
        <w:rPr>
          <w:sz w:val="24"/>
          <w:szCs w:val="24"/>
        </w:rPr>
        <w:t xml:space="preserve"> products available for emergency use.</w:t>
      </w:r>
    </w:p>
    <w:p w:rsidR="0029341D" w:rsidRPr="004415E2" w:rsidRDefault="0029341D" w:rsidP="0004376D">
      <w:pPr>
        <w:spacing w:after="0" w:line="240" w:lineRule="auto"/>
        <w:ind w:right="780"/>
        <w:rPr>
          <w:rFonts w:ascii="Times New Roman" w:eastAsia="Times New Roman" w:hAnsi="Times New Roman" w:cs="Times New Roman"/>
          <w:sz w:val="24"/>
          <w:szCs w:val="24"/>
          <w:lang w:val="en-GB" w:eastAsia="en-GB"/>
        </w:rPr>
      </w:pPr>
      <w:r w:rsidRPr="004415E2">
        <w:rPr>
          <w:rFonts w:ascii="Times New Roman" w:eastAsia="Times New Roman" w:hAnsi="Times New Roman" w:cs="Times New Roman"/>
          <w:sz w:val="24"/>
          <w:szCs w:val="24"/>
          <w:lang w:val="en-GB" w:eastAsia="en-GB"/>
        </w:rPr>
        <w:t>Disposal facilities should be available for used disposable MHM products and washing facilities for reusable products</w:t>
      </w:r>
      <w:r w:rsidR="0004376D" w:rsidRPr="004415E2">
        <w:rPr>
          <w:rFonts w:ascii="Times New Roman" w:eastAsia="Times New Roman" w:hAnsi="Times New Roman" w:cs="Times New Roman"/>
          <w:sz w:val="24"/>
          <w:szCs w:val="24"/>
          <w:lang w:val="en-GB" w:eastAsia="en-GB"/>
        </w:rPr>
        <w:t>.</w:t>
      </w:r>
    </w:p>
    <w:p w:rsidR="002A008A" w:rsidRPr="004415E2" w:rsidRDefault="002A008A" w:rsidP="0004376D">
      <w:pPr>
        <w:spacing w:after="0" w:line="240" w:lineRule="auto"/>
        <w:ind w:right="780"/>
        <w:rPr>
          <w:rFonts w:ascii="Times New Roman" w:eastAsia="Times New Roman" w:hAnsi="Times New Roman" w:cs="Times New Roman"/>
          <w:sz w:val="24"/>
          <w:szCs w:val="24"/>
          <w:lang w:val="en-GB" w:eastAsia="en-GB"/>
        </w:rPr>
      </w:pPr>
    </w:p>
    <w:p w:rsidR="00DA6E02" w:rsidRPr="004415E2" w:rsidRDefault="00DA6E02" w:rsidP="00347908">
      <w:pPr>
        <w:pStyle w:val="ListParagraph"/>
        <w:spacing w:before="120" w:after="0" w:line="360" w:lineRule="auto"/>
        <w:rPr>
          <w:rFonts w:ascii="Times New Roman" w:hAnsi="Times New Roman" w:cs="Times New Roman"/>
          <w:sz w:val="24"/>
          <w:szCs w:val="24"/>
        </w:rPr>
      </w:pPr>
    </w:p>
    <w:p w:rsidR="00DA6E02" w:rsidRPr="004415E2" w:rsidRDefault="00DA6E02" w:rsidP="00DA6E02">
      <w:pPr>
        <w:pStyle w:val="ListParagraph"/>
        <w:spacing w:before="120" w:after="0" w:line="360" w:lineRule="auto"/>
        <w:rPr>
          <w:rFonts w:ascii="Times New Roman" w:hAnsi="Times New Roman" w:cs="Times New Roman"/>
          <w:sz w:val="24"/>
          <w:szCs w:val="24"/>
        </w:rPr>
      </w:pPr>
    </w:p>
    <w:p w:rsidR="00F704A7" w:rsidRPr="004415E2" w:rsidRDefault="00F704A7" w:rsidP="00DA6E02">
      <w:pPr>
        <w:pStyle w:val="ListParagraph"/>
        <w:spacing w:before="120" w:after="0" w:line="360" w:lineRule="auto"/>
        <w:rPr>
          <w:rFonts w:ascii="Times New Roman" w:hAnsi="Times New Roman" w:cs="Times New Roman"/>
          <w:sz w:val="24"/>
          <w:szCs w:val="24"/>
        </w:rPr>
      </w:pPr>
    </w:p>
    <w:p w:rsidR="00F704A7" w:rsidRPr="004415E2" w:rsidRDefault="00F704A7" w:rsidP="00DA6E02">
      <w:pPr>
        <w:pStyle w:val="ListParagraph"/>
        <w:spacing w:before="120" w:after="0" w:line="360" w:lineRule="auto"/>
        <w:rPr>
          <w:rFonts w:ascii="Times New Roman" w:hAnsi="Times New Roman" w:cs="Times New Roman"/>
          <w:sz w:val="24"/>
          <w:szCs w:val="24"/>
        </w:rPr>
      </w:pPr>
    </w:p>
    <w:p w:rsidR="00F704A7" w:rsidRPr="004415E2" w:rsidRDefault="00F704A7" w:rsidP="00DA6E02">
      <w:pPr>
        <w:pStyle w:val="ListParagraph"/>
        <w:spacing w:before="120" w:after="0" w:line="360" w:lineRule="auto"/>
        <w:rPr>
          <w:rFonts w:ascii="Times New Roman" w:hAnsi="Times New Roman" w:cs="Times New Roman"/>
          <w:sz w:val="24"/>
          <w:szCs w:val="24"/>
        </w:rPr>
      </w:pPr>
    </w:p>
    <w:p w:rsidR="00F704A7" w:rsidRPr="004415E2" w:rsidRDefault="00F704A7" w:rsidP="00DA6E02">
      <w:pPr>
        <w:pStyle w:val="ListParagraph"/>
        <w:spacing w:before="120" w:after="0" w:line="360" w:lineRule="auto"/>
        <w:rPr>
          <w:rFonts w:ascii="Times New Roman" w:hAnsi="Times New Roman" w:cs="Times New Roman"/>
          <w:sz w:val="24"/>
          <w:szCs w:val="24"/>
        </w:rPr>
      </w:pPr>
    </w:p>
    <w:p w:rsidR="00F704A7" w:rsidRPr="004415E2" w:rsidRDefault="00F704A7" w:rsidP="00F704A7">
      <w:pPr>
        <w:pStyle w:val="ListParagraph"/>
        <w:numPr>
          <w:ilvl w:val="0"/>
          <w:numId w:val="1"/>
        </w:numPr>
        <w:spacing w:before="120" w:after="0" w:line="360" w:lineRule="auto"/>
        <w:rPr>
          <w:rFonts w:ascii="Times New Roman" w:eastAsia="Calibri" w:hAnsi="Times New Roman" w:cs="Times New Roman"/>
          <w:sz w:val="24"/>
          <w:szCs w:val="24"/>
          <w:lang w:val="en-GB"/>
        </w:rPr>
      </w:pPr>
      <w:r w:rsidRPr="004415E2">
        <w:rPr>
          <w:rFonts w:ascii="Times New Roman" w:eastAsia="Calibri" w:hAnsi="Times New Roman" w:cs="Times New Roman"/>
          <w:sz w:val="24"/>
          <w:szCs w:val="24"/>
          <w:lang w:val="en-GB"/>
        </w:rPr>
        <w:lastRenderedPageBreak/>
        <w:t>Giving examples</w:t>
      </w:r>
      <w:r w:rsidRPr="004415E2">
        <w:rPr>
          <w:rFonts w:ascii="Times New Roman" w:eastAsia="Calibri" w:hAnsi="Times New Roman" w:cs="Times New Roman"/>
          <w:sz w:val="24"/>
          <w:szCs w:val="24"/>
          <w:lang w:val="en-GB"/>
        </w:rPr>
        <w:t>,</w:t>
      </w:r>
      <w:r w:rsidRPr="004415E2">
        <w:rPr>
          <w:rFonts w:ascii="Times New Roman" w:eastAsia="Calibri" w:hAnsi="Times New Roman" w:cs="Times New Roman"/>
          <w:sz w:val="24"/>
          <w:szCs w:val="24"/>
          <w:lang w:val="en-GB"/>
        </w:rPr>
        <w:t xml:space="preserve"> explain three examples of ways of encouraging or supporting an ISWM approach</w:t>
      </w:r>
    </w:p>
    <w:p w:rsidR="008C3D05" w:rsidRPr="004415E2" w:rsidRDefault="008C3D05" w:rsidP="008C3D05">
      <w:pPr>
        <w:rPr>
          <w:rFonts w:ascii="Times New Roman" w:hAnsi="Times New Roman" w:cs="Times New Roman"/>
          <w:sz w:val="24"/>
          <w:szCs w:val="24"/>
          <w:lang w:eastAsia="en-GB"/>
        </w:rPr>
      </w:pPr>
      <w:r w:rsidRPr="0086650B">
        <w:rPr>
          <w:rFonts w:ascii="Times New Roman" w:hAnsi="Times New Roman" w:cs="Times New Roman"/>
          <w:b/>
          <w:sz w:val="24"/>
          <w:szCs w:val="24"/>
          <w:lang w:eastAsia="en-GB"/>
        </w:rPr>
        <w:t xml:space="preserve">Integrated Solid Waste Management </w:t>
      </w:r>
      <w:r w:rsidRPr="0086650B">
        <w:rPr>
          <w:rFonts w:ascii="Times New Roman" w:hAnsi="Times New Roman" w:cs="Times New Roman"/>
          <w:sz w:val="24"/>
          <w:szCs w:val="24"/>
          <w:lang w:eastAsia="en-GB"/>
        </w:rPr>
        <w:t xml:space="preserve">(ISWM) can be defined in many ways but it is probably best to think of it as a way of using a combination of waste management techniques to treat the different types of waste in ways that are environmentally, financially and socially sustainable. ISWM should be based on the waste hierarchy and focus on using the 3 </w:t>
      </w:r>
      <w:proofErr w:type="spellStart"/>
      <w:r w:rsidRPr="0086650B">
        <w:rPr>
          <w:rFonts w:ascii="Times New Roman" w:hAnsi="Times New Roman" w:cs="Times New Roman"/>
          <w:sz w:val="24"/>
          <w:szCs w:val="24"/>
          <w:lang w:eastAsia="en-GB"/>
        </w:rPr>
        <w:t>Rs</w:t>
      </w:r>
      <w:proofErr w:type="spellEnd"/>
      <w:r w:rsidRPr="004415E2">
        <w:rPr>
          <w:rFonts w:ascii="Times New Roman" w:hAnsi="Times New Roman" w:cs="Times New Roman"/>
          <w:sz w:val="24"/>
          <w:szCs w:val="24"/>
          <w:lang w:eastAsia="en-GB"/>
        </w:rPr>
        <w:t>; (Reduction of waste, Reuse and Recycling of waste)</w:t>
      </w:r>
      <w:r w:rsidRPr="0086650B">
        <w:rPr>
          <w:rFonts w:ascii="Times New Roman" w:hAnsi="Times New Roman" w:cs="Times New Roman"/>
          <w:sz w:val="24"/>
          <w:szCs w:val="24"/>
          <w:lang w:eastAsia="en-GB"/>
        </w:rPr>
        <w:t xml:space="preserve"> while finding a suitable way of dealing with the remaining waste. It also depends on collaboration among all the </w:t>
      </w:r>
      <w:r w:rsidR="00C8645F" w:rsidRPr="004415E2">
        <w:rPr>
          <w:rFonts w:ascii="Times New Roman" w:hAnsi="Times New Roman" w:cs="Times New Roman"/>
          <w:sz w:val="24"/>
          <w:szCs w:val="24"/>
          <w:lang w:eastAsia="en-GB"/>
        </w:rPr>
        <w:t>organizations</w:t>
      </w:r>
      <w:r w:rsidRPr="0086650B">
        <w:rPr>
          <w:rFonts w:ascii="Times New Roman" w:hAnsi="Times New Roman" w:cs="Times New Roman"/>
          <w:sz w:val="24"/>
          <w:szCs w:val="24"/>
          <w:lang w:eastAsia="en-GB"/>
        </w:rPr>
        <w:t xml:space="preserve"> and individuals involved in waste management.</w:t>
      </w:r>
    </w:p>
    <w:p w:rsidR="008C3D05" w:rsidRPr="00785B50" w:rsidRDefault="008C3D05" w:rsidP="008C3D05">
      <w:pPr>
        <w:ind w:left="357" w:hanging="357"/>
        <w:rPr>
          <w:rFonts w:ascii="Times New Roman" w:hAnsi="Times New Roman" w:cs="Times New Roman"/>
          <w:sz w:val="24"/>
          <w:szCs w:val="24"/>
        </w:rPr>
      </w:pPr>
      <w:r w:rsidRPr="00785B50">
        <w:rPr>
          <w:rFonts w:ascii="Times New Roman" w:hAnsi="Times New Roman" w:cs="Times New Roman"/>
          <w:sz w:val="24"/>
          <w:szCs w:val="24"/>
          <w:lang w:eastAsia="en-GB"/>
        </w:rPr>
        <w:t>Waste reduction means avoiding producing waste in the first place. In manufactur</w:t>
      </w:r>
      <w:r w:rsidRPr="004415E2">
        <w:rPr>
          <w:rFonts w:ascii="Times New Roman" w:hAnsi="Times New Roman" w:cs="Times New Roman"/>
          <w:sz w:val="24"/>
          <w:szCs w:val="24"/>
          <w:lang w:eastAsia="en-GB"/>
        </w:rPr>
        <w:t>ing industry, it is about using fewer</w:t>
      </w:r>
      <w:r w:rsidRPr="00785B50">
        <w:rPr>
          <w:rFonts w:ascii="Times New Roman" w:hAnsi="Times New Roman" w:cs="Times New Roman"/>
          <w:sz w:val="24"/>
          <w:szCs w:val="24"/>
          <w:lang w:eastAsia="en-GB"/>
        </w:rPr>
        <w:t xml:space="preserve"> raw materials to make a given product. In the home, waste reduction could include avoiding buying over-packaged products.</w:t>
      </w:r>
    </w:p>
    <w:p w:rsidR="008C3D05" w:rsidRPr="004415E2" w:rsidRDefault="008C3D05" w:rsidP="008C3D05">
      <w:pPr>
        <w:rPr>
          <w:rFonts w:ascii="Times New Roman" w:hAnsi="Times New Roman" w:cs="Times New Roman"/>
          <w:sz w:val="24"/>
          <w:szCs w:val="24"/>
        </w:rPr>
      </w:pPr>
      <w:r w:rsidRPr="00785B50">
        <w:rPr>
          <w:rFonts w:ascii="Times New Roman" w:hAnsi="Times New Roman" w:cs="Times New Roman"/>
          <w:sz w:val="24"/>
          <w:szCs w:val="24"/>
          <w:lang w:eastAsia="en-GB"/>
        </w:rPr>
        <w:t>Reuse happens when something is used more than once for its original purpose – perhaps refilling a drinks bottle with water.</w:t>
      </w:r>
    </w:p>
    <w:p w:rsidR="008C3D05" w:rsidRPr="004415E2" w:rsidRDefault="008C3D05" w:rsidP="008C3D05">
      <w:pPr>
        <w:rPr>
          <w:rFonts w:ascii="Times New Roman" w:hAnsi="Times New Roman" w:cs="Times New Roman"/>
          <w:sz w:val="24"/>
          <w:szCs w:val="24"/>
        </w:rPr>
      </w:pPr>
      <w:r w:rsidRPr="004415E2">
        <w:rPr>
          <w:rFonts w:ascii="Times New Roman" w:hAnsi="Times New Roman" w:cs="Times New Roman"/>
          <w:sz w:val="24"/>
          <w:szCs w:val="24"/>
          <w:lang w:eastAsia="en-GB"/>
        </w:rPr>
        <w:t>Recycling is the reprocessing of materials recovered from waste so that they can be used as raw materials in manufacturing processes</w:t>
      </w:r>
      <w:r w:rsidRPr="004415E2">
        <w:rPr>
          <w:rFonts w:ascii="Times New Roman" w:hAnsi="Times New Roman" w:cs="Times New Roman"/>
          <w:sz w:val="24"/>
          <w:szCs w:val="24"/>
        </w:rPr>
        <w:t>, for example melting of glass bottles and forming them into new bottles.</w:t>
      </w:r>
    </w:p>
    <w:p w:rsidR="008C3D05" w:rsidRPr="0086650B" w:rsidRDefault="008C3D05" w:rsidP="008C3D05">
      <w:pPr>
        <w:rPr>
          <w:rFonts w:ascii="Times New Roman" w:hAnsi="Times New Roman" w:cs="Times New Roman"/>
          <w:sz w:val="24"/>
          <w:szCs w:val="24"/>
          <w:lang w:eastAsia="en-GB"/>
        </w:rPr>
      </w:pPr>
      <w:r w:rsidRPr="004415E2">
        <w:rPr>
          <w:rFonts w:ascii="Times New Roman" w:hAnsi="Times New Roman" w:cs="Times New Roman"/>
          <w:sz w:val="24"/>
          <w:szCs w:val="24"/>
        </w:rPr>
        <w:t>The following are some of the ways of encouraging/supporting an ISWM approach.</w:t>
      </w:r>
    </w:p>
    <w:p w:rsidR="008C3D05" w:rsidRPr="004415E2" w:rsidRDefault="008C3D05" w:rsidP="008C3D05">
      <w:pPr>
        <w:rPr>
          <w:rFonts w:ascii="Times New Roman" w:hAnsi="Times New Roman" w:cs="Times New Roman"/>
          <w:sz w:val="24"/>
          <w:szCs w:val="24"/>
        </w:rPr>
      </w:pPr>
      <w:r w:rsidRPr="004415E2">
        <w:rPr>
          <w:rFonts w:ascii="Times New Roman" w:hAnsi="Times New Roman" w:cs="Times New Roman"/>
          <w:sz w:val="24"/>
          <w:szCs w:val="24"/>
        </w:rPr>
        <w:t>The national government can allow greater flexibility in budget spending by municipalities.</w:t>
      </w:r>
    </w:p>
    <w:p w:rsidR="008C3D05" w:rsidRPr="00785B50" w:rsidRDefault="008C3D05" w:rsidP="008C3D05">
      <w:pPr>
        <w:rPr>
          <w:rFonts w:ascii="Times New Roman" w:hAnsi="Times New Roman" w:cs="Times New Roman"/>
          <w:sz w:val="24"/>
          <w:szCs w:val="24"/>
        </w:rPr>
      </w:pPr>
      <w:r w:rsidRPr="004415E2">
        <w:rPr>
          <w:rFonts w:ascii="Times New Roman" w:hAnsi="Times New Roman" w:cs="Times New Roman"/>
          <w:sz w:val="24"/>
          <w:szCs w:val="24"/>
        </w:rPr>
        <w:t>Extra funds may be allocated to adopt or extend ISWM.</w:t>
      </w:r>
    </w:p>
    <w:p w:rsidR="008C3D05" w:rsidRPr="00785B50" w:rsidRDefault="008C3D05" w:rsidP="008C3D05">
      <w:pPr>
        <w:ind w:left="357" w:hanging="357"/>
        <w:rPr>
          <w:rFonts w:ascii="Times New Roman" w:hAnsi="Times New Roman" w:cs="Times New Roman"/>
          <w:sz w:val="24"/>
          <w:szCs w:val="24"/>
        </w:rPr>
      </w:pPr>
      <w:r w:rsidRPr="004415E2">
        <w:rPr>
          <w:rFonts w:ascii="Times New Roman" w:hAnsi="Times New Roman" w:cs="Times New Roman"/>
          <w:sz w:val="24"/>
          <w:szCs w:val="24"/>
        </w:rPr>
        <w:t>S</w:t>
      </w:r>
      <w:r w:rsidRPr="00785B50">
        <w:rPr>
          <w:rFonts w:ascii="Times New Roman" w:hAnsi="Times New Roman" w:cs="Times New Roman"/>
          <w:sz w:val="24"/>
          <w:szCs w:val="24"/>
        </w:rPr>
        <w:t>tart-up funding can be provided for new initiatives such as waste collection, composting and recycling schemes</w:t>
      </w:r>
      <w:r w:rsidRPr="004415E2">
        <w:rPr>
          <w:rFonts w:ascii="Times New Roman" w:hAnsi="Times New Roman" w:cs="Times New Roman"/>
          <w:sz w:val="24"/>
          <w:szCs w:val="24"/>
        </w:rPr>
        <w:t>.</w:t>
      </w:r>
    </w:p>
    <w:p w:rsidR="008C3D05" w:rsidRPr="00785B50" w:rsidRDefault="008C3D05" w:rsidP="008C3D05">
      <w:pPr>
        <w:ind w:left="357" w:hanging="357"/>
        <w:rPr>
          <w:rFonts w:ascii="Times New Roman" w:hAnsi="Times New Roman" w:cs="Times New Roman"/>
          <w:sz w:val="24"/>
          <w:szCs w:val="24"/>
        </w:rPr>
      </w:pPr>
      <w:r w:rsidRPr="004415E2">
        <w:rPr>
          <w:rFonts w:ascii="Times New Roman" w:hAnsi="Times New Roman" w:cs="Times New Roman"/>
          <w:sz w:val="24"/>
          <w:szCs w:val="24"/>
        </w:rPr>
        <w:t>S</w:t>
      </w:r>
      <w:r w:rsidRPr="00785B50">
        <w:rPr>
          <w:rFonts w:ascii="Times New Roman" w:hAnsi="Times New Roman" w:cs="Times New Roman"/>
          <w:sz w:val="24"/>
          <w:szCs w:val="24"/>
        </w:rPr>
        <w:t xml:space="preserve">pecial awards could be given to individuals and </w:t>
      </w:r>
      <w:r w:rsidRPr="004415E2">
        <w:rPr>
          <w:rFonts w:ascii="Times New Roman" w:hAnsi="Times New Roman" w:cs="Times New Roman"/>
          <w:sz w:val="24"/>
          <w:szCs w:val="24"/>
        </w:rPr>
        <w:t>organizations</w:t>
      </w:r>
      <w:r w:rsidRPr="00785B50">
        <w:rPr>
          <w:rFonts w:ascii="Times New Roman" w:hAnsi="Times New Roman" w:cs="Times New Roman"/>
          <w:sz w:val="24"/>
          <w:szCs w:val="24"/>
        </w:rPr>
        <w:t xml:space="preserve"> to celebrate successful projects</w:t>
      </w:r>
      <w:r w:rsidRPr="004415E2">
        <w:rPr>
          <w:rFonts w:ascii="Times New Roman" w:hAnsi="Times New Roman" w:cs="Times New Roman"/>
          <w:sz w:val="24"/>
          <w:szCs w:val="24"/>
        </w:rPr>
        <w:t>.</w:t>
      </w:r>
    </w:p>
    <w:p w:rsidR="008C3D05" w:rsidRPr="00785B50" w:rsidRDefault="008C3D05" w:rsidP="008C3D05">
      <w:pPr>
        <w:ind w:left="357" w:hanging="357"/>
        <w:rPr>
          <w:rFonts w:ascii="Times New Roman" w:hAnsi="Times New Roman" w:cs="Times New Roman"/>
          <w:sz w:val="24"/>
          <w:szCs w:val="24"/>
        </w:rPr>
      </w:pPr>
      <w:proofErr w:type="gramStart"/>
      <w:r w:rsidRPr="004415E2">
        <w:rPr>
          <w:rFonts w:ascii="Times New Roman" w:hAnsi="Times New Roman" w:cs="Times New Roman"/>
          <w:sz w:val="24"/>
          <w:szCs w:val="24"/>
        </w:rPr>
        <w:t>P</w:t>
      </w:r>
      <w:r w:rsidRPr="00785B50">
        <w:rPr>
          <w:rFonts w:ascii="Times New Roman" w:hAnsi="Times New Roman" w:cs="Times New Roman"/>
          <w:sz w:val="24"/>
          <w:szCs w:val="24"/>
        </w:rPr>
        <w:t>roviding effective training for people who wish to start new schemes and supporting them in the early stages of development</w:t>
      </w:r>
      <w:r w:rsidRPr="004415E2">
        <w:rPr>
          <w:rFonts w:ascii="Times New Roman" w:hAnsi="Times New Roman" w:cs="Times New Roman"/>
          <w:sz w:val="24"/>
          <w:szCs w:val="24"/>
        </w:rPr>
        <w:t>.</w:t>
      </w:r>
      <w:proofErr w:type="gramEnd"/>
    </w:p>
    <w:p w:rsidR="008C3D05" w:rsidRPr="00785B50" w:rsidRDefault="008C3D05" w:rsidP="008C3D05">
      <w:pPr>
        <w:ind w:left="357" w:hanging="357"/>
        <w:rPr>
          <w:rFonts w:ascii="Times New Roman" w:hAnsi="Times New Roman" w:cs="Times New Roman"/>
          <w:sz w:val="24"/>
          <w:szCs w:val="24"/>
        </w:rPr>
      </w:pPr>
      <w:proofErr w:type="gramStart"/>
      <w:r w:rsidRPr="004415E2">
        <w:rPr>
          <w:rFonts w:ascii="Times New Roman" w:hAnsi="Times New Roman" w:cs="Times New Roman"/>
          <w:sz w:val="24"/>
          <w:szCs w:val="24"/>
        </w:rPr>
        <w:t>Organizing</w:t>
      </w:r>
      <w:r w:rsidRPr="00785B50">
        <w:rPr>
          <w:rFonts w:ascii="Times New Roman" w:hAnsi="Times New Roman" w:cs="Times New Roman"/>
          <w:sz w:val="24"/>
          <w:szCs w:val="24"/>
        </w:rPr>
        <w:t xml:space="preserve"> promotional campaigns to raise awareness of the 3 </w:t>
      </w:r>
      <w:proofErr w:type="spellStart"/>
      <w:r w:rsidRPr="00785B50">
        <w:rPr>
          <w:rFonts w:ascii="Times New Roman" w:hAnsi="Times New Roman" w:cs="Times New Roman"/>
          <w:sz w:val="24"/>
          <w:szCs w:val="24"/>
        </w:rPr>
        <w:t>Rs</w:t>
      </w:r>
      <w:proofErr w:type="spellEnd"/>
      <w:r w:rsidRPr="00785B50">
        <w:rPr>
          <w:rFonts w:ascii="Times New Roman" w:hAnsi="Times New Roman" w:cs="Times New Roman"/>
          <w:sz w:val="24"/>
          <w:szCs w:val="24"/>
        </w:rPr>
        <w:t xml:space="preserve"> among all members of the community.</w:t>
      </w:r>
      <w:proofErr w:type="gramEnd"/>
    </w:p>
    <w:p w:rsidR="008C3D05" w:rsidRPr="004415E2" w:rsidRDefault="008C3D05" w:rsidP="008C3D05">
      <w:pPr>
        <w:rPr>
          <w:rFonts w:ascii="Times New Roman" w:hAnsi="Times New Roman" w:cs="Times New Roman"/>
          <w:sz w:val="24"/>
          <w:szCs w:val="24"/>
        </w:rPr>
      </w:pPr>
    </w:p>
    <w:p w:rsidR="00F704A7" w:rsidRPr="004415E2" w:rsidRDefault="00F704A7" w:rsidP="00DA6E02">
      <w:pPr>
        <w:pStyle w:val="ListParagraph"/>
        <w:spacing w:before="120" w:after="0" w:line="360" w:lineRule="auto"/>
        <w:rPr>
          <w:rFonts w:ascii="Times New Roman" w:hAnsi="Times New Roman" w:cs="Times New Roman"/>
          <w:sz w:val="24"/>
          <w:szCs w:val="24"/>
        </w:rPr>
      </w:pPr>
    </w:p>
    <w:p w:rsidR="00B97F3A" w:rsidRPr="004415E2" w:rsidRDefault="00B97F3A" w:rsidP="00DA6E02">
      <w:pPr>
        <w:pStyle w:val="ListParagraph"/>
        <w:spacing w:before="120" w:after="0" w:line="360" w:lineRule="auto"/>
        <w:rPr>
          <w:rFonts w:ascii="Times New Roman" w:hAnsi="Times New Roman" w:cs="Times New Roman"/>
          <w:sz w:val="24"/>
          <w:szCs w:val="24"/>
        </w:rPr>
      </w:pPr>
    </w:p>
    <w:p w:rsidR="00B97F3A" w:rsidRPr="004415E2" w:rsidRDefault="00B97F3A" w:rsidP="00DA6E02">
      <w:pPr>
        <w:pStyle w:val="ListParagraph"/>
        <w:spacing w:before="120" w:after="0" w:line="360" w:lineRule="auto"/>
        <w:rPr>
          <w:rFonts w:ascii="Times New Roman" w:hAnsi="Times New Roman" w:cs="Times New Roman"/>
          <w:sz w:val="24"/>
          <w:szCs w:val="24"/>
        </w:rPr>
      </w:pPr>
    </w:p>
    <w:p w:rsidR="00B97F3A" w:rsidRPr="004415E2" w:rsidRDefault="00B97F3A" w:rsidP="00B97F3A">
      <w:pPr>
        <w:rPr>
          <w:rFonts w:ascii="Times New Roman" w:eastAsia="Calibri" w:hAnsi="Times New Roman" w:cs="Times New Roman"/>
          <w:b/>
          <w:bCs/>
          <w:color w:val="00B0F0"/>
          <w:sz w:val="24"/>
          <w:szCs w:val="24"/>
          <w:lang/>
        </w:rPr>
      </w:pPr>
      <w:r w:rsidRPr="004415E2">
        <w:rPr>
          <w:rFonts w:ascii="Times New Roman" w:eastAsia="Calibri" w:hAnsi="Times New Roman" w:cs="Times New Roman"/>
          <w:b/>
          <w:bCs/>
          <w:color w:val="00B0F0"/>
          <w:sz w:val="24"/>
          <w:szCs w:val="24"/>
        </w:rPr>
        <w:lastRenderedPageBreak/>
        <w:t xml:space="preserve">                                               </w:t>
      </w:r>
      <w:r w:rsidRPr="004415E2">
        <w:rPr>
          <w:rFonts w:ascii="Times New Roman" w:eastAsia="Calibri" w:hAnsi="Times New Roman" w:cs="Times New Roman"/>
          <w:b/>
          <w:bCs/>
          <w:color w:val="00B0F0"/>
          <w:sz w:val="24"/>
          <w:szCs w:val="24"/>
          <w:lang/>
        </w:rPr>
        <w:t>References</w:t>
      </w:r>
    </w:p>
    <w:p w:rsidR="00B97F3A" w:rsidRPr="004415E2" w:rsidRDefault="00B97F3A" w:rsidP="00B97F3A">
      <w:pPr>
        <w:rPr>
          <w:rFonts w:ascii="Times New Roman" w:eastAsia="Calibri" w:hAnsi="Times New Roman" w:cs="Times New Roman"/>
          <w:sz w:val="24"/>
          <w:szCs w:val="24"/>
          <w:lang w:val="en-GB"/>
        </w:rPr>
      </w:pPr>
      <w:proofErr w:type="spellStart"/>
      <w:r w:rsidRPr="004415E2">
        <w:rPr>
          <w:rFonts w:ascii="Times New Roman" w:eastAsia="Calibri" w:hAnsi="Times New Roman" w:cs="Times New Roman"/>
          <w:sz w:val="24"/>
          <w:szCs w:val="24"/>
          <w:lang w:val="en-GB"/>
        </w:rPr>
        <w:t>Brandberg</w:t>
      </w:r>
      <w:proofErr w:type="spellEnd"/>
      <w:r w:rsidRPr="004415E2">
        <w:rPr>
          <w:rFonts w:ascii="Times New Roman" w:eastAsia="Calibri" w:hAnsi="Times New Roman" w:cs="Times New Roman"/>
          <w:sz w:val="24"/>
          <w:szCs w:val="24"/>
          <w:lang w:val="en-GB"/>
        </w:rPr>
        <w:t xml:space="preserve">, B. (1997) </w:t>
      </w:r>
      <w:r w:rsidRPr="004415E2">
        <w:rPr>
          <w:rFonts w:ascii="Times New Roman" w:eastAsia="Calibri" w:hAnsi="Times New Roman" w:cs="Times New Roman"/>
          <w:i/>
          <w:sz w:val="24"/>
          <w:szCs w:val="24"/>
          <w:lang w:val="en-GB"/>
        </w:rPr>
        <w:t xml:space="preserve">Latrine Building: A Handbook for Implementing the </w:t>
      </w:r>
      <w:proofErr w:type="spellStart"/>
      <w:r w:rsidRPr="004415E2">
        <w:rPr>
          <w:rFonts w:ascii="Times New Roman" w:eastAsia="Calibri" w:hAnsi="Times New Roman" w:cs="Times New Roman"/>
          <w:i/>
          <w:sz w:val="24"/>
          <w:szCs w:val="24"/>
          <w:lang w:val="en-GB"/>
        </w:rPr>
        <w:t>SanPlat</w:t>
      </w:r>
      <w:proofErr w:type="spellEnd"/>
      <w:r w:rsidRPr="004415E2">
        <w:rPr>
          <w:rFonts w:ascii="Times New Roman" w:eastAsia="Calibri" w:hAnsi="Times New Roman" w:cs="Times New Roman"/>
          <w:i/>
          <w:sz w:val="24"/>
          <w:szCs w:val="24"/>
          <w:lang w:val="en-GB"/>
        </w:rPr>
        <w:t xml:space="preserve"> System</w:t>
      </w:r>
      <w:r w:rsidRPr="004415E2">
        <w:rPr>
          <w:rFonts w:ascii="Times New Roman" w:eastAsia="Calibri" w:hAnsi="Times New Roman" w:cs="Times New Roman"/>
          <w:sz w:val="24"/>
          <w:szCs w:val="24"/>
          <w:lang w:val="en-GB"/>
        </w:rPr>
        <w:t>, London, Intermediate Technology.</w:t>
      </w:r>
    </w:p>
    <w:p w:rsidR="00DA6E02" w:rsidRPr="004415E2" w:rsidRDefault="00B97F3A" w:rsidP="00B97F3A">
      <w:pPr>
        <w:rPr>
          <w:rStyle w:val="Hyperlink"/>
          <w:rFonts w:ascii="Times New Roman" w:eastAsia="Calibri" w:hAnsi="Times New Roman" w:cs="Times New Roman"/>
          <w:sz w:val="24"/>
          <w:szCs w:val="24"/>
          <w:lang w:val="en-GB"/>
        </w:rPr>
      </w:pPr>
      <w:proofErr w:type="spellStart"/>
      <w:proofErr w:type="gramStart"/>
      <w:r w:rsidRPr="004415E2">
        <w:rPr>
          <w:rFonts w:ascii="Times New Roman" w:eastAsia="Calibri" w:hAnsi="Times New Roman" w:cs="Times New Roman"/>
          <w:sz w:val="24"/>
          <w:szCs w:val="24"/>
          <w:lang w:val="en-GB"/>
        </w:rPr>
        <w:t>Brikke</w:t>
      </w:r>
      <w:proofErr w:type="spellEnd"/>
      <w:r w:rsidRPr="004415E2">
        <w:rPr>
          <w:rFonts w:ascii="Times New Roman" w:eastAsia="Calibri" w:hAnsi="Times New Roman" w:cs="Times New Roman"/>
          <w:sz w:val="24"/>
          <w:szCs w:val="24"/>
          <w:lang w:val="en-GB"/>
        </w:rPr>
        <w:t xml:space="preserve">, F. and </w:t>
      </w:r>
      <w:proofErr w:type="spellStart"/>
      <w:r w:rsidRPr="004415E2">
        <w:rPr>
          <w:rFonts w:ascii="Times New Roman" w:eastAsia="Calibri" w:hAnsi="Times New Roman" w:cs="Times New Roman"/>
          <w:sz w:val="24"/>
          <w:szCs w:val="24"/>
          <w:lang w:val="en-GB"/>
        </w:rPr>
        <w:t>Bredero</w:t>
      </w:r>
      <w:proofErr w:type="spellEnd"/>
      <w:r w:rsidRPr="004415E2">
        <w:rPr>
          <w:rFonts w:ascii="Times New Roman" w:eastAsia="Calibri" w:hAnsi="Times New Roman" w:cs="Times New Roman"/>
          <w:sz w:val="24"/>
          <w:szCs w:val="24"/>
          <w:lang w:val="en-GB"/>
        </w:rPr>
        <w:t xml:space="preserve">, M. (2003) </w:t>
      </w:r>
      <w:r w:rsidRPr="004415E2">
        <w:rPr>
          <w:rFonts w:ascii="Times New Roman" w:eastAsia="Calibri" w:hAnsi="Times New Roman" w:cs="Times New Roman"/>
          <w:i/>
          <w:sz w:val="24"/>
          <w:szCs w:val="24"/>
          <w:lang w:val="en-GB"/>
        </w:rPr>
        <w:t>Linking Technology Choice with Operation and Maintenance in the Context of Community Water Supply and Sanitation: A Reference Document for Planners and Project Staff</w:t>
      </w:r>
      <w:r w:rsidRPr="004415E2">
        <w:rPr>
          <w:rFonts w:ascii="Times New Roman" w:eastAsia="Calibri" w:hAnsi="Times New Roman" w:cs="Times New Roman"/>
          <w:sz w:val="24"/>
          <w:szCs w:val="24"/>
          <w:lang w:val="en-GB"/>
        </w:rPr>
        <w:t>, Geneva, World Health Organization and IRC Water and Sanitation Centre [Online].</w:t>
      </w:r>
      <w:proofErr w:type="gramEnd"/>
      <w:r w:rsidRPr="004415E2">
        <w:rPr>
          <w:rFonts w:ascii="Times New Roman" w:eastAsia="Calibri" w:hAnsi="Times New Roman" w:cs="Times New Roman"/>
          <w:sz w:val="24"/>
          <w:szCs w:val="24"/>
          <w:lang w:val="en-GB"/>
        </w:rPr>
        <w:t xml:space="preserve"> Available at </w:t>
      </w:r>
      <w:hyperlink r:id="rId8" w:history="1">
        <w:r w:rsidRPr="004415E2">
          <w:rPr>
            <w:rStyle w:val="Hyperlink"/>
            <w:rFonts w:ascii="Times New Roman" w:eastAsia="Calibri" w:hAnsi="Times New Roman" w:cs="Times New Roman"/>
            <w:sz w:val="24"/>
            <w:szCs w:val="24"/>
            <w:lang w:val="en-GB"/>
          </w:rPr>
          <w:t>http://www.who.int/water_sanitation_health/hygiene/om/wsh9241562153.pdf</w:t>
        </w:r>
      </w:hyperlink>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spellStart"/>
      <w:r w:rsidRPr="00B97F3A">
        <w:rPr>
          <w:rFonts w:ascii="Times New Roman" w:eastAsia="Calibri" w:hAnsi="Times New Roman" w:cs="Times New Roman"/>
          <w:sz w:val="24"/>
          <w:szCs w:val="24"/>
          <w:lang w:val="en-GB"/>
        </w:rPr>
        <w:t>Abayneh</w:t>
      </w:r>
      <w:proofErr w:type="spellEnd"/>
      <w:r w:rsidRPr="00B97F3A">
        <w:rPr>
          <w:rFonts w:ascii="Times New Roman" w:eastAsia="Calibri" w:hAnsi="Times New Roman" w:cs="Times New Roman"/>
          <w:sz w:val="24"/>
          <w:szCs w:val="24"/>
          <w:lang w:val="en-GB"/>
        </w:rPr>
        <w:t xml:space="preserve">, A. (2004) </w:t>
      </w:r>
      <w:r w:rsidRPr="00B97F3A">
        <w:rPr>
          <w:rFonts w:ascii="Times New Roman" w:eastAsia="Calibri" w:hAnsi="Times New Roman" w:cs="Times New Roman"/>
          <w:i/>
          <w:sz w:val="24"/>
          <w:szCs w:val="24"/>
          <w:lang w:val="en-GB"/>
        </w:rPr>
        <w:t xml:space="preserve">Water Supply II : Lecture Notes for Environmental Health Science Students, </w:t>
      </w:r>
      <w:proofErr w:type="spellStart"/>
      <w:r w:rsidRPr="00B97F3A">
        <w:rPr>
          <w:rFonts w:ascii="Times New Roman" w:eastAsia="Calibri" w:hAnsi="Times New Roman" w:cs="Times New Roman"/>
          <w:i/>
          <w:sz w:val="24"/>
          <w:szCs w:val="24"/>
          <w:lang w:val="en-GB"/>
        </w:rPr>
        <w:t>Hawassa</w:t>
      </w:r>
      <w:proofErr w:type="spellEnd"/>
      <w:r w:rsidRPr="00B97F3A">
        <w:rPr>
          <w:rFonts w:ascii="Times New Roman" w:eastAsia="Calibri" w:hAnsi="Times New Roman" w:cs="Times New Roman"/>
          <w:i/>
          <w:sz w:val="24"/>
          <w:szCs w:val="24"/>
          <w:lang w:val="en-GB"/>
        </w:rPr>
        <w:t xml:space="preserve"> University</w:t>
      </w:r>
      <w:r w:rsidRPr="00B97F3A">
        <w:rPr>
          <w:rFonts w:ascii="Times New Roman" w:eastAsia="Calibri" w:hAnsi="Times New Roman" w:cs="Times New Roman"/>
          <w:sz w:val="24"/>
          <w:szCs w:val="24"/>
          <w:lang w:val="en-GB"/>
        </w:rPr>
        <w:t xml:space="preserve">, prepared in collaboration with the Ethiopia Public Health Training Initiative, The Carter </w:t>
      </w:r>
      <w:proofErr w:type="spellStart"/>
      <w:r w:rsidRPr="00B97F3A">
        <w:rPr>
          <w:rFonts w:ascii="Times New Roman" w:eastAsia="Calibri" w:hAnsi="Times New Roman" w:cs="Times New Roman"/>
          <w:sz w:val="24"/>
          <w:szCs w:val="24"/>
          <w:lang w:val="en-GB"/>
        </w:rPr>
        <w:t>Center</w:t>
      </w:r>
      <w:proofErr w:type="spellEnd"/>
      <w:r w:rsidRPr="00B97F3A">
        <w:rPr>
          <w:rFonts w:ascii="Times New Roman" w:eastAsia="Calibri" w:hAnsi="Times New Roman" w:cs="Times New Roman"/>
          <w:sz w:val="24"/>
          <w:szCs w:val="24"/>
          <w:lang w:val="en-GB"/>
        </w:rPr>
        <w:t xml:space="preserve">, Ethiopia Ministry of Health, and Ethiopia Ministry of Education [Online], Available at </w:t>
      </w:r>
      <w:hyperlink r:id="rId9" w:history="1">
        <w:r w:rsidRPr="004415E2">
          <w:rPr>
            <w:rFonts w:ascii="Times New Roman" w:eastAsia="Calibri" w:hAnsi="Times New Roman" w:cs="Times New Roman"/>
            <w:color w:val="0000FF"/>
            <w:sz w:val="24"/>
            <w:szCs w:val="24"/>
            <w:u w:val="single"/>
            <w:lang w:val="en-GB"/>
          </w:rPr>
          <w:t>http://www.cartercenter.org/resources/pdfs/health/ephti/library/lecture_notes/env_health_science_students/LN_Water_Supply_II_final.pdf</w:t>
        </w:r>
      </w:hyperlink>
      <w:r w:rsidRPr="004415E2">
        <w:rPr>
          <w:rFonts w:ascii="Times New Roman" w:eastAsia="Calibri" w:hAnsi="Times New Roman" w:cs="Times New Roman"/>
          <w:sz w:val="24"/>
          <w:szCs w:val="24"/>
          <w:lang w:val="en-GB"/>
        </w:rPr>
        <w:t xml:space="preserve"> .</w:t>
      </w:r>
    </w:p>
    <w:p w:rsidR="00B97F3A" w:rsidRPr="00B97F3A" w:rsidRDefault="00B97F3A" w:rsidP="00B97F3A">
      <w:pPr>
        <w:spacing w:before="120" w:after="0" w:line="240" w:lineRule="atLeast"/>
        <w:rPr>
          <w:rFonts w:ascii="Times New Roman" w:eastAsia="Calibri" w:hAnsi="Times New Roman" w:cs="Times New Roman"/>
          <w:sz w:val="24"/>
          <w:szCs w:val="24"/>
          <w:lang w:val="en-GB"/>
        </w:rPr>
      </w:pPr>
      <w:r w:rsidRPr="00B97F3A">
        <w:rPr>
          <w:rFonts w:ascii="Times New Roman" w:eastAsia="Calibri" w:hAnsi="Times New Roman" w:cs="Times New Roman"/>
          <w:sz w:val="24"/>
          <w:szCs w:val="24"/>
          <w:lang w:val="en-GB"/>
        </w:rPr>
        <w:t xml:space="preserve">Addis Ababa Water and Sewerage Authority (AAWSA) (2011) </w:t>
      </w:r>
      <w:r w:rsidRPr="00B97F3A">
        <w:rPr>
          <w:rFonts w:ascii="Times New Roman" w:eastAsia="Calibri" w:hAnsi="Times New Roman" w:cs="Times New Roman"/>
          <w:i/>
          <w:sz w:val="24"/>
          <w:szCs w:val="24"/>
          <w:lang w:val="en-GB"/>
        </w:rPr>
        <w:t>City Government of Addis Ababa, Addis Ababa Water and Sewerage Authority Business Plan 2011–2020</w:t>
      </w:r>
      <w:r w:rsidRPr="00B97F3A">
        <w:rPr>
          <w:rFonts w:ascii="Times New Roman" w:eastAsia="Calibri" w:hAnsi="Times New Roman" w:cs="Times New Roman"/>
          <w:sz w:val="24"/>
          <w:szCs w:val="24"/>
          <w:lang w:val="en-GB"/>
        </w:rPr>
        <w:t>, Final Report, Addis Ababa, AAAWSA.</w:t>
      </w:r>
    </w:p>
    <w:p w:rsidR="00B97F3A" w:rsidRPr="00B97F3A" w:rsidRDefault="00B97F3A" w:rsidP="00B97F3A">
      <w:pPr>
        <w:spacing w:before="120" w:after="0" w:line="240" w:lineRule="atLeast"/>
        <w:rPr>
          <w:rFonts w:ascii="Times New Roman" w:eastAsia="Calibri" w:hAnsi="Times New Roman" w:cs="Times New Roman"/>
          <w:sz w:val="24"/>
          <w:szCs w:val="24"/>
          <w:lang w:eastAsia="en-GB"/>
        </w:rPr>
      </w:pPr>
      <w:r w:rsidRPr="00B97F3A">
        <w:rPr>
          <w:rFonts w:ascii="Times New Roman" w:eastAsia="Calibri" w:hAnsi="Times New Roman" w:cs="Times New Roman"/>
          <w:sz w:val="24"/>
          <w:szCs w:val="24"/>
          <w:lang w:eastAsia="en-GB"/>
        </w:rPr>
        <w:t xml:space="preserve">Africa Infrastructure Country Diagnostic (AICD) (2008) </w:t>
      </w:r>
      <w:r w:rsidRPr="00B97F3A">
        <w:rPr>
          <w:rFonts w:ascii="Times New Roman" w:eastAsia="Calibri" w:hAnsi="Times New Roman" w:cs="Times New Roman"/>
          <w:i/>
          <w:sz w:val="24"/>
          <w:szCs w:val="24"/>
          <w:lang w:eastAsia="en-GB"/>
        </w:rPr>
        <w:t>Cost Recovery, Equity, and Efficiency in Water Tariffs: Evidence from African Utilities</w:t>
      </w:r>
      <w:r w:rsidRPr="00B97F3A">
        <w:rPr>
          <w:rFonts w:ascii="Times New Roman" w:eastAsia="Calibri" w:hAnsi="Times New Roman" w:cs="Times New Roman"/>
          <w:sz w:val="24"/>
          <w:szCs w:val="24"/>
          <w:lang w:eastAsia="en-GB"/>
        </w:rPr>
        <w:t xml:space="preserve">, AICD Working Paper 7, </w:t>
      </w:r>
      <w:proofErr w:type="gramStart"/>
      <w:r w:rsidRPr="00B97F3A">
        <w:rPr>
          <w:rFonts w:ascii="Times New Roman" w:eastAsia="Calibri" w:hAnsi="Times New Roman" w:cs="Times New Roman"/>
          <w:sz w:val="24"/>
          <w:szCs w:val="24"/>
          <w:lang w:eastAsia="en-GB"/>
        </w:rPr>
        <w:t>Washington</w:t>
      </w:r>
      <w:proofErr w:type="gramEnd"/>
      <w:r w:rsidRPr="00B97F3A">
        <w:rPr>
          <w:rFonts w:ascii="Times New Roman" w:eastAsia="Calibri" w:hAnsi="Times New Roman" w:cs="Times New Roman"/>
          <w:sz w:val="24"/>
          <w:szCs w:val="24"/>
          <w:lang w:eastAsia="en-GB"/>
        </w:rPr>
        <w:t xml:space="preserve"> DC, World Bank.</w:t>
      </w:r>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spellStart"/>
      <w:proofErr w:type="gramStart"/>
      <w:r w:rsidRPr="00B97F3A">
        <w:rPr>
          <w:rFonts w:ascii="Times New Roman" w:eastAsia="Calibri" w:hAnsi="Times New Roman" w:cs="Times New Roman"/>
          <w:sz w:val="24"/>
          <w:szCs w:val="24"/>
          <w:lang w:val="en-GB"/>
        </w:rPr>
        <w:t>Alemseged</w:t>
      </w:r>
      <w:proofErr w:type="spellEnd"/>
      <w:r w:rsidRPr="00B97F3A">
        <w:rPr>
          <w:rFonts w:ascii="Times New Roman" w:eastAsia="Calibri" w:hAnsi="Times New Roman" w:cs="Times New Roman"/>
          <w:sz w:val="24"/>
          <w:szCs w:val="24"/>
          <w:lang w:val="en-GB"/>
        </w:rPr>
        <w:t>, T. (2015) Personal communication, 27 March (Ethiopian Institute of Water Resources, Addis Ababa University).</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r w:rsidRPr="00B97F3A">
        <w:rPr>
          <w:rFonts w:ascii="Times New Roman" w:eastAsia="Calibri" w:hAnsi="Times New Roman" w:cs="Times New Roman"/>
          <w:sz w:val="24"/>
          <w:szCs w:val="24"/>
          <w:lang w:val="en-GB"/>
        </w:rPr>
        <w:t xml:space="preserve">Ali, M. and </w:t>
      </w:r>
      <w:proofErr w:type="spellStart"/>
      <w:r w:rsidRPr="00B97F3A">
        <w:rPr>
          <w:rFonts w:ascii="Times New Roman" w:eastAsia="Calibri" w:hAnsi="Times New Roman" w:cs="Times New Roman"/>
          <w:sz w:val="24"/>
          <w:szCs w:val="24"/>
          <w:lang w:val="en-GB"/>
        </w:rPr>
        <w:t>Terfa</w:t>
      </w:r>
      <w:proofErr w:type="spellEnd"/>
      <w:r w:rsidRPr="00B97F3A">
        <w:rPr>
          <w:rFonts w:ascii="Times New Roman" w:eastAsia="Calibri" w:hAnsi="Times New Roman" w:cs="Times New Roman"/>
          <w:sz w:val="24"/>
          <w:szCs w:val="24"/>
          <w:lang w:val="en-GB"/>
        </w:rPr>
        <w:t xml:space="preserve">, A.B. (2012) State of water supply and consumption in urban areas at household level: A case study of East </w:t>
      </w:r>
      <w:proofErr w:type="spellStart"/>
      <w:r w:rsidRPr="00B97F3A">
        <w:rPr>
          <w:rFonts w:ascii="Times New Roman" w:eastAsia="Calibri" w:hAnsi="Times New Roman" w:cs="Times New Roman"/>
          <w:sz w:val="24"/>
          <w:szCs w:val="24"/>
          <w:lang w:val="en-GB"/>
        </w:rPr>
        <w:t>Wollega</w:t>
      </w:r>
      <w:proofErr w:type="spellEnd"/>
      <w:r w:rsidRPr="00B97F3A">
        <w:rPr>
          <w:rFonts w:ascii="Times New Roman" w:eastAsia="Calibri" w:hAnsi="Times New Roman" w:cs="Times New Roman"/>
          <w:sz w:val="24"/>
          <w:szCs w:val="24"/>
          <w:lang w:val="en-GB"/>
        </w:rPr>
        <w:t xml:space="preserve"> Zone, Ethiopia, </w:t>
      </w:r>
      <w:r w:rsidRPr="00B97F3A">
        <w:rPr>
          <w:rFonts w:ascii="Times New Roman" w:eastAsia="Calibri" w:hAnsi="Times New Roman" w:cs="Times New Roman"/>
          <w:i/>
          <w:sz w:val="24"/>
          <w:szCs w:val="24"/>
          <w:lang w:val="en-GB"/>
        </w:rPr>
        <w:t>British Journal of Humanities and Social Science</w:t>
      </w:r>
      <w:r w:rsidRPr="00B97F3A">
        <w:rPr>
          <w:rFonts w:ascii="Times New Roman" w:eastAsia="Calibri" w:hAnsi="Times New Roman" w:cs="Times New Roman"/>
          <w:sz w:val="24"/>
          <w:szCs w:val="24"/>
          <w:lang w:val="en-GB"/>
        </w:rPr>
        <w:t xml:space="preserve">, vol. 5, no. 2 [Online]. </w:t>
      </w:r>
      <w:proofErr w:type="gramStart"/>
      <w:r w:rsidRPr="00B97F3A">
        <w:rPr>
          <w:rFonts w:ascii="Times New Roman" w:eastAsia="Calibri" w:hAnsi="Times New Roman" w:cs="Times New Roman"/>
          <w:sz w:val="24"/>
          <w:szCs w:val="24"/>
          <w:lang w:val="en-GB"/>
        </w:rPr>
        <w:t xml:space="preserve">Available at </w:t>
      </w:r>
      <w:hyperlink r:id="rId10" w:history="1">
        <w:r w:rsidRPr="004415E2">
          <w:rPr>
            <w:rFonts w:ascii="Times New Roman" w:eastAsia="Calibri" w:hAnsi="Times New Roman" w:cs="Times New Roman"/>
            <w:color w:val="0000FF"/>
            <w:sz w:val="24"/>
            <w:szCs w:val="24"/>
            <w:u w:val="single"/>
            <w:lang w:val="en-GB"/>
          </w:rPr>
          <w:t>http://tinyurl.com/h2ngog3</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Times New Roman" w:hAnsi="Times New Roman" w:cs="Times New Roman"/>
          <w:i/>
          <w:color w:val="999999"/>
          <w:sz w:val="24"/>
          <w:szCs w:val="24"/>
          <w:lang w:val="en-GB" w:eastAsia="en-GB"/>
        </w:rPr>
      </w:pPr>
      <w:r w:rsidRPr="00B97F3A">
        <w:rPr>
          <w:rFonts w:ascii="Times New Roman" w:eastAsia="Calibri" w:hAnsi="Times New Roman" w:cs="Times New Roman"/>
          <w:sz w:val="24"/>
          <w:szCs w:val="24"/>
          <w:lang w:val="en-GB"/>
        </w:rPr>
        <w:t>Anon. (2013a) ‘Ethiopia launches Africa's first unified utility billing system’,</w:t>
      </w:r>
      <w:r w:rsidRPr="00B97F3A">
        <w:rPr>
          <w:rFonts w:ascii="Times New Roman" w:eastAsia="Calibri" w:hAnsi="Times New Roman" w:cs="Times New Roman"/>
          <w:i/>
          <w:sz w:val="24"/>
          <w:szCs w:val="24"/>
          <w:lang w:val="en-GB"/>
        </w:rPr>
        <w:t xml:space="preserve"> The Africa Report</w:t>
      </w:r>
      <w:r w:rsidRPr="00B97F3A">
        <w:rPr>
          <w:rFonts w:ascii="Times New Roman" w:eastAsia="Calibri" w:hAnsi="Times New Roman" w:cs="Times New Roman"/>
          <w:sz w:val="24"/>
          <w:szCs w:val="24"/>
          <w:lang w:val="en-GB"/>
        </w:rPr>
        <w:t xml:space="preserve"> [Online]. </w:t>
      </w:r>
      <w:proofErr w:type="gramStart"/>
      <w:r w:rsidRPr="00B97F3A">
        <w:rPr>
          <w:rFonts w:ascii="Times New Roman" w:eastAsia="Calibri" w:hAnsi="Times New Roman" w:cs="Times New Roman"/>
          <w:sz w:val="24"/>
          <w:szCs w:val="24"/>
          <w:lang w:val="en-GB"/>
        </w:rPr>
        <w:t xml:space="preserve">Available at </w:t>
      </w:r>
      <w:hyperlink r:id="rId11" w:history="1">
        <w:r w:rsidRPr="004415E2">
          <w:rPr>
            <w:rFonts w:ascii="Times New Roman" w:eastAsia="Calibri" w:hAnsi="Times New Roman" w:cs="Times New Roman"/>
            <w:color w:val="0000FF"/>
            <w:sz w:val="24"/>
            <w:szCs w:val="24"/>
            <w:u w:val="single"/>
            <w:lang w:val="en-GB"/>
          </w:rPr>
          <w:t>http://www.theafricareport.com/East-Horn-Africa/ethiopia-launches-africas-first-unified-utility-billing-system.html</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gramStart"/>
      <w:r w:rsidRPr="00B97F3A">
        <w:rPr>
          <w:rFonts w:ascii="Times New Roman" w:eastAsia="Calibri" w:hAnsi="Times New Roman" w:cs="Times New Roman"/>
          <w:sz w:val="24"/>
          <w:szCs w:val="24"/>
          <w:lang w:val="en-GB"/>
        </w:rPr>
        <w:t xml:space="preserve">Anon. (2013b) ‘Three-in-one’, </w:t>
      </w:r>
      <w:r w:rsidRPr="00B97F3A">
        <w:rPr>
          <w:rFonts w:ascii="Times New Roman" w:eastAsia="Calibri" w:hAnsi="Times New Roman" w:cs="Times New Roman"/>
          <w:i/>
          <w:sz w:val="24"/>
          <w:szCs w:val="24"/>
          <w:lang w:val="en-GB"/>
        </w:rPr>
        <w:t>Addis Fortune</w:t>
      </w:r>
      <w:r w:rsidRPr="00B97F3A">
        <w:rPr>
          <w:rFonts w:ascii="Times New Roman" w:eastAsia="Calibri" w:hAnsi="Times New Roman" w:cs="Times New Roman"/>
          <w:sz w:val="24"/>
          <w:szCs w:val="24"/>
          <w:lang w:val="en-GB"/>
        </w:rPr>
        <w:t xml:space="preserve"> vol. 13, no. 664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2" w:history="1">
        <w:r w:rsidRPr="004415E2">
          <w:rPr>
            <w:rFonts w:ascii="Times New Roman" w:eastAsia="Calibri" w:hAnsi="Times New Roman" w:cs="Times New Roman"/>
            <w:color w:val="0000FF"/>
            <w:sz w:val="24"/>
            <w:szCs w:val="24"/>
            <w:u w:val="single"/>
            <w:lang w:val="en-GB"/>
          </w:rPr>
          <w:t>http://addisfortune.net/articles/three-in-one/</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gramStart"/>
      <w:r w:rsidRPr="00B97F3A">
        <w:rPr>
          <w:rFonts w:ascii="Times New Roman" w:eastAsia="Calibri" w:hAnsi="Times New Roman" w:cs="Times New Roman"/>
          <w:sz w:val="24"/>
          <w:szCs w:val="24"/>
          <w:lang w:val="en-GB"/>
        </w:rPr>
        <w:t xml:space="preserve">Asian Development Bank (2013) </w:t>
      </w:r>
      <w:r w:rsidRPr="00B97F3A">
        <w:rPr>
          <w:rFonts w:ascii="Times New Roman" w:eastAsia="Calibri" w:hAnsi="Times New Roman" w:cs="Times New Roman"/>
          <w:i/>
          <w:sz w:val="24"/>
          <w:szCs w:val="24"/>
          <w:lang w:val="en-GB"/>
        </w:rPr>
        <w:t>Water Utility Asset Management: A Guide for Development Practitioners</w:t>
      </w:r>
      <w:r w:rsidRPr="00B97F3A">
        <w:rPr>
          <w:rFonts w:ascii="Times New Roman" w:eastAsia="Calibri" w:hAnsi="Times New Roman" w:cs="Times New Roman"/>
          <w:sz w:val="24"/>
          <w:szCs w:val="24"/>
          <w:lang w:val="en-GB"/>
        </w:rPr>
        <w:t xml:space="preserve">, </w:t>
      </w:r>
      <w:proofErr w:type="spellStart"/>
      <w:r w:rsidRPr="00B97F3A">
        <w:rPr>
          <w:rFonts w:ascii="Times New Roman" w:eastAsia="Calibri" w:hAnsi="Times New Roman" w:cs="Times New Roman"/>
          <w:sz w:val="24"/>
          <w:szCs w:val="24"/>
          <w:lang w:val="en-GB"/>
        </w:rPr>
        <w:t>Mandaluyong</w:t>
      </w:r>
      <w:proofErr w:type="spellEnd"/>
      <w:r w:rsidRPr="00B97F3A">
        <w:rPr>
          <w:rFonts w:ascii="Times New Roman" w:eastAsia="Calibri" w:hAnsi="Times New Roman" w:cs="Times New Roman"/>
          <w:sz w:val="24"/>
          <w:szCs w:val="24"/>
          <w:lang w:val="en-GB"/>
        </w:rPr>
        <w:t xml:space="preserve"> City, Philippines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3" w:history="1">
        <w:r w:rsidRPr="004415E2">
          <w:rPr>
            <w:rFonts w:ascii="Times New Roman" w:eastAsia="Calibri" w:hAnsi="Times New Roman" w:cs="Times New Roman"/>
            <w:color w:val="0000FF"/>
            <w:sz w:val="24"/>
            <w:szCs w:val="24"/>
            <w:u w:val="single"/>
            <w:lang w:val="en-GB"/>
          </w:rPr>
          <w:t>http://www.adb.org/sites/default/files/institutional-document/42451/files/water-utility-asset-management-guide.pdf</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r w:rsidRPr="00B97F3A">
        <w:rPr>
          <w:rFonts w:ascii="Times New Roman" w:eastAsia="Calibri" w:hAnsi="Times New Roman" w:cs="Times New Roman"/>
          <w:sz w:val="24"/>
          <w:szCs w:val="24"/>
          <w:lang w:val="en-GB"/>
        </w:rPr>
        <w:t xml:space="preserve">Athena Infonomics (2012) </w:t>
      </w:r>
      <w:r w:rsidRPr="00B97F3A">
        <w:rPr>
          <w:rFonts w:ascii="Times New Roman" w:eastAsia="Calibri" w:hAnsi="Times New Roman" w:cs="Times New Roman"/>
          <w:i/>
          <w:sz w:val="24"/>
          <w:szCs w:val="24"/>
          <w:lang w:val="en-GB"/>
        </w:rPr>
        <w:t>Public Private Partnerships in Urban Water Supply: Potential and strategies</w:t>
      </w:r>
      <w:r w:rsidRPr="00B97F3A">
        <w:rPr>
          <w:rFonts w:ascii="Times New Roman" w:eastAsia="Calibri" w:hAnsi="Times New Roman" w:cs="Times New Roman"/>
          <w:sz w:val="24"/>
          <w:szCs w:val="24"/>
          <w:lang w:val="en-GB"/>
        </w:rPr>
        <w:t xml:space="preserve">, Chennai, Athena Infonomics [Online]. </w:t>
      </w:r>
      <w:proofErr w:type="gramStart"/>
      <w:r w:rsidRPr="00B97F3A">
        <w:rPr>
          <w:rFonts w:ascii="Times New Roman" w:eastAsia="Calibri" w:hAnsi="Times New Roman" w:cs="Times New Roman"/>
          <w:sz w:val="24"/>
          <w:szCs w:val="24"/>
          <w:lang w:val="en-GB"/>
        </w:rPr>
        <w:t xml:space="preserve">Available at </w:t>
      </w:r>
      <w:hyperlink r:id="rId14" w:history="1">
        <w:r w:rsidRPr="004415E2">
          <w:rPr>
            <w:rFonts w:ascii="Times New Roman" w:eastAsia="Calibri" w:hAnsi="Times New Roman" w:cs="Times New Roman"/>
            <w:color w:val="0000FF"/>
            <w:sz w:val="24"/>
            <w:szCs w:val="24"/>
            <w:u w:val="single"/>
            <w:lang w:val="en-GB"/>
          </w:rPr>
          <w:t>http://tinyurl.com/jz5y5g5</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spellStart"/>
      <w:proofErr w:type="gramStart"/>
      <w:r w:rsidRPr="00B97F3A">
        <w:rPr>
          <w:rFonts w:ascii="Times New Roman" w:eastAsia="Calibri" w:hAnsi="Times New Roman" w:cs="Times New Roman"/>
          <w:sz w:val="24"/>
          <w:szCs w:val="24"/>
          <w:lang w:val="en-GB"/>
        </w:rPr>
        <w:lastRenderedPageBreak/>
        <w:t>Barreto</w:t>
      </w:r>
      <w:proofErr w:type="spellEnd"/>
      <w:r w:rsidRPr="00B97F3A">
        <w:rPr>
          <w:rFonts w:ascii="Times New Roman" w:eastAsia="Calibri" w:hAnsi="Times New Roman" w:cs="Times New Roman"/>
          <w:sz w:val="24"/>
          <w:szCs w:val="24"/>
          <w:lang w:val="en-GB"/>
        </w:rPr>
        <w:t xml:space="preserve"> Dillon, L. (</w:t>
      </w:r>
      <w:proofErr w:type="spellStart"/>
      <w:r w:rsidRPr="00B97F3A">
        <w:rPr>
          <w:rFonts w:ascii="Times New Roman" w:eastAsia="Calibri" w:hAnsi="Times New Roman" w:cs="Times New Roman"/>
          <w:sz w:val="24"/>
          <w:szCs w:val="24"/>
          <w:lang w:val="en-GB"/>
        </w:rPr>
        <w:t>n.d.</w:t>
      </w:r>
      <w:proofErr w:type="spellEnd"/>
      <w:r w:rsidRPr="00B97F3A">
        <w:rPr>
          <w:rFonts w:ascii="Times New Roman" w:eastAsia="Calibri" w:hAnsi="Times New Roman" w:cs="Times New Roman"/>
          <w:sz w:val="24"/>
          <w:szCs w:val="24"/>
          <w:lang w:val="en-GB"/>
        </w:rPr>
        <w:t>) ‘Operation and maintenance’, Sustainable Sanitation and Water Management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5" w:history="1">
        <w:r w:rsidRPr="004415E2">
          <w:rPr>
            <w:rFonts w:ascii="Times New Roman" w:eastAsia="Calibri" w:hAnsi="Times New Roman" w:cs="Times New Roman"/>
            <w:color w:val="0000FF"/>
            <w:sz w:val="24"/>
            <w:szCs w:val="24"/>
            <w:u w:val="single"/>
            <w:lang w:val="en-GB"/>
          </w:rPr>
          <w:t>http://www.sswm.info/content/operation-and-maintenance-0</w:t>
        </w:r>
      </w:hyperlink>
      <w:r w:rsidRPr="004415E2">
        <w:rPr>
          <w:rFonts w:ascii="Times New Roman" w:eastAsia="Calibri" w:hAnsi="Times New Roman" w:cs="Times New Roman"/>
          <w:sz w:val="24"/>
          <w:szCs w:val="24"/>
          <w:lang w:val="en-GB"/>
        </w:rPr>
        <w:t xml:space="preserve"> .</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r w:rsidRPr="00B97F3A">
        <w:rPr>
          <w:rFonts w:ascii="Times New Roman" w:eastAsia="Calibri" w:hAnsi="Times New Roman" w:cs="Times New Roman"/>
          <w:sz w:val="24"/>
          <w:szCs w:val="24"/>
          <w:lang w:val="en-GB"/>
        </w:rPr>
        <w:t xml:space="preserve">Bartram, J., Corrales, L., Davison, A., Deere, D., Drury, D., Gordon, B. et al. (2009) </w:t>
      </w:r>
      <w:r w:rsidRPr="00B97F3A">
        <w:rPr>
          <w:rFonts w:ascii="Times New Roman" w:eastAsia="Calibri" w:hAnsi="Times New Roman" w:cs="Times New Roman"/>
          <w:i/>
          <w:sz w:val="24"/>
          <w:szCs w:val="24"/>
          <w:lang w:val="en-GB"/>
        </w:rPr>
        <w:t>Water Safety Plan Manual: Step-by-step Risk Management for Drinking-water Suppliers</w:t>
      </w:r>
      <w:r w:rsidRPr="00B97F3A">
        <w:rPr>
          <w:rFonts w:ascii="Times New Roman" w:eastAsia="Calibri" w:hAnsi="Times New Roman" w:cs="Times New Roman"/>
          <w:sz w:val="24"/>
          <w:szCs w:val="24"/>
          <w:lang w:val="en-GB"/>
        </w:rPr>
        <w:t xml:space="preserve">, Geneva, WHO [Online]. </w:t>
      </w:r>
      <w:proofErr w:type="gramStart"/>
      <w:r w:rsidRPr="00B97F3A">
        <w:rPr>
          <w:rFonts w:ascii="Times New Roman" w:eastAsia="Calibri" w:hAnsi="Times New Roman" w:cs="Times New Roman"/>
          <w:sz w:val="24"/>
          <w:szCs w:val="24"/>
          <w:lang w:val="en-GB"/>
        </w:rPr>
        <w:t xml:space="preserve">Available at </w:t>
      </w:r>
      <w:hyperlink r:id="rId16" w:history="1">
        <w:r w:rsidRPr="004415E2">
          <w:rPr>
            <w:rFonts w:ascii="Times New Roman" w:eastAsia="Calibri" w:hAnsi="Times New Roman" w:cs="Times New Roman"/>
            <w:color w:val="0000FF"/>
            <w:sz w:val="24"/>
            <w:szCs w:val="24"/>
            <w:u w:val="single"/>
            <w:lang w:val="en-GB"/>
          </w:rPr>
          <w:t>http://www.who.int/water_sanitation_health/publication_9789241562638/en/</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spellStart"/>
      <w:proofErr w:type="gramStart"/>
      <w:r w:rsidRPr="00B97F3A">
        <w:rPr>
          <w:rFonts w:ascii="Times New Roman" w:eastAsia="Calibri" w:hAnsi="Times New Roman" w:cs="Times New Roman"/>
          <w:sz w:val="24"/>
          <w:szCs w:val="24"/>
          <w:lang w:val="en-GB"/>
        </w:rPr>
        <w:t>Berhane</w:t>
      </w:r>
      <w:proofErr w:type="spellEnd"/>
      <w:r w:rsidRPr="00B97F3A">
        <w:rPr>
          <w:rFonts w:ascii="Times New Roman" w:eastAsia="Calibri" w:hAnsi="Times New Roman" w:cs="Times New Roman"/>
          <w:sz w:val="24"/>
          <w:szCs w:val="24"/>
          <w:lang w:val="en-GB"/>
        </w:rPr>
        <w:t xml:space="preserve">, Y., </w:t>
      </w:r>
      <w:proofErr w:type="spellStart"/>
      <w:r w:rsidRPr="00B97F3A">
        <w:rPr>
          <w:rFonts w:ascii="Times New Roman" w:eastAsia="Calibri" w:hAnsi="Times New Roman" w:cs="Times New Roman"/>
          <w:sz w:val="24"/>
          <w:szCs w:val="24"/>
          <w:lang w:val="en-GB"/>
        </w:rPr>
        <w:t>Worku</w:t>
      </w:r>
      <w:proofErr w:type="spellEnd"/>
      <w:r w:rsidRPr="00B97F3A">
        <w:rPr>
          <w:rFonts w:ascii="Times New Roman" w:eastAsia="Calibri" w:hAnsi="Times New Roman" w:cs="Times New Roman"/>
          <w:sz w:val="24"/>
          <w:szCs w:val="24"/>
          <w:lang w:val="en-GB"/>
        </w:rPr>
        <w:t xml:space="preserve">, A., </w:t>
      </w:r>
      <w:proofErr w:type="spellStart"/>
      <w:r w:rsidRPr="00B97F3A">
        <w:rPr>
          <w:rFonts w:ascii="Times New Roman" w:eastAsia="Calibri" w:hAnsi="Times New Roman" w:cs="Times New Roman"/>
          <w:sz w:val="24"/>
          <w:szCs w:val="24"/>
          <w:lang w:val="en-GB"/>
        </w:rPr>
        <w:t>Bejiga</w:t>
      </w:r>
      <w:proofErr w:type="spellEnd"/>
      <w:r w:rsidRPr="00B97F3A">
        <w:rPr>
          <w:rFonts w:ascii="Times New Roman" w:eastAsia="Calibri" w:hAnsi="Times New Roman" w:cs="Times New Roman"/>
          <w:sz w:val="24"/>
          <w:szCs w:val="24"/>
          <w:lang w:val="en-GB"/>
        </w:rPr>
        <w:t xml:space="preserve">, A., </w:t>
      </w:r>
      <w:proofErr w:type="spellStart"/>
      <w:r w:rsidRPr="00B97F3A">
        <w:rPr>
          <w:rFonts w:ascii="Times New Roman" w:eastAsia="Calibri" w:hAnsi="Times New Roman" w:cs="Times New Roman"/>
          <w:sz w:val="24"/>
          <w:szCs w:val="24"/>
          <w:lang w:val="en-GB"/>
        </w:rPr>
        <w:t>Adamu</w:t>
      </w:r>
      <w:proofErr w:type="spellEnd"/>
      <w:r w:rsidRPr="00B97F3A">
        <w:rPr>
          <w:rFonts w:ascii="Times New Roman" w:eastAsia="Calibri" w:hAnsi="Times New Roman" w:cs="Times New Roman"/>
          <w:sz w:val="24"/>
          <w:szCs w:val="24"/>
          <w:lang w:val="en-GB"/>
        </w:rPr>
        <w:t xml:space="preserve">, L., </w:t>
      </w:r>
      <w:proofErr w:type="spellStart"/>
      <w:r w:rsidRPr="00B97F3A">
        <w:rPr>
          <w:rFonts w:ascii="Times New Roman" w:eastAsia="Calibri" w:hAnsi="Times New Roman" w:cs="Times New Roman"/>
          <w:sz w:val="24"/>
          <w:szCs w:val="24"/>
          <w:lang w:val="en-GB"/>
        </w:rPr>
        <w:t>Alemayehu</w:t>
      </w:r>
      <w:proofErr w:type="spellEnd"/>
      <w:r w:rsidRPr="00B97F3A">
        <w:rPr>
          <w:rFonts w:ascii="Times New Roman" w:eastAsia="Calibri" w:hAnsi="Times New Roman" w:cs="Times New Roman"/>
          <w:sz w:val="24"/>
          <w:szCs w:val="24"/>
          <w:lang w:val="en-GB"/>
        </w:rPr>
        <w:t xml:space="preserve">, W., </w:t>
      </w:r>
      <w:proofErr w:type="spellStart"/>
      <w:r w:rsidRPr="00B97F3A">
        <w:rPr>
          <w:rFonts w:ascii="Times New Roman" w:eastAsia="Calibri" w:hAnsi="Times New Roman" w:cs="Times New Roman"/>
          <w:sz w:val="24"/>
          <w:szCs w:val="24"/>
          <w:lang w:val="en-GB"/>
        </w:rPr>
        <w:t>Bedri</w:t>
      </w:r>
      <w:proofErr w:type="spellEnd"/>
      <w:r w:rsidRPr="00B97F3A">
        <w:rPr>
          <w:rFonts w:ascii="Times New Roman" w:eastAsia="Calibri" w:hAnsi="Times New Roman" w:cs="Times New Roman"/>
          <w:sz w:val="24"/>
          <w:szCs w:val="24"/>
          <w:lang w:val="en-GB"/>
        </w:rPr>
        <w:t xml:space="preserve">, A. et al. (2007) ‘Prevalence of trachoma in Ethiopia’, </w:t>
      </w:r>
      <w:r w:rsidRPr="00B97F3A">
        <w:rPr>
          <w:rFonts w:ascii="Times New Roman" w:eastAsia="Calibri" w:hAnsi="Times New Roman" w:cs="Times New Roman"/>
          <w:i/>
          <w:sz w:val="24"/>
          <w:szCs w:val="24"/>
          <w:lang w:val="en-GB"/>
        </w:rPr>
        <w:t>Ethiopian Journal of Health Development</w:t>
      </w:r>
      <w:r w:rsidRPr="00B97F3A">
        <w:rPr>
          <w:rFonts w:ascii="Times New Roman" w:eastAsia="Calibri" w:hAnsi="Times New Roman" w:cs="Times New Roman"/>
          <w:sz w:val="24"/>
          <w:szCs w:val="24"/>
          <w:lang w:val="en-GB"/>
        </w:rPr>
        <w:t>, vol. 21, no. 3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7" w:history="1">
        <w:r w:rsidRPr="004415E2">
          <w:rPr>
            <w:rFonts w:ascii="Times New Roman" w:eastAsia="Calibri" w:hAnsi="Times New Roman" w:cs="Times New Roman"/>
            <w:color w:val="0000FF"/>
            <w:sz w:val="24"/>
            <w:szCs w:val="24"/>
            <w:u w:val="single"/>
            <w:lang w:val="en-GB"/>
          </w:rPr>
          <w:t>http://ejhd.uib.no/ejhd-v21-n3/211%20Prevalence%20of%20Trachoma%20in%20Ethiopia.pdf</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gramStart"/>
      <w:r w:rsidRPr="00B97F3A">
        <w:rPr>
          <w:rFonts w:ascii="Times New Roman" w:eastAsia="Calibri" w:hAnsi="Times New Roman" w:cs="Times New Roman"/>
          <w:sz w:val="24"/>
          <w:szCs w:val="24"/>
          <w:lang w:val="en-GB"/>
        </w:rPr>
        <w:t xml:space="preserve">Carter, R.C. (2009) </w:t>
      </w:r>
      <w:r w:rsidRPr="00B97F3A">
        <w:rPr>
          <w:rFonts w:ascii="Times New Roman" w:eastAsia="Calibri" w:hAnsi="Times New Roman" w:cs="Times New Roman"/>
          <w:i/>
          <w:sz w:val="24"/>
          <w:szCs w:val="24"/>
          <w:lang w:val="en-GB"/>
        </w:rPr>
        <w:t>Operation and Maintenance of Rural Water Supplies</w:t>
      </w:r>
      <w:r w:rsidRPr="00B97F3A">
        <w:rPr>
          <w:rFonts w:ascii="Times New Roman" w:eastAsia="Calibri" w:hAnsi="Times New Roman" w:cs="Times New Roman"/>
          <w:sz w:val="24"/>
          <w:szCs w:val="24"/>
          <w:lang w:val="en-GB"/>
        </w:rPr>
        <w:t>, Perspectives No. 2, St-</w:t>
      </w:r>
      <w:proofErr w:type="spellStart"/>
      <w:r w:rsidRPr="00B97F3A">
        <w:rPr>
          <w:rFonts w:ascii="Times New Roman" w:eastAsia="Calibri" w:hAnsi="Times New Roman" w:cs="Times New Roman"/>
          <w:sz w:val="24"/>
          <w:szCs w:val="24"/>
          <w:lang w:val="en-GB"/>
        </w:rPr>
        <w:t>Gallen</w:t>
      </w:r>
      <w:proofErr w:type="spellEnd"/>
      <w:r w:rsidRPr="00B97F3A">
        <w:rPr>
          <w:rFonts w:ascii="Times New Roman" w:eastAsia="Calibri" w:hAnsi="Times New Roman" w:cs="Times New Roman"/>
          <w:sz w:val="24"/>
          <w:szCs w:val="24"/>
          <w:lang w:val="en-GB"/>
        </w:rPr>
        <w:t>, Rural Water Supply Network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8" w:history="1">
        <w:r w:rsidRPr="004415E2">
          <w:rPr>
            <w:rFonts w:ascii="Times New Roman" w:eastAsia="Calibri" w:hAnsi="Times New Roman" w:cs="Times New Roman"/>
            <w:color w:val="0000FF"/>
            <w:sz w:val="24"/>
            <w:szCs w:val="24"/>
            <w:u w:val="single"/>
            <w:lang w:val="en-GB"/>
          </w:rPr>
          <w:t>http://www.rural-water-supply.net/_ressources/documents/default/207.pdf</w:t>
        </w:r>
      </w:hyperlink>
      <w:r w:rsidRPr="004415E2">
        <w:rPr>
          <w:rFonts w:ascii="Times New Roman" w:eastAsia="Calibri" w:hAnsi="Times New Roman" w:cs="Times New Roman"/>
          <w:sz w:val="24"/>
          <w:szCs w:val="24"/>
          <w:lang w:val="en-GB"/>
        </w:rPr>
        <w:t>.</w:t>
      </w:r>
      <w:proofErr w:type="gramEnd"/>
    </w:p>
    <w:p w:rsidR="00B97F3A" w:rsidRPr="00B97F3A" w:rsidRDefault="00B97F3A" w:rsidP="00B97F3A">
      <w:pPr>
        <w:spacing w:before="120" w:after="0" w:line="240" w:lineRule="atLeast"/>
        <w:rPr>
          <w:rFonts w:ascii="Times New Roman" w:eastAsia="Calibri" w:hAnsi="Times New Roman" w:cs="Times New Roman"/>
          <w:sz w:val="24"/>
          <w:szCs w:val="24"/>
          <w:lang w:val="en-GB"/>
        </w:rPr>
      </w:pPr>
      <w:proofErr w:type="gramStart"/>
      <w:r w:rsidRPr="00B97F3A">
        <w:rPr>
          <w:rFonts w:ascii="Times New Roman" w:eastAsia="Calibri" w:hAnsi="Times New Roman" w:cs="Times New Roman"/>
          <w:sz w:val="24"/>
          <w:szCs w:val="24"/>
          <w:lang w:val="en-GB"/>
        </w:rPr>
        <w:t xml:space="preserve">Castro, V., </w:t>
      </w:r>
      <w:proofErr w:type="spellStart"/>
      <w:r w:rsidRPr="00B97F3A">
        <w:rPr>
          <w:rFonts w:ascii="Times New Roman" w:eastAsia="Calibri" w:hAnsi="Times New Roman" w:cs="Times New Roman"/>
          <w:sz w:val="24"/>
          <w:szCs w:val="24"/>
          <w:lang w:val="en-GB"/>
        </w:rPr>
        <w:t>Msuya</w:t>
      </w:r>
      <w:proofErr w:type="spellEnd"/>
      <w:r w:rsidRPr="00B97F3A">
        <w:rPr>
          <w:rFonts w:ascii="Times New Roman" w:eastAsia="Calibri" w:hAnsi="Times New Roman" w:cs="Times New Roman"/>
          <w:sz w:val="24"/>
          <w:szCs w:val="24"/>
          <w:lang w:val="en-GB"/>
        </w:rPr>
        <w:t xml:space="preserve">, N. and </w:t>
      </w:r>
      <w:proofErr w:type="spellStart"/>
      <w:r w:rsidRPr="00B97F3A">
        <w:rPr>
          <w:rFonts w:ascii="Times New Roman" w:eastAsia="Calibri" w:hAnsi="Times New Roman" w:cs="Times New Roman"/>
          <w:sz w:val="24"/>
          <w:szCs w:val="24"/>
          <w:lang w:val="en-GB"/>
        </w:rPr>
        <w:t>Makoye</w:t>
      </w:r>
      <w:proofErr w:type="spellEnd"/>
      <w:r w:rsidRPr="00B97F3A">
        <w:rPr>
          <w:rFonts w:ascii="Times New Roman" w:eastAsia="Calibri" w:hAnsi="Times New Roman" w:cs="Times New Roman"/>
          <w:sz w:val="24"/>
          <w:szCs w:val="24"/>
          <w:lang w:val="en-GB"/>
        </w:rPr>
        <w:t xml:space="preserve">, C. (2009) </w:t>
      </w:r>
      <w:r w:rsidRPr="00B97F3A">
        <w:rPr>
          <w:rFonts w:ascii="Times New Roman" w:eastAsia="Calibri" w:hAnsi="Times New Roman" w:cs="Times New Roman"/>
          <w:i/>
          <w:sz w:val="24"/>
          <w:szCs w:val="24"/>
          <w:lang w:val="en-GB"/>
        </w:rPr>
        <w:t>Sustainable Community Management of Urban Water and Sanitation Schemes (A Training Manual)</w:t>
      </w:r>
      <w:r w:rsidRPr="00B97F3A">
        <w:rPr>
          <w:rFonts w:ascii="Times New Roman" w:eastAsia="Calibri" w:hAnsi="Times New Roman" w:cs="Times New Roman"/>
          <w:sz w:val="24"/>
          <w:szCs w:val="24"/>
          <w:lang w:val="en-GB"/>
        </w:rPr>
        <w:t>, Nairobi, DAWASA/WSP World Bank [Online].</w:t>
      </w:r>
      <w:proofErr w:type="gramEnd"/>
      <w:r w:rsidRPr="00B97F3A">
        <w:rPr>
          <w:rFonts w:ascii="Times New Roman" w:eastAsia="Calibri" w:hAnsi="Times New Roman" w:cs="Times New Roman"/>
          <w:sz w:val="24"/>
          <w:szCs w:val="24"/>
          <w:lang w:val="en-GB"/>
        </w:rPr>
        <w:t xml:space="preserve"> </w:t>
      </w:r>
      <w:proofErr w:type="gramStart"/>
      <w:r w:rsidRPr="00B97F3A">
        <w:rPr>
          <w:rFonts w:ascii="Times New Roman" w:eastAsia="Calibri" w:hAnsi="Times New Roman" w:cs="Times New Roman"/>
          <w:sz w:val="24"/>
          <w:szCs w:val="24"/>
          <w:lang w:val="en-GB"/>
        </w:rPr>
        <w:t xml:space="preserve">Available at </w:t>
      </w:r>
      <w:hyperlink r:id="rId19" w:history="1">
        <w:r w:rsidRPr="004415E2">
          <w:rPr>
            <w:rFonts w:ascii="Times New Roman" w:eastAsia="Calibri" w:hAnsi="Times New Roman" w:cs="Times New Roman"/>
            <w:color w:val="0000FF"/>
            <w:sz w:val="24"/>
            <w:szCs w:val="24"/>
            <w:u w:val="single"/>
            <w:lang w:val="en-GB"/>
          </w:rPr>
          <w:t>http://documents.worldbank.org/curated/en/2009/01/16647196/sustainable-community-management-urban-water-sanitation-schemes-training-manual</w:t>
        </w:r>
      </w:hyperlink>
      <w:r w:rsidRPr="004415E2">
        <w:rPr>
          <w:rFonts w:ascii="Times New Roman" w:eastAsia="Calibri" w:hAnsi="Times New Roman" w:cs="Times New Roman"/>
          <w:sz w:val="24"/>
          <w:szCs w:val="24"/>
          <w:lang w:val="en-GB"/>
        </w:rPr>
        <w:t>.</w:t>
      </w:r>
      <w:proofErr w:type="gramEnd"/>
    </w:p>
    <w:p w:rsidR="00B97F3A" w:rsidRPr="004415E2" w:rsidRDefault="00B97F3A" w:rsidP="00B97F3A">
      <w:pPr>
        <w:rPr>
          <w:rStyle w:val="Hyperlink"/>
          <w:rFonts w:ascii="Times New Roman" w:eastAsia="Calibri" w:hAnsi="Times New Roman" w:cs="Times New Roman"/>
          <w:sz w:val="24"/>
          <w:szCs w:val="24"/>
          <w:lang w:val="en-GB"/>
        </w:rPr>
      </w:pPr>
    </w:p>
    <w:p w:rsidR="00B97F3A" w:rsidRPr="004415E2" w:rsidRDefault="00B97F3A" w:rsidP="00B97F3A">
      <w:pPr>
        <w:rPr>
          <w:rFonts w:ascii="Times New Roman" w:hAnsi="Times New Roman" w:cs="Times New Roman"/>
          <w:sz w:val="24"/>
          <w:szCs w:val="24"/>
        </w:rPr>
      </w:pPr>
      <w:bookmarkStart w:id="0" w:name="_GoBack"/>
      <w:bookmarkEnd w:id="0"/>
    </w:p>
    <w:sectPr w:rsidR="00B97F3A" w:rsidRPr="004415E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92B" w:rsidRDefault="00E4692B" w:rsidP="00C6350E">
      <w:pPr>
        <w:spacing w:after="0" w:line="240" w:lineRule="auto"/>
      </w:pPr>
      <w:r>
        <w:separator/>
      </w:r>
    </w:p>
  </w:endnote>
  <w:endnote w:type="continuationSeparator" w:id="0">
    <w:p w:rsidR="00E4692B" w:rsidRDefault="00E4692B"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976559"/>
      <w:docPartObj>
        <w:docPartGallery w:val="Page Numbers (Bottom of Page)"/>
        <w:docPartUnique/>
      </w:docPartObj>
    </w:sdtPr>
    <w:sdtEndPr/>
    <w:sdtContent>
      <w:p w:rsidR="00500A9F" w:rsidRDefault="00500A9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editId="642E0F1A">
                  <wp:simplePos x="0" y="0"/>
                  <wp:positionH relativeFrom="margin">
                    <wp:align>center</wp:align>
                  </wp:positionH>
                  <wp:positionV relativeFrom="bottomMargin">
                    <wp:align>center</wp:align>
                  </wp:positionV>
                  <wp:extent cx="619760" cy="423545"/>
                  <wp:effectExtent l="28575" t="19050" r="27940" b="5080"/>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500A9F" w:rsidRDefault="00500A9F">
                              <w:pPr>
                                <w:jc w:val="center"/>
                              </w:pPr>
                              <w:r>
                                <w:fldChar w:fldCharType="begin"/>
                              </w:r>
                              <w:r>
                                <w:instrText xml:space="preserve"> PAGE    \* MERGEFORMAT </w:instrText>
                              </w:r>
                              <w:r>
                                <w:fldChar w:fldCharType="separate"/>
                              </w:r>
                              <w:r w:rsidR="004415E2" w:rsidRPr="004415E2">
                                <w:rPr>
                                  <w:noProof/>
                                  <w:color w:val="808080" w:themeColor="background1" w:themeShade="80"/>
                                </w:rPr>
                                <w:t>5</w:t>
                              </w:r>
                              <w:r>
                                <w:rPr>
                                  <w:noProof/>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" strokecolor="#a5a5a5">
                  <v:textbox inset="0,0,0,0">
                    <w:txbxContent>
                      <w:p w:rsidR="00500A9F" w:rsidRDefault="00500A9F">
                        <w:pPr>
                          <w:jc w:val="center"/>
                        </w:pPr>
                        <w:r>
                          <w:fldChar w:fldCharType="begin"/>
                        </w:r>
                        <w:r>
                          <w:instrText xml:space="preserve"> PAGE    \* MERGEFORMAT </w:instrText>
                        </w:r>
                        <w:r>
                          <w:fldChar w:fldCharType="separate"/>
                        </w:r>
                        <w:r w:rsidR="004415E2" w:rsidRPr="004415E2">
                          <w:rPr>
                            <w:noProof/>
                            <w:color w:val="808080" w:themeColor="background1" w:themeShade="80"/>
                          </w:rPr>
                          <w:t>5</w:t>
                        </w:r>
                        <w:r>
                          <w:rPr>
                            <w:noProof/>
                            <w:color w:val="808080" w:themeColor="background1" w:themeShade="80"/>
                          </w:rPr>
                          <w:fldChar w:fldCharType="end"/>
                        </w:r>
                      </w:p>
                    </w:txbxContent>
                  </v:textbox>
                  <w10:wrap anchorx="margin" anchory="margin"/>
                </v:shape>
              </w:pict>
            </mc:Fallback>
          </mc:AlternateContent>
        </w:r>
        <w:r>
          <w:t xml:space="preserve">Aimps/226/2019.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92B" w:rsidRDefault="00E4692B" w:rsidP="00C6350E">
      <w:pPr>
        <w:spacing w:after="0" w:line="240" w:lineRule="auto"/>
      </w:pPr>
      <w:r>
        <w:separator/>
      </w:r>
    </w:p>
  </w:footnote>
  <w:footnote w:type="continuationSeparator" w:id="0">
    <w:p w:rsidR="00E4692B" w:rsidRDefault="00E4692B"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25303E9E" wp14:editId="46DF0166">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4EC"/>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2249"/>
    <w:multiLevelType w:val="hybridMultilevel"/>
    <w:tmpl w:val="EE4449B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nsid w:val="056767A2"/>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C555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81BD8"/>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D0357A"/>
    <w:multiLevelType w:val="multilevel"/>
    <w:tmpl w:val="ADB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05482"/>
    <w:multiLevelType w:val="multilevel"/>
    <w:tmpl w:val="6F322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0610E8"/>
    <w:multiLevelType w:val="hybridMultilevel"/>
    <w:tmpl w:val="CE869460"/>
    <w:lvl w:ilvl="0" w:tplc="910CE834">
      <w:start w:val="1"/>
      <w:numFmt w:val="bullet"/>
      <w:pStyle w:val="Bulletlist"/>
      <w:lvlText w:val=""/>
      <w:lvlJc w:val="left"/>
      <w:pPr>
        <w:ind w:left="1080" w:hanging="360"/>
      </w:pPr>
      <w:rPr>
        <w:rFonts w:ascii="Symbol" w:hAnsi="Symbol" w:hint="default"/>
        <w:i w:val="0"/>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7C9C"/>
    <w:rsid w:val="0004376D"/>
    <w:rsid w:val="00136E3B"/>
    <w:rsid w:val="001B674E"/>
    <w:rsid w:val="001E1121"/>
    <w:rsid w:val="00212A16"/>
    <w:rsid w:val="00251937"/>
    <w:rsid w:val="0029341D"/>
    <w:rsid w:val="002A008A"/>
    <w:rsid w:val="00347908"/>
    <w:rsid w:val="003515A4"/>
    <w:rsid w:val="003F1A10"/>
    <w:rsid w:val="004063F0"/>
    <w:rsid w:val="004415E2"/>
    <w:rsid w:val="00500A9F"/>
    <w:rsid w:val="006229CA"/>
    <w:rsid w:val="0062761A"/>
    <w:rsid w:val="006972B6"/>
    <w:rsid w:val="00827A7F"/>
    <w:rsid w:val="008C0680"/>
    <w:rsid w:val="008C3D05"/>
    <w:rsid w:val="00987C01"/>
    <w:rsid w:val="00A74C2C"/>
    <w:rsid w:val="00B97F3A"/>
    <w:rsid w:val="00C22A21"/>
    <w:rsid w:val="00C6350E"/>
    <w:rsid w:val="00C8645F"/>
    <w:rsid w:val="00D756B5"/>
    <w:rsid w:val="00D76388"/>
    <w:rsid w:val="00DA6E02"/>
    <w:rsid w:val="00DC5AC3"/>
    <w:rsid w:val="00DE7848"/>
    <w:rsid w:val="00E4692B"/>
    <w:rsid w:val="00F704A7"/>
    <w:rsid w:val="00FD2346"/>
    <w:rsid w:val="00FD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3F1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ulletlist">
    <w:name w:val="Sub-bullet list"/>
    <w:basedOn w:val="Normal"/>
    <w:qFormat/>
    <w:rsid w:val="0062761A"/>
    <w:pPr>
      <w:spacing w:before="120" w:after="0" w:line="240" w:lineRule="atLeast"/>
    </w:pPr>
    <w:rPr>
      <w:rFonts w:ascii="Times New Roman" w:eastAsia="Calibri" w:hAnsi="Times New Roman" w:cs="Times New Roman"/>
      <w:sz w:val="21"/>
      <w:szCs w:val="21"/>
      <w:lang w:val="en-GB"/>
    </w:rPr>
  </w:style>
  <w:style w:type="paragraph" w:styleId="BalloonText">
    <w:name w:val="Balloon Text"/>
    <w:basedOn w:val="Normal"/>
    <w:link w:val="BalloonTextChar"/>
    <w:uiPriority w:val="99"/>
    <w:semiHidden/>
    <w:unhideWhenUsed/>
    <w:rsid w:val="00627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1A"/>
    <w:rPr>
      <w:rFonts w:ascii="Tahoma" w:hAnsi="Tahoma" w:cs="Tahoma"/>
      <w:sz w:val="16"/>
      <w:szCs w:val="16"/>
    </w:rPr>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2761A"/>
    <w:pPr>
      <w:ind w:left="720"/>
      <w:contextualSpacing/>
    </w:pPr>
  </w:style>
  <w:style w:type="paragraph" w:customStyle="1" w:styleId="Bulletlist">
    <w:name w:val="Bullet list"/>
    <w:basedOn w:val="Normal"/>
    <w:qFormat/>
    <w:rsid w:val="0062761A"/>
    <w:pPr>
      <w:numPr>
        <w:numId w:val="4"/>
      </w:numPr>
      <w:spacing w:before="120" w:after="0" w:line="240" w:lineRule="atLeast"/>
    </w:pPr>
    <w:rPr>
      <w:rFonts w:ascii="Times New Roman" w:eastAsia="Calibri" w:hAnsi="Times New Roman" w:cs="Times New Roman"/>
      <w:sz w:val="21"/>
      <w:szCs w:val="21"/>
      <w:lang w:val="en-GB"/>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1E1121"/>
  </w:style>
  <w:style w:type="character" w:styleId="Hyperlink">
    <w:name w:val="Hyperlink"/>
    <w:basedOn w:val="DefaultParagraphFont"/>
    <w:uiPriority w:val="99"/>
    <w:unhideWhenUsed/>
    <w:rsid w:val="00B97F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3F1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ulletlist">
    <w:name w:val="Sub-bullet list"/>
    <w:basedOn w:val="Normal"/>
    <w:qFormat/>
    <w:rsid w:val="0062761A"/>
    <w:pPr>
      <w:spacing w:before="120" w:after="0" w:line="240" w:lineRule="atLeast"/>
    </w:pPr>
    <w:rPr>
      <w:rFonts w:ascii="Times New Roman" w:eastAsia="Calibri" w:hAnsi="Times New Roman" w:cs="Times New Roman"/>
      <w:sz w:val="21"/>
      <w:szCs w:val="21"/>
      <w:lang w:val="en-GB"/>
    </w:rPr>
  </w:style>
  <w:style w:type="paragraph" w:styleId="BalloonText">
    <w:name w:val="Balloon Text"/>
    <w:basedOn w:val="Normal"/>
    <w:link w:val="BalloonTextChar"/>
    <w:uiPriority w:val="99"/>
    <w:semiHidden/>
    <w:unhideWhenUsed/>
    <w:rsid w:val="00627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1A"/>
    <w:rPr>
      <w:rFonts w:ascii="Tahoma" w:hAnsi="Tahoma" w:cs="Tahoma"/>
      <w:sz w:val="16"/>
      <w:szCs w:val="16"/>
    </w:rPr>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2761A"/>
    <w:pPr>
      <w:ind w:left="720"/>
      <w:contextualSpacing/>
    </w:pPr>
  </w:style>
  <w:style w:type="paragraph" w:customStyle="1" w:styleId="Bulletlist">
    <w:name w:val="Bullet list"/>
    <w:basedOn w:val="Normal"/>
    <w:qFormat/>
    <w:rsid w:val="0062761A"/>
    <w:pPr>
      <w:numPr>
        <w:numId w:val="4"/>
      </w:numPr>
      <w:spacing w:before="120" w:after="0" w:line="240" w:lineRule="atLeast"/>
    </w:pPr>
    <w:rPr>
      <w:rFonts w:ascii="Times New Roman" w:eastAsia="Calibri" w:hAnsi="Times New Roman" w:cs="Times New Roman"/>
      <w:sz w:val="21"/>
      <w:szCs w:val="21"/>
      <w:lang w:val="en-GB"/>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1E1121"/>
  </w:style>
  <w:style w:type="character" w:styleId="Hyperlink">
    <w:name w:val="Hyperlink"/>
    <w:basedOn w:val="DefaultParagraphFont"/>
    <w:uiPriority w:val="99"/>
    <w:unhideWhenUsed/>
    <w:rsid w:val="00B97F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hygiene/om/wsh9241562153.pdf" TargetMode="External"/><Relationship Id="rId13" Type="http://schemas.openxmlformats.org/officeDocument/2006/relationships/hyperlink" Target="http://www.adb.org/sites/default/files/institutional-document/42451/files/water-utility-asset-management-guide.pdf" TargetMode="External"/><Relationship Id="rId18" Type="http://schemas.openxmlformats.org/officeDocument/2006/relationships/hyperlink" Target="http://www.rural-water-supply.net/_ressources/documents/default/207.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ddisfortune.net/articles/three-in-one/" TargetMode="External"/><Relationship Id="rId17" Type="http://schemas.openxmlformats.org/officeDocument/2006/relationships/hyperlink" Target="http://ejhd.uib.no/ejhd-v21-n3/211%20Prevalence%20of%20Trachoma%20in%20Ethiopia.pdf" TargetMode="External"/><Relationship Id="rId2" Type="http://schemas.openxmlformats.org/officeDocument/2006/relationships/styles" Target="styles.xml"/><Relationship Id="rId16" Type="http://schemas.openxmlformats.org/officeDocument/2006/relationships/hyperlink" Target="http://www.who.int/water_sanitation_health/publication_9789241562638/e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africareport.com/East-Horn-Africa/ethiopia-launches-africas-first-unified-utility-billing-system.html" TargetMode="External"/><Relationship Id="rId5" Type="http://schemas.openxmlformats.org/officeDocument/2006/relationships/webSettings" Target="webSettings.xml"/><Relationship Id="rId15" Type="http://schemas.openxmlformats.org/officeDocument/2006/relationships/hyperlink" Target="http://www.sswm.info/content/operation-and-maintenance-0" TargetMode="External"/><Relationship Id="rId23" Type="http://schemas.openxmlformats.org/officeDocument/2006/relationships/theme" Target="theme/theme1.xml"/><Relationship Id="rId10" Type="http://schemas.openxmlformats.org/officeDocument/2006/relationships/hyperlink" Target="http://tinyurl.com/h2ngog3" TargetMode="External"/><Relationship Id="rId19" Type="http://schemas.openxmlformats.org/officeDocument/2006/relationships/hyperlink" Target="http://documents.worldbank.org/curated/en/2009/01/16647196/sustainable-community-management-urban-water-sanitation-schemes-training-manual" TargetMode="External"/><Relationship Id="rId4" Type="http://schemas.openxmlformats.org/officeDocument/2006/relationships/settings" Target="settings.xml"/><Relationship Id="rId9" Type="http://schemas.openxmlformats.org/officeDocument/2006/relationships/hyperlink" Target="http://www.cartercenter.org/resources/pdfs/health/ephti/library/lecture_notes/env_health_science_students/LN_Water_Supply_II_final.pdf" TargetMode="External"/><Relationship Id="rId14" Type="http://schemas.openxmlformats.org/officeDocument/2006/relationships/hyperlink" Target="http://tinyurl.com/jz5y5g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9</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n0ak95</dc:creator>
  <cp:keywords/>
  <dc:description/>
  <cp:lastModifiedBy>GARD National</cp:lastModifiedBy>
  <cp:revision>13</cp:revision>
  <dcterms:created xsi:type="dcterms:W3CDTF">2019-09-18T09:40:00Z</dcterms:created>
  <dcterms:modified xsi:type="dcterms:W3CDTF">2019-10-01T09:50:00Z</dcterms:modified>
</cp:coreProperties>
</file>