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1443252"/>
        <w:docPartObj>
          <w:docPartGallery w:val="Cover Pages"/>
          <w:docPartUnique/>
        </w:docPartObj>
      </w:sdtPr>
      <w:sdtEndPr>
        <w:rPr>
          <w:rFonts w:ascii="Times New Roman" w:eastAsia="Times New Roman" w:hAnsi="Times New Roman" w:cs="Times New Roman"/>
          <w:color w:val="000000"/>
          <w:sz w:val="24"/>
          <w:szCs w:val="22"/>
        </w:rPr>
      </w:sdtEndPr>
      <w:sdtContent>
        <w:tbl>
          <w:tblPr>
            <w:tblpPr w:leftFromText="187" w:rightFromText="187" w:vertAnchor="page" w:horzAnchor="page" w:tblpXSpec="center" w:tblpYSpec="center"/>
            <w:tblW w:w="5379" w:type="pct"/>
            <w:tblCellMar>
              <w:top w:w="216" w:type="dxa"/>
              <w:left w:w="216" w:type="dxa"/>
              <w:bottom w:w="216" w:type="dxa"/>
              <w:right w:w="216" w:type="dxa"/>
            </w:tblCellMar>
            <w:tblLook w:val="04A0"/>
          </w:tblPr>
          <w:tblGrid>
            <w:gridCol w:w="3383"/>
            <w:gridCol w:w="2771"/>
            <w:gridCol w:w="3606"/>
          </w:tblGrid>
          <w:tr w:rsidR="006B3E24" w:rsidTr="006B3E24">
            <w:trPr>
              <w:trHeight w:val="2811"/>
            </w:trPr>
            <w:sdt>
              <w:sdtPr>
                <w:rPr>
                  <w:rFonts w:asciiTheme="majorHAnsi" w:eastAsiaTheme="majorEastAsia" w:hAnsiTheme="majorHAnsi" w:cstheme="majorBidi"/>
                  <w:sz w:val="76"/>
                  <w:szCs w:val="72"/>
                </w:rPr>
                <w:alias w:val="Title"/>
                <w:id w:val="276713177"/>
                <w:placeholder>
                  <w:docPart w:val="44D76254B50C4D6FAD4F9E3E729B051B"/>
                </w:placeholder>
                <w:dataBinding w:prefixMappings="xmlns:ns0='http://schemas.openxmlformats.org/package/2006/metadata/core-properties' xmlns:ns1='http://purl.org/dc/elements/1.1/'" w:xpath="/ns0:coreProperties[1]/ns1:title[1]" w:storeItemID="{6C3C8BC8-F283-45AE-878A-BAB7291924A1}"/>
                <w:text/>
              </w:sdtPr>
              <w:sdtEndPr>
                <w:rPr>
                  <w:b/>
                  <w:bCs/>
                </w:rPr>
              </w:sdtEndPr>
              <w:sdtContent>
                <w:tc>
                  <w:tcPr>
                    <w:tcW w:w="3405" w:type="dxa"/>
                    <w:tcBorders>
                      <w:bottom w:val="single" w:sz="18" w:space="0" w:color="808080" w:themeColor="background1" w:themeShade="80"/>
                      <w:right w:val="single" w:sz="18" w:space="0" w:color="808080" w:themeColor="background1" w:themeShade="80"/>
                    </w:tcBorders>
                    <w:vAlign w:val="center"/>
                  </w:tcPr>
                  <w:p w:rsidR="006B3E24" w:rsidRDefault="006B3E24" w:rsidP="006B3E24">
                    <w:pPr>
                      <w:pStyle w:val="NoSpacing"/>
                      <w:rPr>
                        <w:rFonts w:asciiTheme="majorHAnsi" w:eastAsiaTheme="majorEastAsia" w:hAnsiTheme="majorHAnsi" w:cstheme="majorBidi"/>
                        <w:sz w:val="76"/>
                        <w:szCs w:val="72"/>
                      </w:rPr>
                    </w:pPr>
                    <w:r w:rsidRPr="006B3E24">
                      <w:rPr>
                        <w:rFonts w:asciiTheme="majorHAnsi" w:eastAsiaTheme="majorEastAsia" w:hAnsiTheme="majorHAnsi" w:cstheme="majorBidi"/>
                        <w:b/>
                        <w:bCs/>
                        <w:sz w:val="76"/>
                        <w:szCs w:val="72"/>
                      </w:rPr>
                      <w:t>WASH</w:t>
                    </w:r>
                  </w:p>
                </w:tc>
              </w:sdtContent>
            </w:sdt>
            <w:tc>
              <w:tcPr>
                <w:tcW w:w="6355"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b/>
                    <w:bCs/>
                    <w:sz w:val="36"/>
                    <w:szCs w:val="36"/>
                  </w:rPr>
                  <w:alias w:val="Date"/>
                  <w:id w:val="276713165"/>
                  <w:placeholder>
                    <w:docPart w:val="B84EAA3161394A6789B81CBBB09966C4"/>
                  </w:placeholder>
                  <w:dataBinding w:prefixMappings="xmlns:ns0='http://schemas.microsoft.com/office/2006/coverPageProps'" w:xpath="/ns0:CoverPageProperties[1]/ns0:PublishDate[1]" w:storeItemID="{55AF091B-3C7A-41E3-B477-F2FDAA23CFDA}"/>
                  <w:date w:fullDate="2019-09-30T00:00:00Z">
                    <w:dateFormat w:val="MMMM d"/>
                    <w:lid w:val="en-US"/>
                    <w:storeMappedDataAs w:val="dateTime"/>
                    <w:calendar w:val="gregorian"/>
                  </w:date>
                </w:sdtPr>
                <w:sdtContent>
                  <w:p w:rsidR="006B3E24" w:rsidRPr="006B3E24" w:rsidRDefault="006B3E24" w:rsidP="006B3E24">
                    <w:pPr>
                      <w:pStyle w:val="NoSpacing"/>
                      <w:rPr>
                        <w:rFonts w:asciiTheme="majorHAnsi" w:eastAsiaTheme="majorEastAsia" w:hAnsiTheme="majorHAnsi" w:cstheme="majorBidi"/>
                        <w:b/>
                        <w:bCs/>
                        <w:sz w:val="36"/>
                        <w:szCs w:val="36"/>
                      </w:rPr>
                    </w:pPr>
                    <w:r w:rsidRPr="006B3E24">
                      <w:rPr>
                        <w:rFonts w:asciiTheme="majorHAnsi" w:eastAsiaTheme="majorEastAsia" w:hAnsiTheme="majorHAnsi" w:cstheme="majorBidi"/>
                        <w:b/>
                        <w:bCs/>
                        <w:sz w:val="36"/>
                        <w:szCs w:val="36"/>
                      </w:rPr>
                      <w:t>September 30</w:t>
                    </w:r>
                  </w:p>
                </w:sdtContent>
              </w:sdt>
              <w:sdt>
                <w:sdtPr>
                  <w:rPr>
                    <w:color w:val="4F81BD" w:themeColor="accent1"/>
                    <w:sz w:val="144"/>
                    <w:szCs w:val="144"/>
                  </w:rPr>
                  <w:alias w:val="Year"/>
                  <w:id w:val="276713170"/>
                  <w:placeholder>
                    <w:docPart w:val="AB5EFE37E8C34D99A03BC7956084224B"/>
                  </w:placeholder>
                  <w:dataBinding w:prefixMappings="xmlns:ns0='http://schemas.microsoft.com/office/2006/coverPageProps'" w:xpath="/ns0:CoverPageProperties[1]/ns0:PublishDate[1]" w:storeItemID="{55AF091B-3C7A-41E3-B477-F2FDAA23CFDA}"/>
                  <w:date w:fullDate="2019-09-30T00:00:00Z">
                    <w:dateFormat w:val="yyyy"/>
                    <w:lid w:val="en-US"/>
                    <w:storeMappedDataAs w:val="dateTime"/>
                    <w:calendar w:val="gregorian"/>
                  </w:date>
                </w:sdtPr>
                <w:sdtContent>
                  <w:p w:rsidR="006B3E24" w:rsidRDefault="006B3E24" w:rsidP="006B3E24">
                    <w:pPr>
                      <w:pStyle w:val="NoSpacing"/>
                      <w:rPr>
                        <w:color w:val="4F81BD" w:themeColor="accent1"/>
                        <w:sz w:val="200"/>
                        <w:szCs w:val="200"/>
                      </w:rPr>
                    </w:pPr>
                    <w:r w:rsidRPr="006B3E24">
                      <w:rPr>
                        <w:color w:val="4F81BD" w:themeColor="accent1"/>
                        <w:sz w:val="144"/>
                        <w:szCs w:val="144"/>
                      </w:rPr>
                      <w:t>2019</w:t>
                    </w:r>
                  </w:p>
                </w:sdtContent>
              </w:sdt>
            </w:tc>
          </w:tr>
          <w:tr w:rsidR="006B3E24" w:rsidTr="006B3E24">
            <w:trPr>
              <w:trHeight w:val="1095"/>
            </w:trPr>
            <w:sdt>
              <w:sdtPr>
                <w:rPr>
                  <w:rFonts w:asciiTheme="majorBidi" w:hAnsiTheme="majorBidi" w:cstheme="majorBidi"/>
                  <w:b/>
                  <w:bCs/>
                  <w:sz w:val="56"/>
                  <w:szCs w:val="56"/>
                </w:rPr>
                <w:alias w:val="Abstract"/>
                <w:id w:val="276713183"/>
                <w:placeholder>
                  <w:docPart w:val="4C42C0E90A2B4026AFB27F27583FA2D2"/>
                </w:placeholder>
                <w:dataBinding w:prefixMappings="xmlns:ns0='http://schemas.microsoft.com/office/2006/coverPageProps'" w:xpath="/ns0:CoverPageProperties[1]/ns0:Abstract[1]" w:storeItemID="{55AF091B-3C7A-41E3-B477-F2FDAA23CFDA}"/>
                <w:text/>
              </w:sdtPr>
              <w:sdtContent>
                <w:tc>
                  <w:tcPr>
                    <w:tcW w:w="6368" w:type="dxa"/>
                    <w:gridSpan w:val="2"/>
                    <w:tcBorders>
                      <w:top w:val="single" w:sz="18" w:space="0" w:color="808080" w:themeColor="background1" w:themeShade="80"/>
                    </w:tcBorders>
                    <w:vAlign w:val="center"/>
                  </w:tcPr>
                  <w:p w:rsidR="006B3E24" w:rsidRPr="006B3E24" w:rsidRDefault="006B3E24" w:rsidP="006B3E24">
                    <w:pPr>
                      <w:pStyle w:val="NoSpacing"/>
                      <w:rPr>
                        <w:rFonts w:asciiTheme="majorBidi" w:hAnsiTheme="majorBidi" w:cstheme="majorBidi"/>
                        <w:b/>
                        <w:bCs/>
                      </w:rPr>
                    </w:pPr>
                    <w:r w:rsidRPr="006B3E24">
                      <w:rPr>
                        <w:rFonts w:asciiTheme="majorBidi" w:hAnsiTheme="majorBidi" w:cstheme="majorBidi"/>
                        <w:b/>
                        <w:bCs/>
                        <w:sz w:val="56"/>
                        <w:szCs w:val="56"/>
                      </w:rPr>
                      <w:t>Assignment (4)</w:t>
                    </w:r>
                  </w:p>
                </w:tc>
              </w:sdtContent>
            </w:sdt>
            <w:sdt>
              <w:sdtPr>
                <w:rPr>
                  <w:rFonts w:asciiTheme="majorHAnsi" w:eastAsiaTheme="majorEastAsia" w:hAnsiTheme="majorHAnsi" w:cstheme="majorBidi"/>
                  <w:b/>
                  <w:bCs/>
                  <w:sz w:val="56"/>
                  <w:szCs w:val="56"/>
                </w:rPr>
                <w:alias w:val="Subtitle"/>
                <w:id w:val="276713189"/>
                <w:placeholder>
                  <w:docPart w:val="73A724B4B3FC406D9BFFE8D577B3021E"/>
                </w:placeholder>
                <w:dataBinding w:prefixMappings="xmlns:ns0='http://schemas.openxmlformats.org/package/2006/metadata/core-properties' xmlns:ns1='http://purl.org/dc/elements/1.1/'" w:xpath="/ns0:coreProperties[1]/ns1:subject[1]" w:storeItemID="{6C3C8BC8-F283-45AE-878A-BAB7291924A1}"/>
                <w:text/>
              </w:sdtPr>
              <w:sdtContent>
                <w:tc>
                  <w:tcPr>
                    <w:tcW w:w="3392" w:type="dxa"/>
                    <w:tcBorders>
                      <w:top w:val="single" w:sz="18" w:space="0" w:color="808080" w:themeColor="background1" w:themeShade="80"/>
                    </w:tcBorders>
                    <w:vAlign w:val="center"/>
                  </w:tcPr>
                  <w:p w:rsidR="006B3E24" w:rsidRDefault="006B3E24" w:rsidP="006B3E24">
                    <w:pPr>
                      <w:pStyle w:val="NoSpacing"/>
                      <w:rPr>
                        <w:rFonts w:asciiTheme="majorHAnsi" w:eastAsiaTheme="majorEastAsia" w:hAnsiTheme="majorHAnsi" w:cstheme="majorBidi"/>
                        <w:sz w:val="36"/>
                        <w:szCs w:val="36"/>
                      </w:rPr>
                    </w:pPr>
                    <w:proofErr w:type="spellStart"/>
                    <w:r w:rsidRPr="006B3E24">
                      <w:rPr>
                        <w:rFonts w:asciiTheme="majorHAnsi" w:eastAsiaTheme="majorEastAsia" w:hAnsiTheme="majorHAnsi" w:cstheme="majorBidi"/>
                        <w:b/>
                        <w:bCs/>
                        <w:sz w:val="56"/>
                        <w:szCs w:val="56"/>
                      </w:rPr>
                      <w:t>Strategia</w:t>
                    </w:r>
                    <w:proofErr w:type="spellEnd"/>
                    <w:r w:rsidRPr="006B3E24">
                      <w:rPr>
                        <w:rFonts w:asciiTheme="majorHAnsi" w:eastAsiaTheme="majorEastAsia" w:hAnsiTheme="majorHAnsi" w:cstheme="majorBidi"/>
                        <w:b/>
                        <w:bCs/>
                        <w:sz w:val="56"/>
                        <w:szCs w:val="56"/>
                      </w:rPr>
                      <w:t xml:space="preserve"> Netherlands</w:t>
                    </w:r>
                  </w:p>
                </w:tc>
              </w:sdtContent>
            </w:sdt>
          </w:tr>
        </w:tbl>
        <w:p w:rsidR="006B3E24" w:rsidRDefault="006B3E24"/>
        <w:p w:rsidR="006B3E24" w:rsidRDefault="006B3E24" w:rsidP="006B3E24">
          <w:pPr>
            <w:spacing w:after="200" w:line="276" w:lineRule="auto"/>
            <w:ind w:left="0" w:right="0" w:firstLine="0"/>
            <w:jc w:val="left"/>
          </w:pPr>
          <w:r>
            <w:rPr>
              <w:noProof/>
            </w:rPr>
            <w:pict>
              <v:shapetype id="_x0000_t202" coordsize="21600,21600" o:spt="202" path="m,l,21600r21600,l21600,xe">
                <v:stroke joinstyle="miter"/>
                <v:path gradientshapeok="t" o:connecttype="rect"/>
              </v:shapetype>
              <v:shape id="_x0000_s1026" type="#_x0000_t202" style="position:absolute;margin-left:-57.35pt;margin-top:490.95pt;width:391.8pt;height:39.35pt;z-index:251658240" stroked="f">
                <v:textbox>
                  <w:txbxContent>
                    <w:p w:rsidR="006B3E24" w:rsidRPr="006B3E24" w:rsidRDefault="006B3E24">
                      <w:pPr>
                        <w:ind w:left="0"/>
                        <w:rPr>
                          <w:b/>
                          <w:bCs/>
                          <w:color w:val="auto"/>
                          <w:sz w:val="32"/>
                          <w:szCs w:val="28"/>
                        </w:rPr>
                      </w:pPr>
                      <w:r w:rsidRPr="006B3E24">
                        <w:rPr>
                          <w:b/>
                          <w:bCs/>
                          <w:color w:val="auto"/>
                          <w:sz w:val="32"/>
                          <w:szCs w:val="28"/>
                        </w:rPr>
                        <w:t xml:space="preserve">Submitted by: Mohamed </w:t>
                      </w:r>
                      <w:proofErr w:type="spellStart"/>
                      <w:r w:rsidRPr="006B3E24">
                        <w:rPr>
                          <w:b/>
                          <w:bCs/>
                          <w:color w:val="auto"/>
                          <w:sz w:val="32"/>
                          <w:szCs w:val="28"/>
                        </w:rPr>
                        <w:t>Eltayeb</w:t>
                      </w:r>
                      <w:proofErr w:type="spellEnd"/>
                      <w:r w:rsidRPr="006B3E24">
                        <w:rPr>
                          <w:b/>
                          <w:bCs/>
                          <w:color w:val="auto"/>
                          <w:sz w:val="32"/>
                          <w:szCs w:val="28"/>
                        </w:rPr>
                        <w:t xml:space="preserve"> Mohamed </w:t>
                      </w:r>
                      <w:proofErr w:type="spellStart"/>
                      <w:r w:rsidRPr="006B3E24">
                        <w:rPr>
                          <w:b/>
                          <w:bCs/>
                          <w:color w:val="auto"/>
                          <w:sz w:val="32"/>
                          <w:szCs w:val="28"/>
                        </w:rPr>
                        <w:t>Elkhider</w:t>
                      </w:r>
                      <w:proofErr w:type="spellEnd"/>
                    </w:p>
                  </w:txbxContent>
                </v:textbox>
              </v:shape>
            </w:pict>
          </w:r>
          <w:r>
            <w:br w:type="page"/>
          </w:r>
        </w:p>
      </w:sdtContent>
    </w:sdt>
    <w:p w:rsidR="00071E6E" w:rsidRPr="00FD5526" w:rsidRDefault="00071E6E" w:rsidP="00FD5526">
      <w:pPr>
        <w:spacing w:after="116" w:line="256" w:lineRule="auto"/>
        <w:ind w:left="17" w:right="15"/>
        <w:jc w:val="center"/>
        <w:rPr>
          <w:b/>
          <w:bCs/>
        </w:rPr>
      </w:pPr>
      <w:r w:rsidRPr="00FD5526">
        <w:rPr>
          <w:b/>
          <w:bCs/>
        </w:rPr>
        <w:lastRenderedPageBreak/>
        <w:t>ASSIGNMENTS</w:t>
      </w:r>
    </w:p>
    <w:p w:rsidR="00071E6E" w:rsidRPr="00FD5526" w:rsidRDefault="00071E6E" w:rsidP="00071E6E">
      <w:pPr>
        <w:numPr>
          <w:ilvl w:val="1"/>
          <w:numId w:val="1"/>
        </w:numPr>
        <w:spacing w:after="118" w:line="256" w:lineRule="auto"/>
        <w:ind w:right="15" w:hanging="360"/>
        <w:rPr>
          <w:b/>
          <w:bCs/>
        </w:rPr>
      </w:pPr>
      <w:r w:rsidRPr="00FD5526">
        <w:rPr>
          <w:b/>
          <w:bCs/>
        </w:rPr>
        <w:t xml:space="preserve">Explain what municipal solid waste (MSW) means. </w:t>
      </w:r>
    </w:p>
    <w:p w:rsidR="00071E6E" w:rsidRPr="00123C7D" w:rsidRDefault="00071E6E" w:rsidP="00123C7D">
      <w:pPr>
        <w:spacing w:after="240" w:line="240" w:lineRule="auto"/>
        <w:jc w:val="left"/>
        <w:rPr>
          <w:rFonts w:asciiTheme="majorBidi" w:hAnsiTheme="majorBidi" w:cstheme="majorBidi"/>
          <w:szCs w:val="24"/>
        </w:rPr>
      </w:pPr>
      <w:r>
        <w:rPr>
          <w:rFonts w:asciiTheme="majorBidi" w:hAnsiTheme="majorBidi" w:cstheme="majorBidi"/>
          <w:szCs w:val="24"/>
        </w:rPr>
        <w:t xml:space="preserve">Municipal solid waste (MSW) can be defined as all kind of non-hazardous wastes that </w:t>
      </w:r>
      <w:r w:rsidRPr="00123C7D">
        <w:rPr>
          <w:rFonts w:asciiTheme="majorBidi" w:hAnsiTheme="majorBidi" w:cstheme="majorBidi"/>
          <w:szCs w:val="24"/>
        </w:rPr>
        <w:t>generated from domestic and non-domestic households. The domestic household wastes include all objects or materials that refused and discarded by households. The non-domestic household wastes include wastes that generated from large and small industries, hospitals, organizations, institutions and commercial places. The wastes in general could be solid or semisolid. Solid Waste can be defined as any object or substances that have been discarded or to be discarded while semi solid wastes include sludge waste and oil wastes. In fact, waste can be categorized into hazardous waste such as chemical wastes and medical wastes or non hazardous waste such as packaging waste. Municipal solid waste is all about non hazardous wastes</w:t>
      </w:r>
      <w:r w:rsidR="00EE71B4">
        <w:rPr>
          <w:rFonts w:asciiTheme="majorBidi" w:hAnsiTheme="majorBidi" w:cstheme="majorBidi"/>
          <w:szCs w:val="24"/>
        </w:rPr>
        <w:t xml:space="preserve"> </w:t>
      </w:r>
      <w:sdt>
        <w:sdtPr>
          <w:rPr>
            <w:rFonts w:asciiTheme="majorBidi" w:hAnsiTheme="majorBidi" w:cstheme="majorBidi"/>
            <w:szCs w:val="24"/>
          </w:rPr>
          <w:id w:val="1442913"/>
          <w:citation/>
        </w:sdtPr>
        <w:sdtContent>
          <w:r w:rsidR="00EE71B4">
            <w:rPr>
              <w:rFonts w:asciiTheme="majorBidi" w:hAnsiTheme="majorBidi" w:cstheme="majorBidi"/>
              <w:szCs w:val="24"/>
            </w:rPr>
            <w:fldChar w:fldCharType="begin"/>
          </w:r>
          <w:r w:rsidR="00EE71B4">
            <w:rPr>
              <w:rFonts w:asciiTheme="majorBidi" w:hAnsiTheme="majorBidi" w:cstheme="majorBidi"/>
              <w:szCs w:val="24"/>
            </w:rPr>
            <w:instrText xml:space="preserve"> CITATION Zek16 \l 1033 </w:instrText>
          </w:r>
          <w:r w:rsidR="00EE71B4">
            <w:rPr>
              <w:rFonts w:asciiTheme="majorBidi" w:hAnsiTheme="majorBidi" w:cstheme="majorBidi"/>
              <w:szCs w:val="24"/>
            </w:rPr>
            <w:fldChar w:fldCharType="separate"/>
          </w:r>
          <w:r w:rsidR="008821D7" w:rsidRPr="008821D7">
            <w:rPr>
              <w:rFonts w:asciiTheme="majorBidi" w:hAnsiTheme="majorBidi" w:cstheme="majorBidi"/>
              <w:noProof/>
              <w:szCs w:val="24"/>
            </w:rPr>
            <w:t>(Zekkos D. F., 2016)</w:t>
          </w:r>
          <w:r w:rsidR="00EE71B4">
            <w:rPr>
              <w:rFonts w:asciiTheme="majorBidi" w:hAnsiTheme="majorBidi" w:cstheme="majorBidi"/>
              <w:szCs w:val="24"/>
            </w:rPr>
            <w:fldChar w:fldCharType="end"/>
          </w:r>
        </w:sdtContent>
      </w:sdt>
      <w:r w:rsidRPr="00123C7D">
        <w:rPr>
          <w:rFonts w:asciiTheme="majorBidi" w:hAnsiTheme="majorBidi" w:cstheme="majorBidi"/>
          <w:szCs w:val="24"/>
        </w:rPr>
        <w:t xml:space="preserve">. </w:t>
      </w:r>
    </w:p>
    <w:p w:rsidR="009D061B" w:rsidRPr="00FD5526" w:rsidRDefault="00071E6E" w:rsidP="00071E6E">
      <w:pPr>
        <w:numPr>
          <w:ilvl w:val="1"/>
          <w:numId w:val="1"/>
        </w:numPr>
        <w:spacing w:line="240" w:lineRule="auto"/>
        <w:ind w:right="15" w:hanging="360"/>
        <w:jc w:val="left"/>
        <w:rPr>
          <w:rFonts w:asciiTheme="majorBidi" w:hAnsiTheme="majorBidi" w:cstheme="majorBidi"/>
          <w:b/>
          <w:bCs/>
          <w:szCs w:val="24"/>
        </w:rPr>
      </w:pPr>
      <w:r w:rsidRPr="00FD5526">
        <w:rPr>
          <w:rFonts w:asciiTheme="majorBidi" w:hAnsiTheme="majorBidi" w:cstheme="majorBidi"/>
          <w:b/>
          <w:bCs/>
          <w:szCs w:val="24"/>
        </w:rPr>
        <w:t>Explain the importance of the following MSW properties in solid waste management or treatment.</w:t>
      </w:r>
    </w:p>
    <w:p w:rsidR="00123C7D" w:rsidRDefault="00123C7D" w:rsidP="00123C7D">
      <w:pPr>
        <w:spacing w:after="240" w:line="240" w:lineRule="auto"/>
      </w:pPr>
      <w:r w:rsidRPr="00123C7D">
        <w:rPr>
          <w:szCs w:val="24"/>
        </w:rPr>
        <w:t xml:space="preserve">Waste management can be defined as the process of collection, transport, treatment, recycling, monitoring and control of wastes which has been generated by human. </w:t>
      </w:r>
      <w:r>
        <w:rPr>
          <w:sz w:val="22"/>
        </w:rPr>
        <w:t>Waste management has become an important business in the last years. In developed countries, several policies and strategies were developed in order to reduce the level of wastes and maximizing the level of diversion and quality enhancement while developing countries are still suffering from mismanagement of solid wastes and rely on open areas for the disposal of wastes</w:t>
      </w:r>
      <w:r>
        <w:rPr>
          <w:noProof/>
          <w:sz w:val="22"/>
        </w:rPr>
        <w:t>.</w:t>
      </w:r>
      <w:r>
        <w:rPr>
          <w:sz w:val="22"/>
        </w:rPr>
        <w:t xml:space="preserve"> However, today decision makers in low-income countries are more aware to give their </w:t>
      </w:r>
      <w:r>
        <w:rPr>
          <w:noProof/>
          <w:sz w:val="22"/>
        </w:rPr>
        <w:t>attention</w:t>
      </w:r>
      <w:r>
        <w:rPr>
          <w:sz w:val="22"/>
        </w:rPr>
        <w:t xml:space="preserve"> to the issue of solid waste management. They intend to understand properly how to critically manage solid wastes in urban cities. Henceforth, </w:t>
      </w:r>
      <w:r>
        <w:rPr>
          <w:noProof/>
          <w:sz w:val="22"/>
        </w:rPr>
        <w:t>scientists</w:t>
      </w:r>
      <w:r>
        <w:rPr>
          <w:sz w:val="22"/>
        </w:rPr>
        <w:t xml:space="preserve"> are aiming to develop a sustainable approach for MSW and working in reducing the quantities of solid wastes using ideal strategies and techniques in order to enhance the quality of the environment in urban cities more efficiently and effectively</w:t>
      </w:r>
      <w:sdt>
        <w:sdtPr>
          <w:rPr>
            <w:sz w:val="22"/>
          </w:rPr>
          <w:id w:val="1442934"/>
          <w:citation/>
        </w:sdtPr>
        <w:sdtContent>
          <w:r w:rsidR="00EE71B4">
            <w:rPr>
              <w:sz w:val="22"/>
            </w:rPr>
            <w:fldChar w:fldCharType="begin"/>
          </w:r>
          <w:r w:rsidR="00EE71B4">
            <w:rPr>
              <w:sz w:val="22"/>
            </w:rPr>
            <w:instrText xml:space="preserve"> CITATION Mat17 \l 1033 </w:instrText>
          </w:r>
          <w:r w:rsidR="00EE71B4">
            <w:rPr>
              <w:sz w:val="22"/>
            </w:rPr>
            <w:fldChar w:fldCharType="separate"/>
          </w:r>
          <w:r w:rsidR="008821D7">
            <w:rPr>
              <w:noProof/>
              <w:sz w:val="22"/>
            </w:rPr>
            <w:t xml:space="preserve"> </w:t>
          </w:r>
          <w:r w:rsidR="008821D7" w:rsidRPr="008821D7">
            <w:rPr>
              <w:noProof/>
              <w:sz w:val="22"/>
            </w:rPr>
            <w:t>(Matasovic, 2017)</w:t>
          </w:r>
          <w:r w:rsidR="00EE71B4">
            <w:rPr>
              <w:sz w:val="22"/>
            </w:rPr>
            <w:fldChar w:fldCharType="end"/>
          </w:r>
        </w:sdtContent>
      </w:sdt>
      <w:r>
        <w:rPr>
          <w:sz w:val="22"/>
        </w:rPr>
        <w:t>.</w:t>
      </w:r>
    </w:p>
    <w:p w:rsidR="00123C7D" w:rsidRDefault="00123C7D" w:rsidP="00123C7D">
      <w:pPr>
        <w:spacing w:line="240" w:lineRule="auto"/>
        <w:ind w:left="0" w:right="15" w:firstLine="0"/>
        <w:jc w:val="left"/>
        <w:rPr>
          <w:szCs w:val="24"/>
        </w:rPr>
      </w:pPr>
      <w:r w:rsidRPr="00123C7D">
        <w:rPr>
          <w:szCs w:val="24"/>
        </w:rPr>
        <w:t xml:space="preserve"> In order to develop an effective waste management plan there is demand to understand the properties of MSW. In fact MSW has physical, chemical and biological properties. </w:t>
      </w:r>
    </w:p>
    <w:p w:rsidR="00123C7D" w:rsidRDefault="00123C7D" w:rsidP="003C2FBC">
      <w:pPr>
        <w:spacing w:line="240" w:lineRule="auto"/>
        <w:ind w:left="0" w:right="15" w:firstLine="0"/>
        <w:jc w:val="left"/>
        <w:rPr>
          <w:szCs w:val="24"/>
        </w:rPr>
      </w:pPr>
      <w:r>
        <w:rPr>
          <w:szCs w:val="24"/>
        </w:rPr>
        <w:t xml:space="preserve">The importance of physical properties of MSW in solid waste management </w:t>
      </w:r>
      <w:r w:rsidR="00AE05ED">
        <w:rPr>
          <w:szCs w:val="24"/>
        </w:rPr>
        <w:t>is reflected in the selection of the equipments of the solid waste operation</w:t>
      </w:r>
      <w:r w:rsidR="003C2FBC">
        <w:rPr>
          <w:szCs w:val="24"/>
        </w:rPr>
        <w:t xml:space="preserve"> facilities and in the design and analysis of the disposal services. The main physical properties include particle size, density, moisture content, shape, color, optical and magnetic property</w:t>
      </w:r>
      <w:sdt>
        <w:sdtPr>
          <w:rPr>
            <w:szCs w:val="24"/>
          </w:rPr>
          <w:id w:val="1442937"/>
          <w:citation/>
        </w:sdtPr>
        <w:sdtContent>
          <w:r w:rsidR="00833EBA">
            <w:rPr>
              <w:szCs w:val="24"/>
            </w:rPr>
            <w:fldChar w:fldCharType="begin"/>
          </w:r>
          <w:r w:rsidR="00833EBA">
            <w:rPr>
              <w:szCs w:val="24"/>
            </w:rPr>
            <w:instrText xml:space="preserve"> CITATION Kum16 \l 1033 </w:instrText>
          </w:r>
          <w:r w:rsidR="00833EBA">
            <w:rPr>
              <w:szCs w:val="24"/>
            </w:rPr>
            <w:fldChar w:fldCharType="separate"/>
          </w:r>
          <w:r w:rsidR="008821D7">
            <w:rPr>
              <w:noProof/>
              <w:szCs w:val="24"/>
            </w:rPr>
            <w:t xml:space="preserve"> </w:t>
          </w:r>
          <w:r w:rsidR="008821D7" w:rsidRPr="008821D7">
            <w:rPr>
              <w:noProof/>
              <w:szCs w:val="24"/>
            </w:rPr>
            <w:t>(Kumar, Dhar, Nair, Bhattacharyya, Vaidya, &amp; Akolkar, 2016)</w:t>
          </w:r>
          <w:r w:rsidR="00833EBA">
            <w:rPr>
              <w:szCs w:val="24"/>
            </w:rPr>
            <w:fldChar w:fldCharType="end"/>
          </w:r>
        </w:sdtContent>
      </w:sdt>
      <w:r w:rsidR="003C2FBC">
        <w:rPr>
          <w:szCs w:val="24"/>
        </w:rPr>
        <w:t xml:space="preserve">. </w:t>
      </w:r>
    </w:p>
    <w:p w:rsidR="00941A06" w:rsidRDefault="003C2FBC" w:rsidP="00941A06">
      <w:pPr>
        <w:spacing w:line="240" w:lineRule="auto"/>
        <w:ind w:left="0" w:right="15" w:firstLine="0"/>
        <w:jc w:val="left"/>
        <w:rPr>
          <w:szCs w:val="24"/>
          <w:rtl/>
        </w:rPr>
      </w:pPr>
      <w:r>
        <w:rPr>
          <w:szCs w:val="24"/>
        </w:rPr>
        <w:t xml:space="preserve">Regarding the chemical properties of MSW in solid waste management, </w:t>
      </w:r>
      <w:proofErr w:type="gramStart"/>
      <w:r>
        <w:rPr>
          <w:szCs w:val="24"/>
        </w:rPr>
        <w:t>its</w:t>
      </w:r>
      <w:proofErr w:type="gramEnd"/>
      <w:r>
        <w:rPr>
          <w:szCs w:val="24"/>
        </w:rPr>
        <w:t xml:space="preserve"> important </w:t>
      </w:r>
      <w:r w:rsidR="00A026B6">
        <w:rPr>
          <w:szCs w:val="24"/>
        </w:rPr>
        <w:t>to understand the behavior of the wastes.</w:t>
      </w:r>
      <w:r w:rsidR="001A5CE3">
        <w:rPr>
          <w:szCs w:val="24"/>
        </w:rPr>
        <w:t xml:space="preserve"> In order to use the chemical properties of the solid waste</w:t>
      </w:r>
      <w:r w:rsidR="00941A06">
        <w:rPr>
          <w:szCs w:val="24"/>
        </w:rPr>
        <w:t>, its chemical properties should be understood. Chemical compounds include fats, grease and oils</w:t>
      </w:r>
      <w:r w:rsidR="00EE71B4">
        <w:rPr>
          <w:szCs w:val="24"/>
        </w:rPr>
        <w:t xml:space="preserve"> </w:t>
      </w:r>
      <w:sdt>
        <w:sdtPr>
          <w:rPr>
            <w:szCs w:val="24"/>
          </w:rPr>
          <w:id w:val="1442935"/>
          <w:citation/>
        </w:sdtPr>
        <w:sdtContent>
          <w:r w:rsidR="00EE71B4">
            <w:rPr>
              <w:szCs w:val="24"/>
            </w:rPr>
            <w:fldChar w:fldCharType="begin"/>
          </w:r>
          <w:r w:rsidR="00EE71B4">
            <w:rPr>
              <w:szCs w:val="24"/>
            </w:rPr>
            <w:instrText xml:space="preserve"> CITATION Zek05 \l 1033 </w:instrText>
          </w:r>
          <w:r w:rsidR="00EE71B4">
            <w:rPr>
              <w:szCs w:val="24"/>
            </w:rPr>
            <w:fldChar w:fldCharType="separate"/>
          </w:r>
          <w:r w:rsidR="008821D7" w:rsidRPr="008821D7">
            <w:rPr>
              <w:noProof/>
              <w:szCs w:val="24"/>
            </w:rPr>
            <w:t>(Zekkos D. P., 2005)</w:t>
          </w:r>
          <w:r w:rsidR="00EE71B4">
            <w:rPr>
              <w:szCs w:val="24"/>
            </w:rPr>
            <w:fldChar w:fldCharType="end"/>
          </w:r>
        </w:sdtContent>
      </w:sdt>
      <w:r w:rsidR="00941A06">
        <w:rPr>
          <w:szCs w:val="24"/>
        </w:rPr>
        <w:t xml:space="preserve">. </w:t>
      </w:r>
    </w:p>
    <w:p w:rsidR="00941A06" w:rsidRDefault="009C5BA7" w:rsidP="00804DCE">
      <w:pPr>
        <w:spacing w:line="240" w:lineRule="auto"/>
        <w:ind w:left="0" w:right="15" w:firstLine="0"/>
        <w:jc w:val="left"/>
        <w:rPr>
          <w:szCs w:val="24"/>
        </w:rPr>
      </w:pPr>
      <w:r>
        <w:rPr>
          <w:szCs w:val="24"/>
        </w:rPr>
        <w:t xml:space="preserve">In terms of biological properties, the main </w:t>
      </w:r>
      <w:r w:rsidR="00804DCE">
        <w:rPr>
          <w:szCs w:val="24"/>
        </w:rPr>
        <w:t>goal of u</w:t>
      </w:r>
      <w:r>
        <w:rPr>
          <w:szCs w:val="24"/>
        </w:rPr>
        <w:t xml:space="preserve">nderstanding the </w:t>
      </w:r>
      <w:r w:rsidR="00941A06">
        <w:rPr>
          <w:szCs w:val="24"/>
        </w:rPr>
        <w:t>biological properties</w:t>
      </w:r>
      <w:r w:rsidR="00804DCE">
        <w:rPr>
          <w:szCs w:val="24"/>
        </w:rPr>
        <w:t xml:space="preserve"> of MSW in solid waste management is reflected in understanding the treatment process for solid waste management. </w:t>
      </w:r>
      <w:r w:rsidR="00534F84">
        <w:rPr>
          <w:szCs w:val="24"/>
        </w:rPr>
        <w:t>For instance, understanding the biodegradability of organic matter in solid waste treatment facilities</w:t>
      </w:r>
      <w:sdt>
        <w:sdtPr>
          <w:rPr>
            <w:szCs w:val="24"/>
          </w:rPr>
          <w:id w:val="1442936"/>
          <w:citation/>
        </w:sdtPr>
        <w:sdtContent>
          <w:r w:rsidR="00833EBA">
            <w:rPr>
              <w:szCs w:val="24"/>
            </w:rPr>
            <w:fldChar w:fldCharType="begin"/>
          </w:r>
          <w:r w:rsidR="00833EBA">
            <w:rPr>
              <w:szCs w:val="24"/>
            </w:rPr>
            <w:instrText xml:space="preserve"> CITATION Zek13 \l 1033 </w:instrText>
          </w:r>
          <w:r w:rsidR="00833EBA">
            <w:rPr>
              <w:szCs w:val="24"/>
            </w:rPr>
            <w:fldChar w:fldCharType="separate"/>
          </w:r>
          <w:r w:rsidR="008821D7">
            <w:rPr>
              <w:noProof/>
              <w:szCs w:val="24"/>
            </w:rPr>
            <w:t xml:space="preserve"> </w:t>
          </w:r>
          <w:r w:rsidR="008821D7" w:rsidRPr="008821D7">
            <w:rPr>
              <w:noProof/>
              <w:szCs w:val="24"/>
            </w:rPr>
            <w:t>(Zekkos D. S., 2013)</w:t>
          </w:r>
          <w:r w:rsidR="00833EBA">
            <w:rPr>
              <w:szCs w:val="24"/>
            </w:rPr>
            <w:fldChar w:fldCharType="end"/>
          </w:r>
        </w:sdtContent>
      </w:sdt>
      <w:r w:rsidR="00EE71B4">
        <w:rPr>
          <w:szCs w:val="24"/>
        </w:rPr>
        <w:t xml:space="preserve"> </w:t>
      </w:r>
      <w:r w:rsidR="00534F84">
        <w:rPr>
          <w:szCs w:val="24"/>
        </w:rPr>
        <w:t xml:space="preserve">. </w:t>
      </w:r>
    </w:p>
    <w:p w:rsidR="00FD5526" w:rsidRDefault="00FD5526" w:rsidP="00804DCE">
      <w:pPr>
        <w:spacing w:line="240" w:lineRule="auto"/>
        <w:ind w:left="0" w:right="15" w:firstLine="0"/>
        <w:jc w:val="left"/>
        <w:rPr>
          <w:szCs w:val="24"/>
        </w:rPr>
      </w:pPr>
    </w:p>
    <w:p w:rsidR="00FD5526" w:rsidRDefault="00FD5526" w:rsidP="00804DCE">
      <w:pPr>
        <w:spacing w:line="240" w:lineRule="auto"/>
        <w:ind w:left="0" w:right="15" w:firstLine="0"/>
        <w:jc w:val="left"/>
        <w:rPr>
          <w:szCs w:val="24"/>
        </w:rPr>
      </w:pPr>
    </w:p>
    <w:p w:rsidR="00FD5526" w:rsidRDefault="00FD5526" w:rsidP="00804DCE">
      <w:pPr>
        <w:spacing w:line="240" w:lineRule="auto"/>
        <w:ind w:left="0" w:right="15" w:firstLine="0"/>
        <w:jc w:val="left"/>
        <w:rPr>
          <w:szCs w:val="24"/>
        </w:rPr>
      </w:pPr>
    </w:p>
    <w:p w:rsidR="003C2FBC" w:rsidRPr="00534F84" w:rsidRDefault="001A5CE3" w:rsidP="00534F84">
      <w:pPr>
        <w:spacing w:line="240" w:lineRule="auto"/>
        <w:ind w:left="0" w:right="15" w:firstLine="0"/>
        <w:jc w:val="left"/>
        <w:rPr>
          <w:szCs w:val="24"/>
        </w:rPr>
      </w:pPr>
      <w:r>
        <w:rPr>
          <w:szCs w:val="24"/>
        </w:rPr>
        <w:lastRenderedPageBreak/>
        <w:t xml:space="preserve"> </w:t>
      </w:r>
    </w:p>
    <w:p w:rsidR="00534F84" w:rsidRPr="00FD5526" w:rsidRDefault="00071E6E" w:rsidP="00071E6E">
      <w:pPr>
        <w:numPr>
          <w:ilvl w:val="1"/>
          <w:numId w:val="1"/>
        </w:numPr>
        <w:spacing w:after="116" w:line="240" w:lineRule="auto"/>
        <w:ind w:right="15" w:hanging="360"/>
        <w:jc w:val="left"/>
        <w:rPr>
          <w:rFonts w:asciiTheme="majorBidi" w:hAnsiTheme="majorBidi" w:cstheme="majorBidi"/>
          <w:b/>
          <w:bCs/>
          <w:szCs w:val="24"/>
        </w:rPr>
      </w:pPr>
      <w:r w:rsidRPr="00FD5526">
        <w:rPr>
          <w:rFonts w:asciiTheme="majorBidi" w:hAnsiTheme="majorBidi" w:cstheme="majorBidi"/>
          <w:b/>
          <w:bCs/>
          <w:szCs w:val="24"/>
        </w:rPr>
        <w:t>Outline the advantages and disadvantages of source separation of MSW</w:t>
      </w:r>
    </w:p>
    <w:p w:rsidR="00CC619D" w:rsidRDefault="00CC619D" w:rsidP="00534F84">
      <w:pPr>
        <w:spacing w:after="116" w:line="240" w:lineRule="auto"/>
        <w:ind w:left="720" w:right="15" w:firstLine="0"/>
        <w:jc w:val="left"/>
        <w:rPr>
          <w:rFonts w:asciiTheme="majorBidi" w:hAnsiTheme="majorBidi" w:cstheme="majorBidi"/>
          <w:szCs w:val="24"/>
        </w:rPr>
      </w:pPr>
    </w:p>
    <w:p w:rsidR="005E151A" w:rsidRDefault="00CC619D" w:rsidP="00CC619D">
      <w:pPr>
        <w:pStyle w:val="ListParagraph"/>
        <w:numPr>
          <w:ilvl w:val="0"/>
          <w:numId w:val="2"/>
        </w:numPr>
        <w:spacing w:after="116" w:line="240" w:lineRule="auto"/>
        <w:ind w:right="15"/>
        <w:jc w:val="left"/>
        <w:rPr>
          <w:rFonts w:asciiTheme="majorBidi" w:hAnsiTheme="majorBidi" w:cstheme="majorBidi"/>
          <w:szCs w:val="24"/>
        </w:rPr>
      </w:pPr>
      <w:r w:rsidRPr="00CC619D">
        <w:rPr>
          <w:rFonts w:asciiTheme="majorBidi" w:hAnsiTheme="majorBidi" w:cstheme="majorBidi"/>
          <w:szCs w:val="24"/>
        </w:rPr>
        <w:t>Advantages of MSW can be determined as follows:</w:t>
      </w:r>
    </w:p>
    <w:p w:rsidR="005E151A" w:rsidRDefault="001637EF" w:rsidP="005E151A">
      <w:pPr>
        <w:spacing w:after="116" w:line="240" w:lineRule="auto"/>
        <w:ind w:left="720" w:right="15" w:firstLine="0"/>
      </w:pPr>
      <w:r>
        <w:rPr>
          <w:rFonts w:asciiTheme="majorBidi" w:hAnsiTheme="majorBidi" w:cstheme="majorBidi"/>
          <w:szCs w:val="24"/>
        </w:rPr>
        <w:t xml:space="preserve">The main advantage of separation of MSW at point of collection is the massive </w:t>
      </w:r>
      <w:r w:rsidR="005E151A">
        <w:rPr>
          <w:rFonts w:asciiTheme="majorBidi" w:hAnsiTheme="majorBidi" w:cstheme="majorBidi"/>
          <w:szCs w:val="24"/>
        </w:rPr>
        <w:t>improvement in the quality</w:t>
      </w:r>
      <w:r>
        <w:rPr>
          <w:rFonts w:asciiTheme="majorBidi" w:hAnsiTheme="majorBidi" w:cstheme="majorBidi"/>
          <w:szCs w:val="24"/>
        </w:rPr>
        <w:t xml:space="preserve"> of solid waste</w:t>
      </w:r>
      <w:r w:rsidR="005E151A">
        <w:rPr>
          <w:rFonts w:asciiTheme="majorBidi" w:hAnsiTheme="majorBidi" w:cstheme="majorBidi"/>
          <w:szCs w:val="24"/>
        </w:rPr>
        <w:t xml:space="preserve"> management</w:t>
      </w:r>
      <w:r>
        <w:rPr>
          <w:rFonts w:asciiTheme="majorBidi" w:hAnsiTheme="majorBidi" w:cstheme="majorBidi"/>
          <w:szCs w:val="24"/>
        </w:rPr>
        <w:t xml:space="preserve">. This idea will lead </w:t>
      </w:r>
      <w:r w:rsidR="00CC619D">
        <w:rPr>
          <w:rFonts w:asciiTheme="majorBidi" w:hAnsiTheme="majorBidi" w:cstheme="majorBidi"/>
          <w:szCs w:val="24"/>
        </w:rPr>
        <w:t>to improve the quality of waste steam and obtaining more homogenous results.</w:t>
      </w:r>
      <w:r w:rsidR="00071E6E" w:rsidRPr="00123C7D">
        <w:rPr>
          <w:rFonts w:asciiTheme="majorBidi" w:hAnsiTheme="majorBidi" w:cstheme="majorBidi"/>
          <w:szCs w:val="24"/>
        </w:rPr>
        <w:t xml:space="preserve"> </w:t>
      </w:r>
      <w:r>
        <w:t>Also, s</w:t>
      </w:r>
      <w:r w:rsidR="00CC619D">
        <w:t>ource separat</w:t>
      </w:r>
      <w:r w:rsidR="005E151A">
        <w:t>ion process can result in low operation cost due to the low contamination of wastes. The process also provides more values for recycling process</w:t>
      </w:r>
      <w:r w:rsidR="00CC619D">
        <w:t xml:space="preserve">. Moreover, source separation </w:t>
      </w:r>
      <w:r w:rsidR="005E151A">
        <w:t>will</w:t>
      </w:r>
      <w:r w:rsidR="00CC619D">
        <w:t xml:space="preserve"> </w:t>
      </w:r>
      <w:r w:rsidR="005E151A">
        <w:t>enhance</w:t>
      </w:r>
      <w:r w:rsidR="00CC619D">
        <w:t xml:space="preserve"> the environmental performance and </w:t>
      </w:r>
      <w:r w:rsidR="005E151A">
        <w:t xml:space="preserve">improve the </w:t>
      </w:r>
      <w:r w:rsidR="00CC619D">
        <w:t xml:space="preserve">economic efficiencies of waste treatment </w:t>
      </w:r>
      <w:r w:rsidR="005E151A">
        <w:t xml:space="preserve">processes </w:t>
      </w:r>
      <w:r w:rsidR="00CC619D">
        <w:t xml:space="preserve">options. Source separation is </w:t>
      </w:r>
      <w:r w:rsidR="005E151A">
        <w:t>mainly</w:t>
      </w:r>
      <w:r w:rsidR="00CC619D">
        <w:t xml:space="preserve"> </w:t>
      </w:r>
      <w:r w:rsidR="005E151A">
        <w:t>essential</w:t>
      </w:r>
      <w:r w:rsidR="00CC619D">
        <w:t xml:space="preserve"> when </w:t>
      </w:r>
      <w:r w:rsidR="005E151A">
        <w:t>good</w:t>
      </w:r>
      <w:r w:rsidR="00CC619D">
        <w:t xml:space="preserve"> product quality is </w:t>
      </w:r>
      <w:r w:rsidR="005E151A">
        <w:t>needed also its important</w:t>
      </w:r>
      <w:r w:rsidR="00CC619D">
        <w:t xml:space="preserve"> when mechanical separation is </w:t>
      </w:r>
      <w:r w:rsidR="005E151A">
        <w:t>complicated</w:t>
      </w:r>
      <w:r w:rsidR="00CC619D">
        <w:t xml:space="preserve"> and </w:t>
      </w:r>
      <w:r w:rsidR="005E151A">
        <w:t>economically not visible</w:t>
      </w:r>
      <w:r w:rsidR="00CC619D">
        <w:t xml:space="preserve">. </w:t>
      </w:r>
      <w:r w:rsidR="005E151A">
        <w:t>Addition to this, source separation of MSW will lead to reduce the volume of residual waste to open areas. Residual waste means in general all the substances that remaining after waste treatment processes and would be directed to landfill. Finally, source separation encourages people to separate wastes before disposal process which will lead to increase the awareness and enhance the behavior of the households throughout the community</w:t>
      </w:r>
      <w:sdt>
        <w:sdtPr>
          <w:id w:val="1442938"/>
          <w:citation/>
        </w:sdtPr>
        <w:sdtContent>
          <w:fldSimple w:instr=" CITATION Coh71 \l 1033 ">
            <w:r w:rsidR="008821D7">
              <w:rPr>
                <w:noProof/>
              </w:rPr>
              <w:t xml:space="preserve"> (Cohan, 1971)</w:t>
            </w:r>
          </w:fldSimple>
        </w:sdtContent>
      </w:sdt>
      <w:r w:rsidR="005E151A">
        <w:t xml:space="preserve">. </w:t>
      </w:r>
    </w:p>
    <w:p w:rsidR="005E151A" w:rsidRPr="00CC619D" w:rsidRDefault="005E151A" w:rsidP="005E151A">
      <w:pPr>
        <w:pStyle w:val="ListParagraph"/>
        <w:numPr>
          <w:ilvl w:val="0"/>
          <w:numId w:val="2"/>
        </w:numPr>
        <w:spacing w:after="116" w:line="240" w:lineRule="auto"/>
        <w:ind w:right="15"/>
        <w:jc w:val="left"/>
        <w:rPr>
          <w:rFonts w:asciiTheme="majorBidi" w:hAnsiTheme="majorBidi" w:cstheme="majorBidi"/>
          <w:szCs w:val="24"/>
        </w:rPr>
      </w:pPr>
      <w:r>
        <w:rPr>
          <w:rFonts w:asciiTheme="majorBidi" w:hAnsiTheme="majorBidi" w:cstheme="majorBidi"/>
          <w:szCs w:val="24"/>
        </w:rPr>
        <w:t xml:space="preserve">Disadvantages of MSW can be explained as follows: </w:t>
      </w:r>
      <w:r w:rsidRPr="00CC619D">
        <w:rPr>
          <w:rFonts w:asciiTheme="majorBidi" w:hAnsiTheme="majorBidi" w:cstheme="majorBidi"/>
          <w:szCs w:val="24"/>
        </w:rPr>
        <w:t xml:space="preserve"> </w:t>
      </w:r>
    </w:p>
    <w:p w:rsidR="005E151A" w:rsidRDefault="005E151A" w:rsidP="008821D7">
      <w:pPr>
        <w:spacing w:after="116" w:line="240" w:lineRule="auto"/>
        <w:ind w:left="720" w:right="15" w:firstLine="0"/>
        <w:jc w:val="left"/>
      </w:pPr>
      <w:r>
        <w:t>Source separation is not effective for organic wastes because it cannot offer pure compounds. Also, it is not easy to encourage households to separate their wastes and required motivation, education and incentives for households. The socio economic implications of source separation of MSW interventions are problematic.  Addison to this, source separation required organized system and understanding the cost of source separation program is complicated</w:t>
      </w:r>
      <w:sdt>
        <w:sdtPr>
          <w:id w:val="1442939"/>
          <w:citation/>
        </w:sdtPr>
        <w:sdtContent>
          <w:fldSimple w:instr=" CITATION Pha13 \l 1033 ">
            <w:r w:rsidR="008821D7">
              <w:rPr>
                <w:noProof/>
              </w:rPr>
              <w:t xml:space="preserve"> (Phalkey RK, 2013)</w:t>
            </w:r>
          </w:fldSimple>
        </w:sdtContent>
      </w:sdt>
      <w:r>
        <w:t xml:space="preserve">.   </w:t>
      </w:r>
    </w:p>
    <w:p w:rsidR="005E151A" w:rsidRPr="00FD5526" w:rsidRDefault="00071E6E" w:rsidP="00071E6E">
      <w:pPr>
        <w:numPr>
          <w:ilvl w:val="1"/>
          <w:numId w:val="1"/>
        </w:numPr>
        <w:spacing w:after="118" w:line="240" w:lineRule="auto"/>
        <w:ind w:right="15" w:hanging="360"/>
        <w:jc w:val="left"/>
        <w:rPr>
          <w:rFonts w:asciiTheme="majorBidi" w:hAnsiTheme="majorBidi" w:cstheme="majorBidi"/>
          <w:b/>
          <w:bCs/>
          <w:szCs w:val="24"/>
        </w:rPr>
      </w:pPr>
      <w:r w:rsidRPr="00FD5526">
        <w:rPr>
          <w:rFonts w:asciiTheme="majorBidi" w:hAnsiTheme="majorBidi" w:cstheme="majorBidi"/>
          <w:b/>
          <w:bCs/>
          <w:szCs w:val="24"/>
        </w:rPr>
        <w:t>Discuss the challenges faced in disease surveillance.</w:t>
      </w:r>
    </w:p>
    <w:p w:rsidR="006F5A40" w:rsidRDefault="003F341F" w:rsidP="006F5A40">
      <w:pPr>
        <w:spacing w:after="118" w:line="240" w:lineRule="auto"/>
        <w:ind w:left="720" w:right="15" w:firstLine="0"/>
        <w:rPr>
          <w:rFonts w:asciiTheme="majorBidi" w:hAnsiTheme="majorBidi" w:cstheme="majorBidi"/>
          <w:szCs w:val="24"/>
        </w:rPr>
      </w:pPr>
      <w:r>
        <w:rPr>
          <w:rFonts w:asciiTheme="majorBidi" w:hAnsiTheme="majorBidi" w:cstheme="majorBidi"/>
          <w:szCs w:val="24"/>
        </w:rPr>
        <w:t xml:space="preserve">Disease surveillance is the process of monitoring and controlling diseases outbreaks among communities in order to develop patterns of progression. </w:t>
      </w:r>
      <w:r w:rsidR="006F5A40">
        <w:rPr>
          <w:rFonts w:asciiTheme="majorBidi" w:hAnsiTheme="majorBidi" w:cstheme="majorBidi"/>
          <w:szCs w:val="24"/>
        </w:rPr>
        <w:t>Disease surveillance faces several challenges. Some challenges are technically while others are political and economical challenges</w:t>
      </w:r>
      <w:sdt>
        <w:sdtPr>
          <w:rPr>
            <w:rFonts w:asciiTheme="majorBidi" w:hAnsiTheme="majorBidi" w:cstheme="majorBidi"/>
            <w:szCs w:val="24"/>
          </w:rPr>
          <w:id w:val="1442898"/>
          <w:citation/>
        </w:sdtPr>
        <w:sdtContent>
          <w:r w:rsidR="001E2D56">
            <w:rPr>
              <w:rFonts w:asciiTheme="majorBidi" w:hAnsiTheme="majorBidi" w:cstheme="majorBidi"/>
              <w:szCs w:val="24"/>
            </w:rPr>
            <w:fldChar w:fldCharType="begin"/>
          </w:r>
          <w:r w:rsidR="001E2D56">
            <w:rPr>
              <w:rFonts w:asciiTheme="majorBidi" w:hAnsiTheme="majorBidi" w:cstheme="majorBidi"/>
              <w:szCs w:val="24"/>
            </w:rPr>
            <w:instrText xml:space="preserve"> CITATION Bue04 \l 1033 </w:instrText>
          </w:r>
          <w:r w:rsidR="001E2D56">
            <w:rPr>
              <w:rFonts w:asciiTheme="majorBidi" w:hAnsiTheme="majorBidi" w:cstheme="majorBidi"/>
              <w:szCs w:val="24"/>
            </w:rPr>
            <w:fldChar w:fldCharType="separate"/>
          </w:r>
          <w:r w:rsidR="008821D7">
            <w:rPr>
              <w:rFonts w:asciiTheme="majorBidi" w:hAnsiTheme="majorBidi" w:cstheme="majorBidi"/>
              <w:noProof/>
              <w:szCs w:val="24"/>
            </w:rPr>
            <w:t xml:space="preserve"> </w:t>
          </w:r>
          <w:r w:rsidR="008821D7" w:rsidRPr="008821D7">
            <w:rPr>
              <w:rFonts w:asciiTheme="majorBidi" w:hAnsiTheme="majorBidi" w:cstheme="majorBidi"/>
              <w:noProof/>
              <w:szCs w:val="24"/>
            </w:rPr>
            <w:t>(Buehler JW, 2004)</w:t>
          </w:r>
          <w:r w:rsidR="001E2D56">
            <w:rPr>
              <w:rFonts w:asciiTheme="majorBidi" w:hAnsiTheme="majorBidi" w:cstheme="majorBidi"/>
              <w:szCs w:val="24"/>
            </w:rPr>
            <w:fldChar w:fldCharType="end"/>
          </w:r>
        </w:sdtContent>
      </w:sdt>
      <w:r w:rsidR="006F5A40">
        <w:rPr>
          <w:rFonts w:asciiTheme="majorBidi" w:hAnsiTheme="majorBidi" w:cstheme="majorBidi"/>
          <w:szCs w:val="24"/>
        </w:rPr>
        <w:t xml:space="preserve">. </w:t>
      </w:r>
    </w:p>
    <w:p w:rsidR="001E2D56" w:rsidRPr="001E2D56" w:rsidRDefault="00715E24" w:rsidP="001E2D56">
      <w:pPr>
        <w:spacing w:after="118" w:line="240" w:lineRule="auto"/>
        <w:ind w:left="720" w:right="15" w:firstLine="0"/>
        <w:rPr>
          <w:rFonts w:asciiTheme="majorBidi" w:hAnsiTheme="majorBidi" w:cstheme="majorBidi"/>
          <w:szCs w:val="24"/>
        </w:rPr>
      </w:pPr>
      <w:r>
        <w:rPr>
          <w:rFonts w:asciiTheme="majorBidi" w:hAnsiTheme="majorBidi" w:cstheme="majorBidi"/>
          <w:szCs w:val="24"/>
        </w:rPr>
        <w:t>Regarding</w:t>
      </w:r>
      <w:r w:rsidR="006F5A40">
        <w:rPr>
          <w:rFonts w:asciiTheme="majorBidi" w:hAnsiTheme="majorBidi" w:cstheme="majorBidi"/>
          <w:szCs w:val="24"/>
        </w:rPr>
        <w:t xml:space="preserve"> </w:t>
      </w:r>
      <w:r>
        <w:rPr>
          <w:rFonts w:asciiTheme="majorBidi" w:hAnsiTheme="majorBidi" w:cstheme="majorBidi"/>
          <w:szCs w:val="24"/>
        </w:rPr>
        <w:t>the technical</w:t>
      </w:r>
      <w:r w:rsidR="006F5A40">
        <w:rPr>
          <w:rFonts w:asciiTheme="majorBidi" w:hAnsiTheme="majorBidi" w:cstheme="majorBidi"/>
          <w:szCs w:val="24"/>
        </w:rPr>
        <w:t xml:space="preserve"> challenges</w:t>
      </w:r>
      <w:r>
        <w:rPr>
          <w:rFonts w:asciiTheme="majorBidi" w:hAnsiTheme="majorBidi" w:cstheme="majorBidi"/>
          <w:szCs w:val="24"/>
        </w:rPr>
        <w:t xml:space="preserve"> of disease surveillance</w:t>
      </w:r>
      <w:r w:rsidR="006F5A40">
        <w:rPr>
          <w:rFonts w:asciiTheme="majorBidi" w:hAnsiTheme="majorBidi" w:cstheme="majorBidi"/>
          <w:szCs w:val="24"/>
        </w:rPr>
        <w:t>, several</w:t>
      </w:r>
      <w:r w:rsidR="007A7A4D">
        <w:rPr>
          <w:rFonts w:asciiTheme="majorBidi" w:hAnsiTheme="majorBidi" w:cstheme="majorBidi"/>
          <w:szCs w:val="24"/>
        </w:rPr>
        <w:t xml:space="preserve"> low-income countries suffer from conducting testing for diseases due to its high cost. </w:t>
      </w:r>
      <w:r w:rsidR="006F5A40">
        <w:rPr>
          <w:rFonts w:asciiTheme="majorBidi" w:hAnsiTheme="majorBidi" w:cstheme="majorBidi"/>
          <w:szCs w:val="24"/>
        </w:rPr>
        <w:t xml:space="preserve">The distinguish </w:t>
      </w:r>
      <w:r w:rsidR="007A7A4D">
        <w:rPr>
          <w:rFonts w:asciiTheme="majorBidi" w:hAnsiTheme="majorBidi" w:cstheme="majorBidi"/>
          <w:szCs w:val="24"/>
        </w:rPr>
        <w:t>between two kind of diseases in some cases is not easy and required applying effective testing approach.</w:t>
      </w:r>
      <w:r w:rsidR="006F5A40">
        <w:rPr>
          <w:rFonts w:asciiTheme="majorBidi" w:hAnsiTheme="majorBidi" w:cstheme="majorBidi"/>
          <w:szCs w:val="24"/>
        </w:rPr>
        <w:t xml:space="preserve"> The tests required tools, equipments and materials that are </w:t>
      </w:r>
      <w:r>
        <w:rPr>
          <w:rFonts w:asciiTheme="majorBidi" w:hAnsiTheme="majorBidi" w:cstheme="majorBidi"/>
          <w:szCs w:val="24"/>
        </w:rPr>
        <w:t xml:space="preserve">expensive and </w:t>
      </w:r>
      <w:r w:rsidR="006F5A40">
        <w:rPr>
          <w:rFonts w:asciiTheme="majorBidi" w:hAnsiTheme="majorBidi" w:cstheme="majorBidi"/>
          <w:szCs w:val="24"/>
        </w:rPr>
        <w:t>not affordable for many countries. Also, Low-income countries suffer from obtaining well trained workers, comprehensive d</w:t>
      </w:r>
      <w:r>
        <w:rPr>
          <w:rFonts w:asciiTheme="majorBidi" w:hAnsiTheme="majorBidi" w:cstheme="majorBidi"/>
          <w:szCs w:val="24"/>
        </w:rPr>
        <w:t xml:space="preserve">ata </w:t>
      </w:r>
      <w:r w:rsidR="006F5A40">
        <w:rPr>
          <w:rFonts w:asciiTheme="majorBidi" w:hAnsiTheme="majorBidi" w:cstheme="majorBidi"/>
          <w:szCs w:val="24"/>
        </w:rPr>
        <w:t xml:space="preserve">and availability of </w:t>
      </w:r>
      <w:r>
        <w:rPr>
          <w:rFonts w:asciiTheme="majorBidi" w:hAnsiTheme="majorBidi" w:cstheme="majorBidi"/>
          <w:szCs w:val="24"/>
        </w:rPr>
        <w:t xml:space="preserve">advance </w:t>
      </w:r>
      <w:r w:rsidR="006F5A40">
        <w:rPr>
          <w:rFonts w:asciiTheme="majorBidi" w:hAnsiTheme="majorBidi" w:cstheme="majorBidi"/>
          <w:szCs w:val="24"/>
        </w:rPr>
        <w:t>technology. Disease surveillance faced critical problem from the lack of integration different approach for sustainable and realistic results</w:t>
      </w:r>
      <w:sdt>
        <w:sdtPr>
          <w:rPr>
            <w:rFonts w:asciiTheme="majorBidi" w:hAnsiTheme="majorBidi" w:cstheme="majorBidi"/>
            <w:szCs w:val="24"/>
          </w:rPr>
          <w:id w:val="1442878"/>
          <w:citation/>
        </w:sdtPr>
        <w:sdtContent>
          <w:r w:rsidR="001E2D56">
            <w:rPr>
              <w:rFonts w:asciiTheme="majorBidi" w:hAnsiTheme="majorBidi" w:cstheme="majorBidi"/>
              <w:szCs w:val="24"/>
            </w:rPr>
            <w:fldChar w:fldCharType="begin"/>
          </w:r>
          <w:r w:rsidR="001E2D56">
            <w:rPr>
              <w:rFonts w:asciiTheme="majorBidi" w:hAnsiTheme="majorBidi" w:cstheme="majorBidi"/>
              <w:szCs w:val="24"/>
            </w:rPr>
            <w:instrText xml:space="preserve"> CITATION Abu101 \l 1033 </w:instrText>
          </w:r>
          <w:r w:rsidR="001E2D56">
            <w:rPr>
              <w:rFonts w:asciiTheme="majorBidi" w:hAnsiTheme="majorBidi" w:cstheme="majorBidi"/>
              <w:szCs w:val="24"/>
            </w:rPr>
            <w:fldChar w:fldCharType="separate"/>
          </w:r>
          <w:r w:rsidR="008821D7">
            <w:rPr>
              <w:rFonts w:asciiTheme="majorBidi" w:hAnsiTheme="majorBidi" w:cstheme="majorBidi"/>
              <w:noProof/>
              <w:szCs w:val="24"/>
            </w:rPr>
            <w:t xml:space="preserve"> </w:t>
          </w:r>
          <w:r w:rsidR="008821D7" w:rsidRPr="008821D7">
            <w:rPr>
              <w:rFonts w:asciiTheme="majorBidi" w:hAnsiTheme="majorBidi" w:cstheme="majorBidi"/>
              <w:noProof/>
              <w:szCs w:val="24"/>
            </w:rPr>
            <w:t>(Abubakar A, 2010)</w:t>
          </w:r>
          <w:r w:rsidR="001E2D56">
            <w:rPr>
              <w:rFonts w:asciiTheme="majorBidi" w:hAnsiTheme="majorBidi" w:cstheme="majorBidi"/>
              <w:szCs w:val="24"/>
            </w:rPr>
            <w:fldChar w:fldCharType="end"/>
          </w:r>
        </w:sdtContent>
      </w:sdt>
    </w:p>
    <w:p w:rsidR="006F5A40" w:rsidRDefault="006F5A40" w:rsidP="00715E24">
      <w:pPr>
        <w:spacing w:after="118" w:line="240" w:lineRule="auto"/>
        <w:ind w:left="720" w:right="15" w:firstLine="0"/>
        <w:rPr>
          <w:rFonts w:asciiTheme="majorBidi" w:hAnsiTheme="majorBidi" w:cstheme="majorBidi"/>
          <w:szCs w:val="24"/>
        </w:rPr>
      </w:pPr>
      <w:r>
        <w:rPr>
          <w:rFonts w:asciiTheme="majorBidi" w:hAnsiTheme="majorBidi" w:cstheme="majorBidi"/>
          <w:szCs w:val="24"/>
        </w:rPr>
        <w:t>.</w:t>
      </w:r>
    </w:p>
    <w:p w:rsidR="001E2D56" w:rsidRDefault="007A7A4D" w:rsidP="00715E24">
      <w:pPr>
        <w:spacing w:after="118" w:line="240" w:lineRule="auto"/>
        <w:ind w:left="720" w:right="15" w:firstLine="0"/>
        <w:rPr>
          <w:rFonts w:asciiTheme="majorBidi" w:hAnsiTheme="majorBidi" w:cstheme="majorBidi"/>
          <w:szCs w:val="24"/>
        </w:rPr>
      </w:pPr>
      <w:r>
        <w:rPr>
          <w:rFonts w:asciiTheme="majorBidi" w:hAnsiTheme="majorBidi" w:cstheme="majorBidi"/>
          <w:szCs w:val="24"/>
        </w:rPr>
        <w:lastRenderedPageBreak/>
        <w:t xml:space="preserve"> </w:t>
      </w:r>
      <w:r w:rsidR="00715E24">
        <w:rPr>
          <w:rFonts w:asciiTheme="majorBidi" w:hAnsiTheme="majorBidi" w:cstheme="majorBidi"/>
          <w:szCs w:val="24"/>
        </w:rPr>
        <w:t xml:space="preserve">Concerning the political challenges of disease surveillance, </w:t>
      </w:r>
      <w:r>
        <w:rPr>
          <w:rFonts w:asciiTheme="majorBidi" w:hAnsiTheme="majorBidi" w:cstheme="majorBidi"/>
          <w:szCs w:val="24"/>
        </w:rPr>
        <w:t xml:space="preserve">the lead organization </w:t>
      </w:r>
      <w:r w:rsidR="00442712">
        <w:rPr>
          <w:rFonts w:asciiTheme="majorBidi" w:hAnsiTheme="majorBidi" w:cstheme="majorBidi"/>
          <w:szCs w:val="24"/>
        </w:rPr>
        <w:t>in the issue of global public health such as WHO suffer in many countries from gaining sufficient reports about diseases outbreak. The reason behind this is that, many countries consider the issue of diseases outbreak as a secret.</w:t>
      </w:r>
      <w:r w:rsidR="00DD3647">
        <w:rPr>
          <w:rFonts w:asciiTheme="majorBidi" w:hAnsiTheme="majorBidi" w:cstheme="majorBidi"/>
          <w:szCs w:val="24"/>
        </w:rPr>
        <w:t xml:space="preserve"> </w:t>
      </w:r>
      <w:r w:rsidR="00715E24">
        <w:rPr>
          <w:rFonts w:asciiTheme="majorBidi" w:hAnsiTheme="majorBidi" w:cstheme="majorBidi"/>
          <w:szCs w:val="24"/>
        </w:rPr>
        <w:t>Also, there is</w:t>
      </w:r>
      <w:r w:rsidR="005375F7">
        <w:rPr>
          <w:rFonts w:asciiTheme="majorBidi" w:hAnsiTheme="majorBidi" w:cstheme="majorBidi"/>
          <w:szCs w:val="24"/>
        </w:rPr>
        <w:t xml:space="preserve"> </w:t>
      </w:r>
      <w:r w:rsidR="00715E24">
        <w:rPr>
          <w:rFonts w:asciiTheme="majorBidi" w:hAnsiTheme="majorBidi" w:cstheme="majorBidi"/>
          <w:szCs w:val="24"/>
        </w:rPr>
        <w:t xml:space="preserve">substantial barrier during the implementation of disease surveillance program due to the </w:t>
      </w:r>
      <w:r w:rsidR="003F341F">
        <w:rPr>
          <w:rFonts w:asciiTheme="majorBidi" w:hAnsiTheme="majorBidi" w:cstheme="majorBidi"/>
          <w:szCs w:val="24"/>
        </w:rPr>
        <w:t>gap between academia and policy makers in developing countries</w:t>
      </w:r>
      <w:sdt>
        <w:sdtPr>
          <w:rPr>
            <w:rFonts w:asciiTheme="majorBidi" w:hAnsiTheme="majorBidi" w:cstheme="majorBidi"/>
            <w:szCs w:val="24"/>
          </w:rPr>
          <w:id w:val="1442876"/>
          <w:citation/>
        </w:sdtPr>
        <w:sdtContent>
          <w:r w:rsidR="001E2D56">
            <w:rPr>
              <w:rFonts w:asciiTheme="majorBidi" w:hAnsiTheme="majorBidi" w:cstheme="majorBidi"/>
              <w:szCs w:val="24"/>
            </w:rPr>
            <w:fldChar w:fldCharType="begin"/>
          </w:r>
          <w:r w:rsidR="001E2D56">
            <w:rPr>
              <w:rFonts w:asciiTheme="majorBidi" w:hAnsiTheme="majorBidi" w:cstheme="majorBidi"/>
              <w:szCs w:val="24"/>
            </w:rPr>
            <w:instrText xml:space="preserve"> CITATION Abu10 \l 1033 </w:instrText>
          </w:r>
          <w:r w:rsidR="001E2D56">
            <w:rPr>
              <w:rFonts w:asciiTheme="majorBidi" w:hAnsiTheme="majorBidi" w:cstheme="majorBidi"/>
              <w:szCs w:val="24"/>
            </w:rPr>
            <w:fldChar w:fldCharType="separate"/>
          </w:r>
          <w:r w:rsidR="008821D7">
            <w:rPr>
              <w:rFonts w:asciiTheme="majorBidi" w:hAnsiTheme="majorBidi" w:cstheme="majorBidi"/>
              <w:noProof/>
              <w:szCs w:val="24"/>
            </w:rPr>
            <w:t xml:space="preserve"> </w:t>
          </w:r>
          <w:r w:rsidR="008821D7" w:rsidRPr="008821D7">
            <w:rPr>
              <w:rFonts w:asciiTheme="majorBidi" w:hAnsiTheme="majorBidi" w:cstheme="majorBidi"/>
              <w:noProof/>
              <w:szCs w:val="24"/>
            </w:rPr>
            <w:t>(A, 2010)</w:t>
          </w:r>
          <w:r w:rsidR="001E2D56">
            <w:rPr>
              <w:rFonts w:asciiTheme="majorBidi" w:hAnsiTheme="majorBidi" w:cstheme="majorBidi"/>
              <w:szCs w:val="24"/>
            </w:rPr>
            <w:fldChar w:fldCharType="end"/>
          </w:r>
        </w:sdtContent>
      </w:sdt>
    </w:p>
    <w:p w:rsidR="001E2D56" w:rsidRPr="001E2D56" w:rsidRDefault="001E2D56" w:rsidP="001E2D56">
      <w:pPr>
        <w:numPr>
          <w:ilvl w:val="1"/>
          <w:numId w:val="1"/>
        </w:numPr>
        <w:spacing w:after="314" w:line="240" w:lineRule="auto"/>
        <w:ind w:right="15" w:hanging="360"/>
        <w:jc w:val="left"/>
        <w:rPr>
          <w:rFonts w:asciiTheme="majorBidi" w:hAnsiTheme="majorBidi" w:cstheme="majorBidi"/>
          <w:szCs w:val="24"/>
        </w:rPr>
      </w:pPr>
      <w:r w:rsidRPr="00FD5526">
        <w:rPr>
          <w:rFonts w:asciiTheme="majorBidi" w:hAnsiTheme="majorBidi" w:cstheme="majorBidi"/>
          <w:b/>
          <w:bCs/>
          <w:szCs w:val="24"/>
        </w:rPr>
        <w:t>Explain 5 diseases that can be prevented by observing proper sanitation</w:t>
      </w:r>
      <w:r w:rsidRPr="00123C7D">
        <w:rPr>
          <w:rFonts w:asciiTheme="majorBidi" w:hAnsiTheme="majorBidi" w:cstheme="majorBidi"/>
          <w:szCs w:val="24"/>
        </w:rPr>
        <w:t xml:space="preserve">. </w:t>
      </w:r>
    </w:p>
    <w:tbl>
      <w:tblPr>
        <w:tblStyle w:val="LightShading-Accent5"/>
        <w:tblW w:w="10206" w:type="dxa"/>
        <w:tblInd w:w="-459" w:type="dxa"/>
        <w:tblLayout w:type="fixed"/>
        <w:tblLook w:val="04A0"/>
      </w:tblPr>
      <w:tblGrid>
        <w:gridCol w:w="1134"/>
        <w:gridCol w:w="1701"/>
        <w:gridCol w:w="7371"/>
      </w:tblGrid>
      <w:tr w:rsidR="001E2D56" w:rsidTr="009529C7">
        <w:trPr>
          <w:cnfStyle w:val="100000000000"/>
        </w:trPr>
        <w:tc>
          <w:tcPr>
            <w:cnfStyle w:val="001000000000"/>
            <w:tcW w:w="1134" w:type="dxa"/>
          </w:tcPr>
          <w:p w:rsidR="001E2D56" w:rsidRPr="00FD5526" w:rsidRDefault="001E2D56" w:rsidP="009529C7">
            <w:pPr>
              <w:ind w:left="0" w:firstLine="0"/>
              <w:jc w:val="center"/>
              <w:rPr>
                <w:sz w:val="24"/>
                <w:szCs w:val="24"/>
              </w:rPr>
            </w:pPr>
            <w:bookmarkStart w:id="0" w:name="_GoBack"/>
            <w:bookmarkEnd w:id="0"/>
            <w:r w:rsidRPr="00FD5526">
              <w:rPr>
                <w:sz w:val="24"/>
                <w:szCs w:val="24"/>
              </w:rPr>
              <w:t>Number</w:t>
            </w:r>
          </w:p>
        </w:tc>
        <w:tc>
          <w:tcPr>
            <w:tcW w:w="1701" w:type="dxa"/>
          </w:tcPr>
          <w:p w:rsidR="001E2D56" w:rsidRPr="00FD5526" w:rsidRDefault="001E2D56" w:rsidP="009529C7">
            <w:pPr>
              <w:ind w:left="0" w:firstLine="0"/>
              <w:jc w:val="center"/>
              <w:cnfStyle w:val="100000000000"/>
              <w:rPr>
                <w:sz w:val="24"/>
                <w:szCs w:val="24"/>
              </w:rPr>
            </w:pPr>
            <w:r w:rsidRPr="00FD5526">
              <w:rPr>
                <w:sz w:val="24"/>
                <w:szCs w:val="24"/>
              </w:rPr>
              <w:t>Disease</w:t>
            </w:r>
          </w:p>
        </w:tc>
        <w:tc>
          <w:tcPr>
            <w:tcW w:w="7371" w:type="dxa"/>
          </w:tcPr>
          <w:p w:rsidR="001E2D56" w:rsidRPr="00FD5526" w:rsidRDefault="001E2D56" w:rsidP="009529C7">
            <w:pPr>
              <w:ind w:left="0" w:firstLine="0"/>
              <w:jc w:val="center"/>
              <w:cnfStyle w:val="100000000000"/>
              <w:rPr>
                <w:sz w:val="24"/>
                <w:szCs w:val="24"/>
              </w:rPr>
            </w:pPr>
            <w:r w:rsidRPr="00FD5526">
              <w:rPr>
                <w:sz w:val="24"/>
                <w:szCs w:val="24"/>
              </w:rPr>
              <w:t>Description</w:t>
            </w:r>
          </w:p>
        </w:tc>
      </w:tr>
      <w:tr w:rsidR="001E2D56" w:rsidTr="009529C7">
        <w:trPr>
          <w:cnfStyle w:val="000000100000"/>
        </w:trPr>
        <w:tc>
          <w:tcPr>
            <w:cnfStyle w:val="001000000000"/>
            <w:tcW w:w="1134" w:type="dxa"/>
          </w:tcPr>
          <w:p w:rsidR="001E2D56" w:rsidRPr="00FD5526" w:rsidRDefault="001E2D56" w:rsidP="009529C7">
            <w:pPr>
              <w:ind w:left="0" w:firstLine="0"/>
              <w:jc w:val="center"/>
              <w:rPr>
                <w:sz w:val="24"/>
                <w:szCs w:val="24"/>
              </w:rPr>
            </w:pPr>
            <w:r w:rsidRPr="00FD5526">
              <w:rPr>
                <w:sz w:val="24"/>
                <w:szCs w:val="24"/>
              </w:rPr>
              <w:t>1</w:t>
            </w:r>
          </w:p>
        </w:tc>
        <w:tc>
          <w:tcPr>
            <w:tcW w:w="1701" w:type="dxa"/>
          </w:tcPr>
          <w:p w:rsidR="001E2D56" w:rsidRPr="00FD5526" w:rsidRDefault="001E2D56" w:rsidP="009529C7">
            <w:pPr>
              <w:ind w:left="0" w:firstLine="0"/>
              <w:cnfStyle w:val="000000100000"/>
              <w:rPr>
                <w:sz w:val="24"/>
                <w:szCs w:val="24"/>
              </w:rPr>
            </w:pPr>
            <w:r w:rsidRPr="00FD5526">
              <w:rPr>
                <w:sz w:val="24"/>
                <w:szCs w:val="24"/>
              </w:rPr>
              <w:t xml:space="preserve">Diarrhea </w:t>
            </w:r>
          </w:p>
        </w:tc>
        <w:tc>
          <w:tcPr>
            <w:tcW w:w="7371" w:type="dxa"/>
          </w:tcPr>
          <w:p w:rsidR="001E2D56" w:rsidRPr="00FD5526" w:rsidRDefault="001E2D56" w:rsidP="009529C7">
            <w:pPr>
              <w:ind w:left="0" w:firstLine="0"/>
              <w:cnfStyle w:val="000000100000"/>
              <w:rPr>
                <w:sz w:val="24"/>
                <w:szCs w:val="24"/>
              </w:rPr>
            </w:pPr>
            <w:r w:rsidRPr="00FD5526">
              <w:rPr>
                <w:sz w:val="24"/>
                <w:szCs w:val="24"/>
              </w:rPr>
              <w:t xml:space="preserve">Around 480000 childhood deaths annually due to poor sanitation system. </w:t>
            </w:r>
          </w:p>
        </w:tc>
      </w:tr>
      <w:tr w:rsidR="001E2D56" w:rsidTr="009529C7">
        <w:tc>
          <w:tcPr>
            <w:cnfStyle w:val="001000000000"/>
            <w:tcW w:w="1134" w:type="dxa"/>
          </w:tcPr>
          <w:p w:rsidR="001E2D56" w:rsidRPr="00FD5526" w:rsidRDefault="001E2D56" w:rsidP="009529C7">
            <w:pPr>
              <w:ind w:left="0" w:firstLine="0"/>
              <w:jc w:val="center"/>
              <w:rPr>
                <w:sz w:val="24"/>
                <w:szCs w:val="24"/>
              </w:rPr>
            </w:pPr>
            <w:r w:rsidRPr="00FD5526">
              <w:rPr>
                <w:sz w:val="24"/>
                <w:szCs w:val="24"/>
              </w:rPr>
              <w:t>2</w:t>
            </w:r>
          </w:p>
        </w:tc>
        <w:tc>
          <w:tcPr>
            <w:tcW w:w="1701" w:type="dxa"/>
          </w:tcPr>
          <w:p w:rsidR="001E2D56" w:rsidRPr="00FD5526" w:rsidRDefault="001E2D56" w:rsidP="009529C7">
            <w:pPr>
              <w:ind w:left="0" w:firstLine="0"/>
              <w:cnfStyle w:val="000000000000"/>
              <w:rPr>
                <w:sz w:val="24"/>
                <w:szCs w:val="24"/>
              </w:rPr>
            </w:pPr>
            <w:r w:rsidRPr="00FD5526">
              <w:rPr>
                <w:sz w:val="24"/>
                <w:szCs w:val="24"/>
              </w:rPr>
              <w:t xml:space="preserve">Cholera </w:t>
            </w:r>
          </w:p>
        </w:tc>
        <w:tc>
          <w:tcPr>
            <w:tcW w:w="7371" w:type="dxa"/>
          </w:tcPr>
          <w:p w:rsidR="001E2D56" w:rsidRPr="00FD5526" w:rsidRDefault="001E2D56" w:rsidP="009529C7">
            <w:pPr>
              <w:ind w:left="0" w:firstLine="0"/>
              <w:cnfStyle w:val="000000000000"/>
              <w:rPr>
                <w:sz w:val="24"/>
                <w:szCs w:val="24"/>
              </w:rPr>
            </w:pPr>
            <w:r w:rsidRPr="00FD5526">
              <w:rPr>
                <w:sz w:val="24"/>
                <w:szCs w:val="24"/>
              </w:rPr>
              <w:t xml:space="preserve">Around 143000 killed annually due to lack of sanitation facilities. </w:t>
            </w:r>
          </w:p>
        </w:tc>
      </w:tr>
      <w:tr w:rsidR="001E2D56" w:rsidTr="009529C7">
        <w:trPr>
          <w:cnfStyle w:val="000000100000"/>
        </w:trPr>
        <w:tc>
          <w:tcPr>
            <w:cnfStyle w:val="001000000000"/>
            <w:tcW w:w="1134" w:type="dxa"/>
          </w:tcPr>
          <w:p w:rsidR="001E2D56" w:rsidRPr="00FD5526" w:rsidRDefault="001E2D56" w:rsidP="009529C7">
            <w:pPr>
              <w:ind w:left="0" w:firstLine="0"/>
              <w:jc w:val="center"/>
              <w:rPr>
                <w:sz w:val="24"/>
                <w:szCs w:val="24"/>
              </w:rPr>
            </w:pPr>
            <w:r w:rsidRPr="00FD5526">
              <w:rPr>
                <w:sz w:val="24"/>
                <w:szCs w:val="24"/>
              </w:rPr>
              <w:t>3</w:t>
            </w:r>
          </w:p>
        </w:tc>
        <w:tc>
          <w:tcPr>
            <w:tcW w:w="1701" w:type="dxa"/>
          </w:tcPr>
          <w:p w:rsidR="001E2D56" w:rsidRPr="00FD5526" w:rsidRDefault="001E2D56" w:rsidP="009529C7">
            <w:pPr>
              <w:ind w:left="0" w:firstLine="0"/>
              <w:cnfStyle w:val="000000100000"/>
              <w:rPr>
                <w:sz w:val="24"/>
                <w:szCs w:val="24"/>
              </w:rPr>
            </w:pPr>
            <w:r w:rsidRPr="00FD5526">
              <w:rPr>
                <w:sz w:val="24"/>
                <w:szCs w:val="24"/>
              </w:rPr>
              <w:t xml:space="preserve">Dysentery </w:t>
            </w:r>
          </w:p>
        </w:tc>
        <w:tc>
          <w:tcPr>
            <w:tcW w:w="7371" w:type="dxa"/>
          </w:tcPr>
          <w:p w:rsidR="001E2D56" w:rsidRPr="00FD5526" w:rsidRDefault="001E2D56" w:rsidP="009529C7">
            <w:pPr>
              <w:ind w:left="0" w:firstLine="0"/>
              <w:cnfStyle w:val="000000100000"/>
              <w:rPr>
                <w:sz w:val="24"/>
                <w:szCs w:val="24"/>
              </w:rPr>
            </w:pPr>
            <w:r w:rsidRPr="00FD5526">
              <w:rPr>
                <w:sz w:val="24"/>
                <w:szCs w:val="24"/>
              </w:rPr>
              <w:t>This kind of disease can easily spread during communities</w:t>
            </w:r>
          </w:p>
        </w:tc>
      </w:tr>
      <w:tr w:rsidR="001E2D56" w:rsidTr="009529C7">
        <w:tc>
          <w:tcPr>
            <w:cnfStyle w:val="001000000000"/>
            <w:tcW w:w="1134" w:type="dxa"/>
          </w:tcPr>
          <w:p w:rsidR="001E2D56" w:rsidRPr="00FD5526" w:rsidRDefault="001E2D56" w:rsidP="009529C7">
            <w:pPr>
              <w:ind w:left="0" w:firstLine="0"/>
              <w:jc w:val="center"/>
              <w:rPr>
                <w:sz w:val="24"/>
                <w:szCs w:val="24"/>
              </w:rPr>
            </w:pPr>
            <w:r w:rsidRPr="00FD5526">
              <w:rPr>
                <w:sz w:val="24"/>
                <w:szCs w:val="24"/>
              </w:rPr>
              <w:t>4</w:t>
            </w:r>
          </w:p>
        </w:tc>
        <w:tc>
          <w:tcPr>
            <w:tcW w:w="1701" w:type="dxa"/>
          </w:tcPr>
          <w:p w:rsidR="001E2D56" w:rsidRPr="00FD5526" w:rsidRDefault="001E2D56" w:rsidP="009529C7">
            <w:pPr>
              <w:ind w:left="0" w:firstLine="0"/>
              <w:cnfStyle w:val="000000000000"/>
              <w:rPr>
                <w:sz w:val="24"/>
                <w:szCs w:val="24"/>
              </w:rPr>
            </w:pPr>
            <w:r w:rsidRPr="00FD5526">
              <w:rPr>
                <w:sz w:val="24"/>
                <w:szCs w:val="24"/>
              </w:rPr>
              <w:t xml:space="preserve">Typhoid fever </w:t>
            </w:r>
          </w:p>
        </w:tc>
        <w:tc>
          <w:tcPr>
            <w:tcW w:w="7371" w:type="dxa"/>
          </w:tcPr>
          <w:p w:rsidR="001E2D56" w:rsidRPr="00FD5526" w:rsidRDefault="001E2D56" w:rsidP="009529C7">
            <w:pPr>
              <w:ind w:left="0" w:firstLine="0"/>
              <w:cnfStyle w:val="000000000000"/>
              <w:rPr>
                <w:sz w:val="24"/>
                <w:szCs w:val="24"/>
              </w:rPr>
            </w:pPr>
            <w:r w:rsidRPr="00FD5526">
              <w:rPr>
                <w:sz w:val="24"/>
                <w:szCs w:val="24"/>
              </w:rPr>
              <w:t xml:space="preserve">Over 161000 deaths on yearly basis.  </w:t>
            </w:r>
          </w:p>
        </w:tc>
      </w:tr>
      <w:tr w:rsidR="001E2D56" w:rsidTr="009529C7">
        <w:trPr>
          <w:cnfStyle w:val="000000100000"/>
        </w:trPr>
        <w:tc>
          <w:tcPr>
            <w:cnfStyle w:val="001000000000"/>
            <w:tcW w:w="1134" w:type="dxa"/>
          </w:tcPr>
          <w:p w:rsidR="001E2D56" w:rsidRPr="00FD5526" w:rsidRDefault="001E2D56" w:rsidP="009529C7">
            <w:pPr>
              <w:ind w:left="0" w:firstLine="0"/>
              <w:jc w:val="center"/>
              <w:rPr>
                <w:sz w:val="24"/>
                <w:szCs w:val="24"/>
              </w:rPr>
            </w:pPr>
            <w:r w:rsidRPr="00FD5526">
              <w:rPr>
                <w:sz w:val="24"/>
                <w:szCs w:val="24"/>
              </w:rPr>
              <w:t>5</w:t>
            </w:r>
          </w:p>
        </w:tc>
        <w:tc>
          <w:tcPr>
            <w:tcW w:w="1701" w:type="dxa"/>
          </w:tcPr>
          <w:p w:rsidR="001E2D56" w:rsidRPr="00FD5526" w:rsidRDefault="001E2D56" w:rsidP="009529C7">
            <w:pPr>
              <w:ind w:left="0" w:firstLine="0"/>
              <w:cnfStyle w:val="000000100000"/>
              <w:rPr>
                <w:sz w:val="24"/>
                <w:szCs w:val="24"/>
              </w:rPr>
            </w:pPr>
            <w:r w:rsidRPr="00FD5526">
              <w:rPr>
                <w:sz w:val="24"/>
                <w:szCs w:val="24"/>
              </w:rPr>
              <w:t xml:space="preserve">Polio </w:t>
            </w:r>
          </w:p>
        </w:tc>
        <w:tc>
          <w:tcPr>
            <w:tcW w:w="7371" w:type="dxa"/>
          </w:tcPr>
          <w:p w:rsidR="001E2D56" w:rsidRPr="00FD5526" w:rsidRDefault="001E2D56" w:rsidP="009529C7">
            <w:pPr>
              <w:ind w:left="0" w:firstLine="0"/>
              <w:cnfStyle w:val="000000100000"/>
              <w:rPr>
                <w:sz w:val="24"/>
                <w:szCs w:val="24"/>
              </w:rPr>
            </w:pPr>
            <w:r w:rsidRPr="00FD5526">
              <w:rPr>
                <w:sz w:val="24"/>
                <w:szCs w:val="24"/>
              </w:rPr>
              <w:t xml:space="preserve">This kind of disease spread when human contact with  virus from human excreta  </w:t>
            </w:r>
          </w:p>
        </w:tc>
      </w:tr>
    </w:tbl>
    <w:p w:rsidR="001E2D56" w:rsidRPr="00123C7D" w:rsidRDefault="001E2D56" w:rsidP="001E2D56">
      <w:pPr>
        <w:spacing w:after="118" w:line="240" w:lineRule="auto"/>
        <w:ind w:left="0" w:right="15" w:firstLine="0"/>
        <w:rPr>
          <w:rFonts w:asciiTheme="majorBidi" w:hAnsiTheme="majorBidi" w:cstheme="majorBidi"/>
          <w:szCs w:val="24"/>
        </w:rPr>
      </w:pPr>
    </w:p>
    <w:sdt>
      <w:sdtPr>
        <w:id w:val="1442877"/>
        <w:docPartObj>
          <w:docPartGallery w:val="Bibliographies"/>
          <w:docPartUnique/>
        </w:docPartObj>
      </w:sdtPr>
      <w:sdtEndPr>
        <w:rPr>
          <w:rFonts w:ascii="Times New Roman" w:eastAsia="Times New Roman" w:hAnsi="Times New Roman" w:cs="Times New Roman"/>
          <w:b w:val="0"/>
          <w:bCs w:val="0"/>
          <w:color w:val="000000"/>
          <w:sz w:val="24"/>
          <w:szCs w:val="22"/>
          <w:lang w:bidi="ar-SA"/>
        </w:rPr>
      </w:sdtEndPr>
      <w:sdtContent>
        <w:p w:rsidR="001E2D56" w:rsidRDefault="001E2D56">
          <w:pPr>
            <w:pStyle w:val="Heading1"/>
          </w:pPr>
          <w:r>
            <w:t>Bibliography</w:t>
          </w:r>
        </w:p>
        <w:sdt>
          <w:sdtPr>
            <w:id w:val="111145805"/>
            <w:bibliography/>
          </w:sdtPr>
          <w:sdtContent>
            <w:p w:rsidR="008821D7" w:rsidRDefault="001E2D56" w:rsidP="008821D7">
              <w:pPr>
                <w:pStyle w:val="Bibliography"/>
                <w:rPr>
                  <w:noProof/>
                </w:rPr>
              </w:pPr>
              <w:r>
                <w:fldChar w:fldCharType="begin"/>
              </w:r>
              <w:r>
                <w:instrText xml:space="preserve"> BIBLIOGRAPHY </w:instrText>
              </w:r>
              <w:r>
                <w:fldChar w:fldCharType="separate"/>
              </w:r>
              <w:r w:rsidR="008821D7">
                <w:rPr>
                  <w:noProof/>
                </w:rPr>
                <w:t>A, A. (2010). Assessment of Integrated Disease Surveillance and Response (IDSR) Implementation in Selected LGA's in Kaduna State ,Zaria, NigeriaMasters in Public Health, Ahmadu Bello University.</w:t>
              </w:r>
            </w:p>
            <w:p w:rsidR="008821D7" w:rsidRDefault="008821D7" w:rsidP="008821D7">
              <w:pPr>
                <w:pStyle w:val="Bibliography"/>
                <w:rPr>
                  <w:noProof/>
                </w:rPr>
              </w:pPr>
              <w:r>
                <w:rPr>
                  <w:noProof/>
                </w:rPr>
                <w:t>Abubakar A, I. S. (2010). Emergency preparedness and the capability to identify outbreaks: a case study of Sabon Gari Local Government Area, Kaduna State, Annals of Nigerian Medicine. pp. 7-21.</w:t>
              </w:r>
            </w:p>
            <w:p w:rsidR="008821D7" w:rsidRDefault="008821D7" w:rsidP="008821D7">
              <w:pPr>
                <w:pStyle w:val="Bibliography"/>
                <w:rPr>
                  <w:noProof/>
                </w:rPr>
              </w:pPr>
              <w:r>
                <w:rPr>
                  <w:noProof/>
                </w:rPr>
                <w:t>Buehler JW, H. R. (2004). ramework for evaluating public health surveillance systems for early detection of outbreaks: recommendations from the CDC Working Group, MMWR Recommendations and Reports. pp. 1-11.</w:t>
              </w:r>
            </w:p>
            <w:p w:rsidR="008821D7" w:rsidRDefault="008821D7" w:rsidP="008821D7">
              <w:pPr>
                <w:pStyle w:val="Bibliography"/>
                <w:rPr>
                  <w:noProof/>
                </w:rPr>
              </w:pPr>
              <w:r>
                <w:rPr>
                  <w:noProof/>
                </w:rPr>
                <w:lastRenderedPageBreak/>
                <w:t>Cohan, L. J. (1971, May 21). The Systems Approach to industrial waste disposal, ASME industrial committee .</w:t>
              </w:r>
            </w:p>
            <w:p w:rsidR="008821D7" w:rsidRDefault="008821D7" w:rsidP="008821D7">
              <w:pPr>
                <w:pStyle w:val="Bibliography"/>
                <w:rPr>
                  <w:noProof/>
                </w:rPr>
              </w:pPr>
              <w:r>
                <w:rPr>
                  <w:noProof/>
                </w:rPr>
                <w:t>Kumar, S., Dhar, H., Nair, V. V., Bhattacharyya, J. K., Vaidya, A. N., &amp; Akolkar, A. B. (2016). "Characterization of municipal solid waste in high-altitude sub-tropical regions". Environmental Technology. 37 (20): 2627–2637. doi:10.1080/09593330.2016.1158322. PMID 26915419.</w:t>
              </w:r>
            </w:p>
            <w:p w:rsidR="008821D7" w:rsidRDefault="008821D7" w:rsidP="008821D7">
              <w:pPr>
                <w:pStyle w:val="Bibliography"/>
                <w:rPr>
                  <w:noProof/>
                </w:rPr>
              </w:pPr>
              <w:r>
                <w:rPr>
                  <w:noProof/>
                </w:rPr>
                <w:t>Matasovic, N. Z. (2017). Modulus Reduction and Damping Curves for Landfill Covers, Geotechnical Frontiers, March 12-15 2017, Orlando, FL.</w:t>
              </w:r>
            </w:p>
            <w:p w:rsidR="008821D7" w:rsidRDefault="008821D7" w:rsidP="008821D7">
              <w:pPr>
                <w:pStyle w:val="Bibliography"/>
                <w:rPr>
                  <w:noProof/>
                </w:rPr>
              </w:pPr>
              <w:r>
                <w:rPr>
                  <w:noProof/>
                </w:rPr>
                <w:t>Phalkey RK, e. a. (2013). Challenges with the Implementation of an Integrated Disease Surveillance and Response (IDSR) System: A systematic review of the lessons learned. Health Policy Plan. 2013;30(1):131–143. doi: 10.1093/heapol/czt097.</w:t>
              </w:r>
            </w:p>
            <w:p w:rsidR="008821D7" w:rsidRDefault="008821D7" w:rsidP="008821D7">
              <w:pPr>
                <w:pStyle w:val="Bibliography"/>
                <w:rPr>
                  <w:noProof/>
                </w:rPr>
              </w:pPr>
              <w:r>
                <w:rPr>
                  <w:noProof/>
                </w:rPr>
                <w:t>Zekkos, D. F. (2016). “Comparison of Constant Load and Constant Volume Shearing Response in Simple Shear Testing of Municipal Solid Waste.” Waste Management.</w:t>
              </w:r>
            </w:p>
            <w:p w:rsidR="008821D7" w:rsidRDefault="008821D7" w:rsidP="008821D7">
              <w:pPr>
                <w:pStyle w:val="Bibliography"/>
                <w:rPr>
                  <w:noProof/>
                </w:rPr>
              </w:pPr>
              <w:r>
                <w:rPr>
                  <w:noProof/>
                </w:rPr>
                <w:t>Zekkos, D. P. (2005). “A framework for developing the unit weight profile of Municipal Solid Waste”, 10th International Waste Management and Landfill Symposium, Sardinia 2005, 3-7 October 2005 (in proceedings cd-rom).</w:t>
              </w:r>
            </w:p>
            <w:p w:rsidR="008821D7" w:rsidRDefault="008821D7" w:rsidP="008821D7">
              <w:pPr>
                <w:pStyle w:val="Bibliography"/>
                <w:rPr>
                  <w:noProof/>
                </w:rPr>
              </w:pPr>
              <w:r>
                <w:rPr>
                  <w:noProof/>
                </w:rPr>
                <w:t>Zekkos, D. S. (2013). “In Situ Assessment of the Nonlinear Shear Modulus of Municipal Solid Waste”. Proc., 18th International Conference on Soil Mechanics and Geotechnical Engineering, September 2-6, 2013, Paris, France, 1663-1666. .</w:t>
              </w:r>
            </w:p>
            <w:p w:rsidR="001E2D56" w:rsidRDefault="001E2D56" w:rsidP="008821D7">
              <w:r>
                <w:fldChar w:fldCharType="end"/>
              </w:r>
            </w:p>
          </w:sdtContent>
        </w:sdt>
      </w:sdtContent>
    </w:sdt>
    <w:p w:rsidR="00071E6E" w:rsidRPr="00123C7D" w:rsidRDefault="00715E24" w:rsidP="00715E24">
      <w:pPr>
        <w:spacing w:after="118" w:line="240" w:lineRule="auto"/>
        <w:ind w:left="720" w:right="15" w:firstLine="0"/>
        <w:rPr>
          <w:rFonts w:asciiTheme="majorBidi" w:hAnsiTheme="majorBidi" w:cstheme="majorBidi"/>
          <w:szCs w:val="24"/>
        </w:rPr>
      </w:pPr>
      <w:r>
        <w:rPr>
          <w:rFonts w:asciiTheme="majorBidi" w:hAnsiTheme="majorBidi" w:cstheme="majorBidi"/>
          <w:szCs w:val="24"/>
        </w:rPr>
        <w:t xml:space="preserve">. </w:t>
      </w:r>
    </w:p>
    <w:p w:rsidR="00602683" w:rsidRDefault="00602683"/>
    <w:sectPr w:rsidR="00602683" w:rsidSect="006B3E24">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82922"/>
    <w:multiLevelType w:val="hybridMultilevel"/>
    <w:tmpl w:val="6E0A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42052FD"/>
    <w:multiLevelType w:val="hybridMultilevel"/>
    <w:tmpl w:val="DFA07B0E"/>
    <w:lvl w:ilvl="0" w:tplc="37D44406">
      <w:start w:val="1"/>
      <w:numFmt w:val="decimal"/>
      <w:lvlText w:val="%1."/>
      <w:lvlJc w:val="left"/>
      <w:pPr>
        <w:ind w:left="2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416B0B8">
      <w:start w:val="1"/>
      <w:numFmt w:val="decimal"/>
      <w:lvlText w:val="%2."/>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644A330">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A545CFA">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BF88CDE">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3220E70">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318BD04">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ADEAE84">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F16BEBA">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compat/>
  <w:rsids>
    <w:rsidRoot w:val="00071E6E"/>
    <w:rsid w:val="000005BA"/>
    <w:rsid w:val="00037A5C"/>
    <w:rsid w:val="00071E6E"/>
    <w:rsid w:val="00123C7D"/>
    <w:rsid w:val="001637EF"/>
    <w:rsid w:val="001A5CE3"/>
    <w:rsid w:val="001E2D56"/>
    <w:rsid w:val="003C2FBC"/>
    <w:rsid w:val="003F341F"/>
    <w:rsid w:val="00442712"/>
    <w:rsid w:val="004B59E4"/>
    <w:rsid w:val="00534F84"/>
    <w:rsid w:val="005375F7"/>
    <w:rsid w:val="005E151A"/>
    <w:rsid w:val="00602683"/>
    <w:rsid w:val="006B3E24"/>
    <w:rsid w:val="006F5A40"/>
    <w:rsid w:val="00711C68"/>
    <w:rsid w:val="00715E24"/>
    <w:rsid w:val="007A7A4D"/>
    <w:rsid w:val="00804DCE"/>
    <w:rsid w:val="00833EBA"/>
    <w:rsid w:val="008821D7"/>
    <w:rsid w:val="009005C9"/>
    <w:rsid w:val="00933848"/>
    <w:rsid w:val="00941A06"/>
    <w:rsid w:val="00945C41"/>
    <w:rsid w:val="009C5BA7"/>
    <w:rsid w:val="009D061B"/>
    <w:rsid w:val="009D1392"/>
    <w:rsid w:val="00A026B6"/>
    <w:rsid w:val="00A429AA"/>
    <w:rsid w:val="00AE05ED"/>
    <w:rsid w:val="00CC619D"/>
    <w:rsid w:val="00DD3647"/>
    <w:rsid w:val="00DD5865"/>
    <w:rsid w:val="00E72D02"/>
    <w:rsid w:val="00EE71B4"/>
    <w:rsid w:val="00FD552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E6E"/>
    <w:pPr>
      <w:spacing w:after="5" w:line="484" w:lineRule="auto"/>
      <w:ind w:left="10" w:right="6"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1E2D56"/>
    <w:pPr>
      <w:keepNext/>
      <w:keepLines/>
      <w:spacing w:before="480" w:after="0" w:line="276" w:lineRule="auto"/>
      <w:ind w:left="0" w:right="0" w:firstLine="0"/>
      <w:jc w:val="left"/>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9D"/>
    <w:pPr>
      <w:ind w:left="720"/>
      <w:contextualSpacing/>
    </w:pPr>
  </w:style>
  <w:style w:type="table" w:styleId="TableGrid">
    <w:name w:val="Table Grid"/>
    <w:basedOn w:val="TableNormal"/>
    <w:uiPriority w:val="59"/>
    <w:rsid w:val="00900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9005C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9005C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005C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1E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D56"/>
    <w:rPr>
      <w:rFonts w:ascii="Tahoma" w:eastAsia="Times New Roman" w:hAnsi="Tahoma" w:cs="Tahoma"/>
      <w:color w:val="000000"/>
      <w:sz w:val="16"/>
      <w:szCs w:val="16"/>
    </w:rPr>
  </w:style>
  <w:style w:type="character" w:customStyle="1" w:styleId="Heading1Char">
    <w:name w:val="Heading 1 Char"/>
    <w:basedOn w:val="DefaultParagraphFont"/>
    <w:link w:val="Heading1"/>
    <w:uiPriority w:val="9"/>
    <w:rsid w:val="001E2D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E2D56"/>
  </w:style>
  <w:style w:type="paragraph" w:styleId="NoSpacing">
    <w:name w:val="No Spacing"/>
    <w:link w:val="NoSpacingChar"/>
    <w:uiPriority w:val="1"/>
    <w:qFormat/>
    <w:rsid w:val="006B3E24"/>
    <w:pPr>
      <w:spacing w:after="0" w:line="240" w:lineRule="auto"/>
    </w:pPr>
    <w:rPr>
      <w:rFonts w:eastAsiaTheme="minorEastAsia"/>
    </w:rPr>
  </w:style>
  <w:style w:type="character" w:customStyle="1" w:styleId="NoSpacingChar">
    <w:name w:val="No Spacing Char"/>
    <w:basedOn w:val="DefaultParagraphFont"/>
    <w:link w:val="NoSpacing"/>
    <w:uiPriority w:val="1"/>
    <w:rsid w:val="006B3E24"/>
    <w:rPr>
      <w:rFonts w:eastAsiaTheme="minorEastAsia"/>
    </w:rPr>
  </w:style>
</w:styles>
</file>

<file path=word/webSettings.xml><?xml version="1.0" encoding="utf-8"?>
<w:webSettings xmlns:r="http://schemas.openxmlformats.org/officeDocument/2006/relationships" xmlns:w="http://schemas.openxmlformats.org/wordprocessingml/2006/main">
  <w:divs>
    <w:div w:id="1005477205">
      <w:bodyDiv w:val="1"/>
      <w:marLeft w:val="0"/>
      <w:marRight w:val="0"/>
      <w:marTop w:val="0"/>
      <w:marBottom w:val="0"/>
      <w:divBdr>
        <w:top w:val="none" w:sz="0" w:space="0" w:color="auto"/>
        <w:left w:val="none" w:sz="0" w:space="0" w:color="auto"/>
        <w:bottom w:val="none" w:sz="0" w:space="0" w:color="auto"/>
        <w:right w:val="none" w:sz="0" w:space="0" w:color="auto"/>
      </w:divBdr>
    </w:div>
    <w:div w:id="201453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4D76254B50C4D6FAD4F9E3E729B051B"/>
        <w:category>
          <w:name w:val="General"/>
          <w:gallery w:val="placeholder"/>
        </w:category>
        <w:types>
          <w:type w:val="bbPlcHdr"/>
        </w:types>
        <w:behaviors>
          <w:behavior w:val="content"/>
        </w:behaviors>
        <w:guid w:val="{E0F7905D-3119-4DC2-A1F7-3571E6ED6757}"/>
      </w:docPartPr>
      <w:docPartBody>
        <w:p w:rsidR="00000000" w:rsidRDefault="00B01765" w:rsidP="00B01765">
          <w:pPr>
            <w:pStyle w:val="44D76254B50C4D6FAD4F9E3E729B051B"/>
          </w:pPr>
          <w:r>
            <w:rPr>
              <w:rFonts w:asciiTheme="majorHAnsi" w:eastAsiaTheme="majorEastAsia" w:hAnsiTheme="majorHAnsi" w:cstheme="majorBidi"/>
              <w:sz w:val="72"/>
              <w:szCs w:val="72"/>
            </w:rPr>
            <w:t>[Type the document title]</w:t>
          </w:r>
        </w:p>
      </w:docPartBody>
    </w:docPart>
    <w:docPart>
      <w:docPartPr>
        <w:name w:val="B84EAA3161394A6789B81CBBB09966C4"/>
        <w:category>
          <w:name w:val="General"/>
          <w:gallery w:val="placeholder"/>
        </w:category>
        <w:types>
          <w:type w:val="bbPlcHdr"/>
        </w:types>
        <w:behaviors>
          <w:behavior w:val="content"/>
        </w:behaviors>
        <w:guid w:val="{A5047A1F-79F8-455B-AC3E-2FA65E118FA4}"/>
      </w:docPartPr>
      <w:docPartBody>
        <w:p w:rsidR="00000000" w:rsidRDefault="00B01765" w:rsidP="00B01765">
          <w:pPr>
            <w:pStyle w:val="B84EAA3161394A6789B81CBBB09966C4"/>
          </w:pPr>
          <w:r>
            <w:rPr>
              <w:rFonts w:asciiTheme="majorHAnsi" w:eastAsiaTheme="majorEastAsia" w:hAnsiTheme="majorHAnsi" w:cstheme="majorBidi"/>
              <w:sz w:val="36"/>
              <w:szCs w:val="36"/>
            </w:rPr>
            <w:t>[Pick the date]</w:t>
          </w:r>
        </w:p>
      </w:docPartBody>
    </w:docPart>
    <w:docPart>
      <w:docPartPr>
        <w:name w:val="AB5EFE37E8C34D99A03BC7956084224B"/>
        <w:category>
          <w:name w:val="General"/>
          <w:gallery w:val="placeholder"/>
        </w:category>
        <w:types>
          <w:type w:val="bbPlcHdr"/>
        </w:types>
        <w:behaviors>
          <w:behavior w:val="content"/>
        </w:behaviors>
        <w:guid w:val="{227C1D00-EC09-4E00-A38F-D05BE7A10733}"/>
      </w:docPartPr>
      <w:docPartBody>
        <w:p w:rsidR="00000000" w:rsidRDefault="00B01765" w:rsidP="00B01765">
          <w:pPr>
            <w:pStyle w:val="AB5EFE37E8C34D99A03BC7956084224B"/>
          </w:pPr>
          <w:r>
            <w:rPr>
              <w:color w:val="4F81BD" w:themeColor="accent1"/>
              <w:sz w:val="200"/>
              <w:szCs w:val="200"/>
            </w:rPr>
            <w:t>[Year]</w:t>
          </w:r>
        </w:p>
      </w:docPartBody>
    </w:docPart>
    <w:docPart>
      <w:docPartPr>
        <w:name w:val="4C42C0E90A2B4026AFB27F27583FA2D2"/>
        <w:category>
          <w:name w:val="General"/>
          <w:gallery w:val="placeholder"/>
        </w:category>
        <w:types>
          <w:type w:val="bbPlcHdr"/>
        </w:types>
        <w:behaviors>
          <w:behavior w:val="content"/>
        </w:behaviors>
        <w:guid w:val="{516D3C92-26B8-47F4-85E4-2E37427C8473}"/>
      </w:docPartPr>
      <w:docPartBody>
        <w:p w:rsidR="00000000" w:rsidRDefault="00B01765" w:rsidP="00B01765">
          <w:pPr>
            <w:pStyle w:val="4C42C0E90A2B4026AFB27F27583FA2D2"/>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1765"/>
    <w:rsid w:val="005E2B8F"/>
    <w:rsid w:val="00B017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D76254B50C4D6FAD4F9E3E729B051B">
    <w:name w:val="44D76254B50C4D6FAD4F9E3E729B051B"/>
    <w:rsid w:val="00B01765"/>
  </w:style>
  <w:style w:type="paragraph" w:customStyle="1" w:styleId="B84EAA3161394A6789B81CBBB09966C4">
    <w:name w:val="B84EAA3161394A6789B81CBBB09966C4"/>
    <w:rsid w:val="00B01765"/>
  </w:style>
  <w:style w:type="paragraph" w:customStyle="1" w:styleId="AB5EFE37E8C34D99A03BC7956084224B">
    <w:name w:val="AB5EFE37E8C34D99A03BC7956084224B"/>
    <w:rsid w:val="00B01765"/>
  </w:style>
  <w:style w:type="paragraph" w:customStyle="1" w:styleId="4C42C0E90A2B4026AFB27F27583FA2D2">
    <w:name w:val="4C42C0E90A2B4026AFB27F27583FA2D2"/>
    <w:rsid w:val="00B01765"/>
  </w:style>
  <w:style w:type="paragraph" w:customStyle="1" w:styleId="73A724B4B3FC406D9BFFE8D577B3021E">
    <w:name w:val="73A724B4B3FC406D9BFFE8D577B3021E"/>
    <w:rsid w:val="00B017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2019-09-30T00:00:00</PublishDate>
  <Abstract>Assignment (4)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Abu10</b:Tag>
    <b:SourceType>ArticleInAPeriodical</b:SourceType>
    <b:Guid>{F156F8D6-0F23-4FAA-9EE4-773D0EF4FFCE}</b:Guid>
    <b:LCID>0</b:LCID>
    <b:Author>
      <b:Author>
        <b:NameList>
          <b:Person>
            <b:Last>A</b:Last>
            <b:First>Abubakar</b:First>
          </b:Person>
        </b:NameList>
      </b:Author>
    </b:Author>
    <b:Title> Assessment of Integrated Disease Surveillance and Response (IDSR) Implementation in Selected LGA's in Kaduna State ,Zaria, NigeriaMasters in Public Health, Ahmadu Bello University</b:Title>
    <b:Year>2010</b:Year>
    <b:RefOrder>10</b:RefOrder>
  </b:Source>
  <b:Source>
    <b:Tag>Abu101</b:Tag>
    <b:SourceType>ArticleInAPeriodical</b:SourceType>
    <b:Guid>{CDA23C31-99F9-4CDC-BE46-F33444457167}</b:Guid>
    <b:LCID>0</b:LCID>
    <b:Author>
      <b:Author>
        <b:NameList>
          <b:Person>
            <b:Last>Abubakar A</b:Last>
            <b:First>Idris</b:First>
            <b:Middle>SH, Sabitu KS, Shehu AH, Sambu MN</b:Middle>
          </b:Person>
        </b:NameList>
      </b:Author>
    </b:Author>
    <b:Title>Emergency preparedness and the capability to identify outbreaks: a case study of Sabon Gari Local Government Area, Kaduna State, Annals of Nigerian Medicine</b:Title>
    <b:Year>2010</b:Year>
    <b:Pages>7-21</b:Pages>
    <b:RefOrder>9</b:RefOrder>
  </b:Source>
  <b:Source>
    <b:Tag>Bue04</b:Tag>
    <b:SourceType>ArticleInAPeriodical</b:SourceType>
    <b:Guid>{25CA53A0-B7F9-4DA4-8765-009F300653E4}</b:Guid>
    <b:LCID>0</b:LCID>
    <b:Author>
      <b:Author>
        <b:NameList>
          <b:Person>
            <b:Last>Buehler JW</b:Last>
            <b:First>Hopkins</b:First>
            <b:Middle>RS, Overhage JM, Sosin DM, Tong V</b:Middle>
          </b:Person>
        </b:NameList>
      </b:Author>
    </b:Author>
    <b:Title>ramework for evaluating public health surveillance systems for early detection of outbreaks: recommendations from the CDC Working Group, MMWR Recommendations and Reports</b:Title>
    <b:Year>2004</b:Year>
    <b:Pages>1-11</b:Pages>
    <b:RefOrder>8</b:RefOrder>
  </b:Source>
  <b:Source>
    <b:Tag>Zek16</b:Tag>
    <b:SourceType>ArticleInAPeriodical</b:SourceType>
    <b:Guid>{BB532BFE-11A2-46B5-A3FD-30EAF794ABB4}</b:Guid>
    <b:LCID>0</b:LCID>
    <b:Author>
      <b:Author>
        <b:NameList>
          <b:Person>
            <b:Last>Zekkos</b:Last>
            <b:First>D.,</b:First>
            <b:Middle>Fei, X.</b:Middle>
          </b:Person>
        </b:NameList>
      </b:Author>
    </b:Author>
    <b:Title>“Comparison of Constant Load and Constant Volume Shearing Response in Simple Shear Testing of Municipal Solid Waste.” Waste Management</b:Title>
    <b:Year>2016</b:Year>
    <b:RefOrder>1</b:RefOrder>
  </b:Source>
  <b:Source>
    <b:Tag>Mat17</b:Tag>
    <b:SourceType>ArticleInAPeriodical</b:SourceType>
    <b:Guid>{DF704D7A-3234-499B-8DB0-14AF117D63D4}</b:Guid>
    <b:LCID>0</b:LCID>
    <b:Author>
      <b:Author>
        <b:NameList>
          <b:Person>
            <b:Last>Matasovic</b:Last>
            <b:First>N.,</b:First>
            <b:Middle>Zekkos, D., Sahadewa, A., Stokoe, K .H</b:Middle>
          </b:Person>
        </b:NameList>
      </b:Author>
    </b:Author>
    <b:Title>Modulus Reduction and Damping Curves for Landfill Covers, Geotechnical Frontiers, March 12-15 2017, Orlando, FL.</b:Title>
    <b:Year>2017</b:Year>
    <b:RefOrder>2</b:RefOrder>
  </b:Source>
  <b:Source>
    <b:Tag>Zek05</b:Tag>
    <b:SourceType>ArticleInAPeriodical</b:SourceType>
    <b:Guid>{F14E01F7-C2B0-4C20-A610-8B67D603AB0B}</b:Guid>
    <b:LCID>0</b:LCID>
    <b:Author>
      <b:Author>
        <b:NameList>
          <b:Person>
            <b:Last>Zekkos</b:Last>
            <b:First>D.</b:First>
            <b:Middle>P., Bray, J. D., Kavazanjian, E., Riemer, M., Matasovic, N., Stokoe K.H., Rathje, E.</b:Middle>
          </b:Person>
        </b:NameList>
      </b:Author>
    </b:Author>
    <b:Title>“A framework for developing the unit weight profile of Municipal Solid Waste”, 10th International Waste Management and Landfill Symposium, Sardinia 2005, 3-7 October 2005 (in proceedings cd-rom).</b:Title>
    <b:Year>2005</b:Year>
    <b:RefOrder>4</b:RefOrder>
  </b:Source>
  <b:Source>
    <b:Tag>Zek13</b:Tag>
    <b:SourceType>ArticleInAPeriodical</b:SourceType>
    <b:Guid>{244B69C4-CB0A-426C-90D3-92C1CA88FBB0}</b:Guid>
    <b:LCID>0</b:LCID>
    <b:Author>
      <b:Author>
        <b:NameList>
          <b:Person>
            <b:Last>Zekkos</b:Last>
            <b:First>D.,</b:First>
            <b:Middle>Sahadewa A., Woods, R. D., Stokoe, K., II. Matasovic, N.</b:Middle>
          </b:Person>
        </b:NameList>
      </b:Author>
    </b:Author>
    <b:Title>“In Situ Assessment of the Nonlinear Shear Modulus of Municipal Solid Waste”.  Proc., 18th International Conference on Soil Mechanics and Geotechnical Engineering, September 2-6, 2013, Paris, France, 1663-1666. </b:Title>
    <b:Year>2013</b:Year>
    <b:RefOrder>5</b:RefOrder>
  </b:Source>
  <b:Source>
    <b:Tag>Kum16</b:Tag>
    <b:SourceType>ArticleInAPeriodical</b:SourceType>
    <b:Guid>{2E04CFB3-8D3D-476C-ACAA-39ECE5F11990}</b:Guid>
    <b:LCID>0</b:LCID>
    <b:Author>
      <b:Author>
        <b:NameList>
          <b:Person>
            <b:Last>Kumar</b:Last>
            <b:First>Sunil</b:First>
          </b:Person>
          <b:Person>
            <b:Last>Dhar</b:Last>
            <b:First>Hiya</b:First>
          </b:Person>
          <b:Person>
            <b:Last>Nair</b:Last>
            <b:First>Vijay</b:First>
            <b:Middle>V.</b:Middle>
          </b:Person>
          <b:Person>
            <b:Last>Bhattacharyya</b:Last>
            <b:First>J.</b:First>
            <b:Middle>K.</b:Middle>
          </b:Person>
          <b:Person>
            <b:Last>Vaidya</b:Last>
            <b:First>A.</b:First>
            <b:Middle>N.</b:Middle>
          </b:Person>
          <b:Person>
            <b:Last>Akolkar</b:Last>
            <b:First>A.</b:First>
            <b:Middle>B</b:Middle>
          </b:Person>
        </b:NameList>
      </b:Author>
    </b:Author>
    <b:Title>"Characterization of municipal solid waste in high-altitude sub-tropical regions". Environmental Technology. 37 (20): 2627–2637. doi:10.1080/09593330.2016.1158322. PMID 26915419.</b:Title>
    <b:Year>2016</b:Year>
    <b:RefOrder>3</b:RefOrder>
  </b:Source>
  <b:Source>
    <b:Tag>Coh71</b:Tag>
    <b:SourceType>ArticleInAPeriodical</b:SourceType>
    <b:Guid>{C5DAC20A-8A82-4E38-8869-46AB4A6672F9}</b:Guid>
    <b:LCID>0</b:LCID>
    <b:Author>
      <b:Author>
        <b:NameList>
          <b:Person>
            <b:Last>Cohan</b:Last>
            <b:First>Leo</b:First>
            <b:Middle>J</b:Middle>
          </b:Person>
        </b:NameList>
      </b:Author>
    </b:Author>
    <b:Title>The Systems Approach to industrial waste disposal, ASME industrial committee </b:Title>
    <b:Year>1971</b:Year>
    <b:Month>May</b:Month>
    <b:Day>21</b:Day>
    <b:RefOrder>6</b:RefOrder>
  </b:Source>
  <b:Source>
    <b:Tag>Pha13</b:Tag>
    <b:SourceType>ArticleInAPeriodical</b:SourceType>
    <b:Guid>{7363B535-029A-489A-9111-B0F58BF421ED}</b:Guid>
    <b:LCID>0</b:LCID>
    <b:Author>
      <b:Author>
        <b:NameList>
          <b:Person>
            <b:Last>Phalkey RK</b:Last>
            <b:First>et</b:First>
            <b:Middle>al.</b:Middle>
          </b:Person>
        </b:NameList>
      </b:Author>
    </b:Author>
    <b:Title>Challenges with the Implementation of an Integrated Disease Surveillance and Response (IDSR) System: A systematic review of the lessons learned. Health Policy Plan. 2013;30(1):131–143. doi: 10.1093/heapol/czt097.</b:Title>
    <b:Year>2013</b:Yea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34ED4C-79C6-40F1-B055-CD29C16F3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5</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dc:title>
  <dc:subject>Strategia Netherlands</dc:subject>
  <dc:creator>Toshiba</dc:creator>
  <cp:keywords/>
  <dc:description/>
  <cp:lastModifiedBy>Toshiba</cp:lastModifiedBy>
  <cp:revision>3</cp:revision>
  <dcterms:created xsi:type="dcterms:W3CDTF">2019-10-07T15:27:00Z</dcterms:created>
  <dcterms:modified xsi:type="dcterms:W3CDTF">2019-10-08T20:26:00Z</dcterms:modified>
</cp:coreProperties>
</file>