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</w:p>
    <w:p w:rsidR="00DA59FA" w:rsidRDefault="00DA59FA" w:rsidP="00DA59FA">
      <w:pPr>
        <w:tabs>
          <w:tab w:val="left" w:pos="4230"/>
        </w:tabs>
        <w:spacing w:after="0" w:line="480" w:lineRule="auto"/>
        <w:ind w:left="0" w:right="0" w:firstLine="0"/>
        <w:jc w:val="left"/>
        <w:rPr>
          <w:b/>
        </w:rPr>
      </w:pPr>
      <w:r>
        <w:rPr>
          <w:b/>
        </w:rPr>
        <w:tab/>
      </w:r>
    </w:p>
    <w:p w:rsidR="00DA59FA" w:rsidRDefault="00DA59FA" w:rsidP="00DA59FA"/>
    <w:p w:rsidR="00DA59FA" w:rsidRDefault="00DA59FA" w:rsidP="00DA59FA">
      <w:pPr>
        <w:tabs>
          <w:tab w:val="left" w:pos="2595"/>
        </w:tabs>
      </w:pPr>
      <w:r>
        <w:t xml:space="preserve">                   </w:t>
      </w:r>
      <w:r>
        <w:t xml:space="preserve">      </w:t>
      </w:r>
      <w:r>
        <w:t xml:space="preserve">    </w:t>
      </w:r>
      <w:r>
        <w:t xml:space="preserve">  </w:t>
      </w:r>
      <w:r w:rsidR="00A22C24">
        <w:t xml:space="preserve">   </w:t>
      </w:r>
      <w:r w:rsidR="00C300FC">
        <w:t xml:space="preserve">      </w:t>
      </w:r>
      <w:r w:rsidR="00A22C24">
        <w:t xml:space="preserve"> </w:t>
      </w:r>
      <w:r>
        <w:t xml:space="preserve"> </w:t>
      </w:r>
      <w:r>
        <w:t>Understanding the importance of Monitoring and Evaluation</w:t>
      </w:r>
    </w:p>
    <w:p w:rsidR="00DA59FA" w:rsidRDefault="00DA59FA" w:rsidP="00DA59FA">
      <w:pPr>
        <w:tabs>
          <w:tab w:val="left" w:pos="2595"/>
        </w:tabs>
      </w:pPr>
    </w:p>
    <w:p w:rsidR="00DA59FA" w:rsidRDefault="00DA59FA" w:rsidP="00DA59FA">
      <w:pPr>
        <w:tabs>
          <w:tab w:val="left" w:pos="2595"/>
        </w:tabs>
        <w:rPr>
          <w:b/>
        </w:rPr>
      </w:pPr>
      <w:r>
        <w:t xml:space="preserve">                                                         </w:t>
      </w:r>
      <w:r w:rsidRPr="00060F5A">
        <w:rPr>
          <w:b/>
        </w:rPr>
        <w:t xml:space="preserve">Paul </w:t>
      </w:r>
      <w:proofErr w:type="spellStart"/>
      <w:r w:rsidRPr="00060F5A">
        <w:rPr>
          <w:b/>
        </w:rPr>
        <w:t>Ekeya</w:t>
      </w:r>
      <w:proofErr w:type="spellEnd"/>
      <w:r w:rsidRPr="00060F5A">
        <w:rPr>
          <w:b/>
        </w:rPr>
        <w:t xml:space="preserve"> </w:t>
      </w:r>
      <w:proofErr w:type="spellStart"/>
      <w:r w:rsidRPr="00060F5A">
        <w:rPr>
          <w:b/>
        </w:rPr>
        <w:t>Otwani</w:t>
      </w:r>
      <w:proofErr w:type="spellEnd"/>
    </w:p>
    <w:p w:rsidR="00DA59FA" w:rsidRPr="00060F5A" w:rsidRDefault="00DA59FA" w:rsidP="00DA59FA">
      <w:pPr>
        <w:tabs>
          <w:tab w:val="left" w:pos="2595"/>
        </w:tabs>
        <w:rPr>
          <w:b/>
        </w:rPr>
      </w:pPr>
    </w:p>
    <w:p w:rsidR="00DA59FA" w:rsidRDefault="00DA59FA" w:rsidP="00DA59FA">
      <w:pPr>
        <w:tabs>
          <w:tab w:val="left" w:pos="2595"/>
        </w:tabs>
        <w:rPr>
          <w:b/>
        </w:rPr>
      </w:pPr>
      <w:r>
        <w:t xml:space="preserve">                                                          </w:t>
      </w:r>
      <w:proofErr w:type="spellStart"/>
      <w:r w:rsidRPr="00060F5A">
        <w:rPr>
          <w:b/>
        </w:rPr>
        <w:t>Strategia</w:t>
      </w:r>
      <w:proofErr w:type="spellEnd"/>
      <w:r w:rsidRPr="00060F5A">
        <w:rPr>
          <w:b/>
        </w:rPr>
        <w:t xml:space="preserve"> Netherlands</w:t>
      </w:r>
    </w:p>
    <w:p w:rsidR="00DA59FA" w:rsidRPr="00060F5A" w:rsidRDefault="00DA59FA" w:rsidP="00DA59FA">
      <w:pPr>
        <w:tabs>
          <w:tab w:val="left" w:pos="2595"/>
        </w:tabs>
        <w:rPr>
          <w:b/>
        </w:rPr>
      </w:pPr>
    </w:p>
    <w:p w:rsidR="00DA59FA" w:rsidRDefault="00C300FC" w:rsidP="00DA59FA">
      <w:pPr>
        <w:tabs>
          <w:tab w:val="left" w:pos="3030"/>
        </w:tabs>
        <w:jc w:val="center"/>
      </w:pPr>
      <w:r>
        <w:t xml:space="preserve">       </w:t>
      </w:r>
      <w:bookmarkStart w:id="0" w:name="_GoBack"/>
      <w:bookmarkEnd w:id="0"/>
      <w:r>
        <w:t xml:space="preserve">   </w:t>
      </w:r>
      <w:r w:rsidR="00DA59FA">
        <w:t xml:space="preserve">Submission of Assignment </w:t>
      </w:r>
      <w:r w:rsidR="00A22C24">
        <w:t xml:space="preserve">Two </w:t>
      </w:r>
      <w:r w:rsidR="00DA59FA">
        <w:t>being Partial fulfilment of Award of Post Graduate Diploma in Monitoring and Evaluation</w:t>
      </w:r>
    </w:p>
    <w:p w:rsidR="00DA59FA" w:rsidRDefault="00DA59FA" w:rsidP="00DA59FA">
      <w:pPr>
        <w:spacing w:after="0" w:line="480" w:lineRule="auto"/>
        <w:ind w:left="-5" w:right="0"/>
        <w:jc w:val="left"/>
        <w:rPr>
          <w:b/>
        </w:rPr>
      </w:pPr>
      <w:r w:rsidRPr="000916CA">
        <w:br w:type="page"/>
      </w:r>
    </w:p>
    <w:p w:rsidR="00795E43" w:rsidRDefault="00795E43" w:rsidP="00DA59FA">
      <w:pPr>
        <w:spacing w:after="66" w:line="480" w:lineRule="auto"/>
        <w:ind w:left="0" w:right="0" w:firstLine="0"/>
        <w:jc w:val="left"/>
      </w:pPr>
    </w:p>
    <w:p w:rsidR="00F17598" w:rsidRPr="00F26EB5" w:rsidRDefault="00DA59FA" w:rsidP="00DA59FA">
      <w:pPr>
        <w:pStyle w:val="ListParagraph"/>
        <w:numPr>
          <w:ilvl w:val="0"/>
          <w:numId w:val="19"/>
        </w:numPr>
        <w:spacing w:line="480" w:lineRule="auto"/>
        <w:ind w:right="5"/>
        <w:rPr>
          <w:b/>
          <w:szCs w:val="24"/>
          <w:u w:val="single"/>
        </w:rPr>
      </w:pPr>
      <w:r w:rsidRPr="00F26EB5">
        <w:rPr>
          <w:b/>
          <w:szCs w:val="24"/>
          <w:u w:val="single"/>
        </w:rPr>
        <w:t>Challenges Program manager face</w:t>
      </w:r>
      <w:r w:rsidR="00795E43" w:rsidRPr="00F26EB5">
        <w:rPr>
          <w:b/>
          <w:szCs w:val="24"/>
          <w:u w:val="single"/>
        </w:rPr>
        <w:t xml:space="preserve"> when determining which indicators to employ in Monitorin</w:t>
      </w:r>
      <w:r w:rsidRPr="00F26EB5">
        <w:rPr>
          <w:b/>
          <w:szCs w:val="24"/>
          <w:u w:val="single"/>
        </w:rPr>
        <w:t>g and evaluating a project</w:t>
      </w:r>
    </w:p>
    <w:p w:rsidR="00F17598" w:rsidRDefault="00F17598" w:rsidP="00DA59FA">
      <w:pPr>
        <w:spacing w:line="480" w:lineRule="auto"/>
        <w:ind w:left="11" w:right="5"/>
      </w:pPr>
      <w:r>
        <w:t xml:space="preserve">Firstly, prior adopting indicators in Monitoring and Evaluation, the indicators must </w:t>
      </w:r>
      <w:r w:rsidR="00D431E5">
        <w:t>be</w:t>
      </w:r>
      <w:r>
        <w:t xml:space="preserve"> characterist</w:t>
      </w:r>
      <w:r w:rsidR="00D431E5">
        <w:t xml:space="preserve">irized by the enlisted principles </w:t>
      </w:r>
      <w:r>
        <w:t xml:space="preserve">in order to guarantee accuracy and </w:t>
      </w:r>
      <w:r w:rsidR="00D431E5">
        <w:t>effectiveness</w:t>
      </w:r>
      <w:r>
        <w:t>;</w:t>
      </w:r>
    </w:p>
    <w:p w:rsidR="00F17598" w:rsidRDefault="00F17598" w:rsidP="00DA59FA">
      <w:pPr>
        <w:spacing w:line="480" w:lineRule="auto"/>
        <w:ind w:left="11" w:right="5"/>
      </w:pP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F17598">
        <w:rPr>
          <w:b/>
        </w:rPr>
        <w:t>Valid:</w:t>
      </w:r>
      <w:r w:rsidRPr="00F17598">
        <w:t xml:space="preserve"> accurate measure of a behavior, practice or task</w:t>
      </w: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F17598">
        <w:rPr>
          <w:b/>
        </w:rPr>
        <w:t>Reliable:</w:t>
      </w:r>
      <w:r w:rsidRPr="00F17598">
        <w:t xml:space="preserve"> consistently measurable in the same way by different observers</w:t>
      </w: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D431E5">
        <w:rPr>
          <w:b/>
        </w:rPr>
        <w:t>Comparable:</w:t>
      </w:r>
      <w:r w:rsidRPr="00F17598">
        <w:t xml:space="preserve"> can be measured in different contexts or time periods</w:t>
      </w: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D431E5">
        <w:rPr>
          <w:b/>
        </w:rPr>
        <w:t>Non-directional:</w:t>
      </w:r>
      <w:r w:rsidRPr="00F17598">
        <w:t xml:space="preserve"> subjective criteria not part of definition</w:t>
      </w:r>
      <w:r>
        <w:t>.</w:t>
      </w: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D431E5">
        <w:rPr>
          <w:b/>
        </w:rPr>
        <w:t>Precise:</w:t>
      </w:r>
      <w:r w:rsidRPr="00F17598">
        <w:t xml:space="preserve"> operationally defined in clear terms</w:t>
      </w:r>
      <w:r>
        <w:t>.</w:t>
      </w: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D431E5">
        <w:rPr>
          <w:b/>
        </w:rPr>
        <w:t>Measurable:</w:t>
      </w:r>
      <w:r w:rsidRPr="00F17598">
        <w:t xml:space="preserve"> quantifiable using available tools and methods</w:t>
      </w:r>
    </w:p>
    <w:p w:rsidR="00D431E5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D431E5">
        <w:rPr>
          <w:b/>
        </w:rPr>
        <w:t>Timely:</w:t>
      </w:r>
      <w:r w:rsidRPr="00F17598">
        <w:t xml:space="preserve"> provides a measurement at time intervals relevant and appropriate in terms of program goals and activities</w:t>
      </w:r>
      <w:r w:rsidR="00D431E5">
        <w:t>.</w:t>
      </w:r>
    </w:p>
    <w:p w:rsidR="00F17598" w:rsidRDefault="00F17598" w:rsidP="00DA59FA">
      <w:pPr>
        <w:pStyle w:val="ListParagraph"/>
        <w:numPr>
          <w:ilvl w:val="0"/>
          <w:numId w:val="12"/>
        </w:numPr>
        <w:spacing w:line="480" w:lineRule="auto"/>
        <w:ind w:right="5"/>
      </w:pPr>
      <w:r w:rsidRPr="00D431E5">
        <w:rPr>
          <w:b/>
        </w:rPr>
        <w:t>Programmatically important</w:t>
      </w:r>
      <w:r w:rsidRPr="00F17598">
        <w:t>: linked to a public health impact or to achieving the objectives that are needed for impact</w:t>
      </w:r>
    </w:p>
    <w:p w:rsidR="00593565" w:rsidRDefault="00D431E5" w:rsidP="00DA59FA">
      <w:pPr>
        <w:spacing w:line="480" w:lineRule="auto"/>
        <w:ind w:left="11" w:right="5"/>
      </w:pPr>
      <w:r>
        <w:t>Secondly, Program managers would be challenged in determining which indicators to employ in Monitor</w:t>
      </w:r>
      <w:r w:rsidR="00593565">
        <w:t>ing and evaluating a project if the following conditions presents;</w:t>
      </w:r>
    </w:p>
    <w:p w:rsidR="00593565" w:rsidRDefault="00593565" w:rsidP="00DA59FA">
      <w:pPr>
        <w:pStyle w:val="ListParagraph"/>
        <w:numPr>
          <w:ilvl w:val="0"/>
          <w:numId w:val="17"/>
        </w:numPr>
        <w:spacing w:line="480" w:lineRule="auto"/>
        <w:ind w:right="5"/>
      </w:pPr>
      <w:r>
        <w:t>When t</w:t>
      </w:r>
      <w:r w:rsidR="00D431E5" w:rsidRPr="00D431E5">
        <w:t xml:space="preserve">he </w:t>
      </w:r>
      <w:r w:rsidR="00F17598" w:rsidRPr="00D431E5">
        <w:t>cost and feasibility of data collection and analysis</w:t>
      </w:r>
      <w:r w:rsidR="00D431E5">
        <w:t xml:space="preserve"> overruns that available resources prompting need to adopt other indicators</w:t>
      </w:r>
      <w:r w:rsidR="00D431E5" w:rsidRPr="00D431E5">
        <w:t>.</w:t>
      </w:r>
      <w:r w:rsidR="00D431E5" w:rsidRPr="00593565">
        <w:t xml:space="preserve"> </w:t>
      </w:r>
    </w:p>
    <w:p w:rsidR="00593565" w:rsidRDefault="00593565" w:rsidP="00DA59FA">
      <w:pPr>
        <w:pStyle w:val="ListParagraph"/>
        <w:numPr>
          <w:ilvl w:val="0"/>
          <w:numId w:val="17"/>
        </w:numPr>
        <w:spacing w:line="480" w:lineRule="auto"/>
        <w:ind w:right="5"/>
      </w:pPr>
      <w:r w:rsidRPr="00593565">
        <w:t xml:space="preserve">When </w:t>
      </w:r>
      <w:r>
        <w:t xml:space="preserve">indicators </w:t>
      </w:r>
      <w:r w:rsidRPr="00593565">
        <w:t>linked</w:t>
      </w:r>
      <w:r w:rsidRPr="00593565">
        <w:t xml:space="preserve"> to the program goals and are </w:t>
      </w:r>
      <w:r>
        <w:t>un</w:t>
      </w:r>
      <w:r w:rsidRPr="00593565">
        <w:t>able to measure change</w:t>
      </w:r>
      <w:r>
        <w:t>.</w:t>
      </w:r>
    </w:p>
    <w:p w:rsidR="00795E43" w:rsidRDefault="00593565" w:rsidP="00DA59FA">
      <w:pPr>
        <w:pStyle w:val="ListParagraph"/>
        <w:numPr>
          <w:ilvl w:val="0"/>
          <w:numId w:val="17"/>
        </w:numPr>
        <w:spacing w:line="480" w:lineRule="auto"/>
        <w:ind w:right="5"/>
      </w:pPr>
      <w:r w:rsidRPr="00593565">
        <w:t>Indicators that is</w:t>
      </w:r>
      <w:r w:rsidRPr="00593565">
        <w:t xml:space="preserve"> </w:t>
      </w:r>
      <w:r w:rsidRPr="00593565">
        <w:t>in</w:t>
      </w:r>
      <w:r w:rsidRPr="00593565">
        <w:t>consistent with international standards and other reporting requirements, as appropriate</w:t>
      </w:r>
    </w:p>
    <w:p w:rsidR="00795E43" w:rsidRPr="00F26EB5" w:rsidRDefault="00DA59FA" w:rsidP="00DA59FA">
      <w:pPr>
        <w:pStyle w:val="ListParagraph"/>
        <w:numPr>
          <w:ilvl w:val="0"/>
          <w:numId w:val="19"/>
        </w:numPr>
        <w:spacing w:line="480" w:lineRule="auto"/>
        <w:ind w:right="5"/>
        <w:rPr>
          <w:b/>
          <w:szCs w:val="24"/>
          <w:u w:val="single"/>
        </w:rPr>
      </w:pPr>
      <w:r>
        <w:rPr>
          <w:b/>
        </w:rPr>
        <w:t xml:space="preserve"> </w:t>
      </w:r>
      <w:r w:rsidR="00223F94" w:rsidRPr="00F26EB5">
        <w:rPr>
          <w:b/>
          <w:szCs w:val="24"/>
          <w:u w:val="single"/>
        </w:rPr>
        <w:t>T</w:t>
      </w:r>
      <w:r w:rsidR="00795E43" w:rsidRPr="00F26EB5">
        <w:rPr>
          <w:b/>
          <w:szCs w:val="24"/>
          <w:u w:val="single"/>
        </w:rPr>
        <w:t>he fundamental differences between output and ou</w:t>
      </w:r>
      <w:r w:rsidR="00223F94" w:rsidRPr="00F26EB5">
        <w:rPr>
          <w:b/>
          <w:szCs w:val="24"/>
          <w:u w:val="single"/>
        </w:rPr>
        <w:t>tcome indicators</w:t>
      </w:r>
      <w:r w:rsidR="00795E43" w:rsidRPr="00F26EB5">
        <w:rPr>
          <w:b/>
          <w:szCs w:val="24"/>
          <w:u w:val="single"/>
        </w:rPr>
        <w:t xml:space="preserve">  </w:t>
      </w:r>
    </w:p>
    <w:tbl>
      <w:tblPr>
        <w:tblpPr w:leftFromText="180" w:rightFromText="180" w:vertAnchor="text" w:horzAnchor="margin" w:tblpY="402"/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0"/>
        <w:gridCol w:w="6570"/>
      </w:tblGrid>
      <w:tr w:rsidR="00DA59FA" w:rsidRPr="003C6587" w:rsidTr="00DA59FA">
        <w:tc>
          <w:tcPr>
            <w:tcW w:w="693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  <w:jc w:val="center"/>
              <w:rPr>
                <w:b/>
                <w:bCs/>
                <w:sz w:val="22"/>
                <w:szCs w:val="24"/>
              </w:rPr>
            </w:pPr>
            <w:r w:rsidRPr="00223F94">
              <w:rPr>
                <w:b/>
                <w:bCs/>
                <w:sz w:val="22"/>
                <w:szCs w:val="24"/>
              </w:rPr>
              <w:t>Output</w:t>
            </w:r>
          </w:p>
        </w:tc>
        <w:tc>
          <w:tcPr>
            <w:tcW w:w="6570" w:type="dxa"/>
            <w:shd w:val="clear" w:color="auto" w:fill="auto"/>
          </w:tcPr>
          <w:p w:rsidR="00DA59FA" w:rsidRPr="003C6587" w:rsidRDefault="00DA59FA" w:rsidP="00DA59FA">
            <w:pPr>
              <w:spacing w:after="0" w:line="480" w:lineRule="auto"/>
              <w:ind w:left="0"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Outcome</w:t>
            </w:r>
          </w:p>
        </w:tc>
      </w:tr>
      <w:tr w:rsidR="00DA59FA" w:rsidRPr="003C6587" w:rsidTr="00DA59FA">
        <w:trPr>
          <w:trHeight w:val="545"/>
        </w:trPr>
        <w:tc>
          <w:tcPr>
            <w:tcW w:w="693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223F94">
              <w:t>Outputs are the products, services, business or management practices that will be required (produced) to meet the identified outcomes.</w:t>
            </w:r>
          </w:p>
        </w:tc>
        <w:tc>
          <w:tcPr>
            <w:tcW w:w="657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223F94">
              <w:t>Outcomes are the benefits or other long- term changes that are sought from undertaking the project.</w:t>
            </w:r>
          </w:p>
        </w:tc>
      </w:tr>
      <w:tr w:rsidR="00DA59FA" w:rsidRPr="003C6587" w:rsidTr="00DA59FA">
        <w:tc>
          <w:tcPr>
            <w:tcW w:w="693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223F94">
              <w:t xml:space="preserve">Outputs link with </w:t>
            </w:r>
            <w:r>
              <w:t xml:space="preserve"> </w:t>
            </w:r>
            <w:r w:rsidRPr="00223F94">
              <w:t xml:space="preserve">outcomes, in that the outputs are used by </w:t>
            </w:r>
          </w:p>
          <w:p w:rsidR="00DA59FA" w:rsidRPr="00223F94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223F94">
              <w:t>the project’s customers to achieve the outcomes</w:t>
            </w:r>
          </w:p>
        </w:tc>
        <w:tc>
          <w:tcPr>
            <w:tcW w:w="657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</w:pPr>
            <w:r w:rsidRPr="00223F94">
              <w:t>They are achieved from the utilization of the project’s outputs</w:t>
            </w:r>
          </w:p>
        </w:tc>
      </w:tr>
      <w:tr w:rsidR="00DA59FA" w:rsidRPr="003C6587" w:rsidTr="00DA59FA">
        <w:trPr>
          <w:trHeight w:val="203"/>
        </w:trPr>
        <w:tc>
          <w:tcPr>
            <w:tcW w:w="693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223F94">
              <w:t xml:space="preserve">Outputs are usually expressed as nouns. </w:t>
            </w:r>
          </w:p>
        </w:tc>
        <w:tc>
          <w:tcPr>
            <w:tcW w:w="6570" w:type="dxa"/>
            <w:shd w:val="clear" w:color="auto" w:fill="auto"/>
          </w:tcPr>
          <w:p w:rsidR="00DA59FA" w:rsidRPr="00223F94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223F94">
              <w:t xml:space="preserve">Outcomes are  linked </w:t>
            </w:r>
            <w:r>
              <w:t xml:space="preserve"> </w:t>
            </w:r>
            <w:r w:rsidRPr="00223F94">
              <w:t xml:space="preserve">with objectives, in that if the outcomes are  achieved then the project’s objective(s) </w:t>
            </w:r>
            <w:r>
              <w:t xml:space="preserve"> </w:t>
            </w:r>
            <w:r w:rsidRPr="00223F94">
              <w:t>have been met</w:t>
            </w:r>
          </w:p>
        </w:tc>
      </w:tr>
      <w:tr w:rsidR="00DA59FA" w:rsidRPr="003C6587" w:rsidTr="00DA59FA">
        <w:tc>
          <w:tcPr>
            <w:tcW w:w="6930" w:type="dxa"/>
            <w:shd w:val="clear" w:color="auto" w:fill="auto"/>
          </w:tcPr>
          <w:p w:rsidR="00DA59FA" w:rsidRPr="003C6587" w:rsidRDefault="00DA59FA" w:rsidP="00DA59FA">
            <w:pPr>
              <w:spacing w:after="0" w:line="480" w:lineRule="auto"/>
              <w:rPr>
                <w:bCs/>
                <w:sz w:val="22"/>
                <w:szCs w:val="24"/>
              </w:rPr>
            </w:pPr>
          </w:p>
        </w:tc>
        <w:tc>
          <w:tcPr>
            <w:tcW w:w="6570" w:type="dxa"/>
            <w:shd w:val="clear" w:color="auto" w:fill="auto"/>
          </w:tcPr>
          <w:p w:rsidR="00DA59FA" w:rsidRPr="00DA59FA" w:rsidRDefault="00DA59FA" w:rsidP="00DA59FA">
            <w:pPr>
              <w:spacing w:after="0" w:line="480" w:lineRule="auto"/>
              <w:ind w:left="0" w:right="0" w:firstLine="0"/>
              <w:jc w:val="left"/>
            </w:pPr>
            <w:r w:rsidRPr="00DA59FA">
              <w:t>T</w:t>
            </w:r>
            <w:r w:rsidRPr="00223F94">
              <w:t xml:space="preserve">hey provide early </w:t>
            </w:r>
            <w:proofErr w:type="gramStart"/>
            <w:r w:rsidRPr="00223F94">
              <w:t xml:space="preserve">information </w:t>
            </w:r>
            <w:r w:rsidRPr="00DA59FA">
              <w:t xml:space="preserve"> </w:t>
            </w:r>
            <w:r w:rsidRPr="00223F94">
              <w:t>on</w:t>
            </w:r>
            <w:proofErr w:type="gramEnd"/>
            <w:r w:rsidRPr="00223F94">
              <w:t xml:space="preserve"> whether </w:t>
            </w:r>
            <w:r w:rsidRPr="00DA59FA">
              <w:t xml:space="preserve"> </w:t>
            </w:r>
            <w:r>
              <w:t xml:space="preserve">a project or </w:t>
            </w:r>
            <w:proofErr w:type="spellStart"/>
            <w:r w:rsidRPr="00223F94">
              <w:t>programme</w:t>
            </w:r>
            <w:proofErr w:type="spellEnd"/>
            <w:r w:rsidRPr="00223F94">
              <w:t xml:space="preserve"> is on course or </w:t>
            </w:r>
            <w:r w:rsidRPr="00DA59FA">
              <w:t xml:space="preserve"> </w:t>
            </w:r>
            <w:r w:rsidRPr="00223F94">
              <w:t xml:space="preserve">whether </w:t>
            </w:r>
            <w:r w:rsidRPr="00DA59FA">
              <w:t xml:space="preserve"> </w:t>
            </w:r>
            <w:r>
              <w:t xml:space="preserve">any desired changes are </w:t>
            </w:r>
            <w:r w:rsidRPr="00223F94">
              <w:t xml:space="preserve">beginning to </w:t>
            </w:r>
            <w:r w:rsidRPr="00DA59FA">
              <w:t xml:space="preserve"> </w:t>
            </w:r>
            <w:r w:rsidRPr="00223F94">
              <w:t>happen</w:t>
            </w:r>
            <w:r>
              <w:t>.</w:t>
            </w:r>
          </w:p>
        </w:tc>
      </w:tr>
    </w:tbl>
    <w:p w:rsidR="00795E43" w:rsidRPr="00223F94" w:rsidRDefault="00795E43" w:rsidP="00DA59FA">
      <w:pPr>
        <w:spacing w:after="0" w:line="480" w:lineRule="auto"/>
        <w:ind w:left="16" w:right="0" w:firstLine="0"/>
        <w:jc w:val="left"/>
      </w:pPr>
      <w:r w:rsidRPr="00223F94">
        <w:t xml:space="preserve">  </w:t>
      </w:r>
    </w:p>
    <w:p w:rsidR="00223F94" w:rsidRDefault="00223F94" w:rsidP="00DA59FA">
      <w:pPr>
        <w:spacing w:after="0" w:line="480" w:lineRule="auto"/>
        <w:ind w:left="0" w:right="0" w:firstLine="0"/>
        <w:jc w:val="center"/>
      </w:pPr>
    </w:p>
    <w:p w:rsidR="00223F94" w:rsidRDefault="00223F94" w:rsidP="00DA59FA">
      <w:pPr>
        <w:spacing w:after="0" w:line="480" w:lineRule="auto"/>
        <w:ind w:left="0" w:right="0" w:firstLine="0"/>
        <w:jc w:val="left"/>
      </w:pPr>
    </w:p>
    <w:p w:rsidR="00A633A8" w:rsidRPr="00F26EB5" w:rsidRDefault="00F26EB5" w:rsidP="00F26EB5">
      <w:pPr>
        <w:pStyle w:val="ListParagraph"/>
        <w:numPr>
          <w:ilvl w:val="0"/>
          <w:numId w:val="19"/>
        </w:numPr>
        <w:spacing w:line="480" w:lineRule="auto"/>
        <w:ind w:right="5"/>
        <w:rPr>
          <w:b/>
          <w:u w:val="single"/>
        </w:rPr>
      </w:pPr>
      <w:r w:rsidRPr="00F26EB5">
        <w:rPr>
          <w:b/>
          <w:u w:val="single"/>
        </w:rPr>
        <w:t>Developing Project Outline</w:t>
      </w:r>
    </w:p>
    <w:p w:rsidR="00F26EB5" w:rsidRPr="00F26EB5" w:rsidRDefault="00F26EB5" w:rsidP="00DA59FA">
      <w:pPr>
        <w:spacing w:line="480" w:lineRule="auto"/>
        <w:ind w:left="11" w:right="5"/>
      </w:pPr>
      <w:r>
        <w:rPr>
          <w:b/>
        </w:rPr>
        <w:t xml:space="preserve">     Case Study-</w:t>
      </w:r>
      <w:r w:rsidRPr="00F26EB5">
        <w:t xml:space="preserve">Measles </w:t>
      </w:r>
      <w:r>
        <w:t xml:space="preserve">Campaign in South Sudan Courtesy </w:t>
      </w:r>
      <w:r w:rsidRPr="00F26EB5">
        <w:t>of DFID</w:t>
      </w:r>
    </w:p>
    <w:p w:rsidR="00A633A8" w:rsidRPr="00DA59FA" w:rsidRDefault="00A633A8" w:rsidP="00DA59FA">
      <w:pPr>
        <w:pStyle w:val="ListParagraph"/>
        <w:numPr>
          <w:ilvl w:val="0"/>
          <w:numId w:val="2"/>
        </w:numPr>
        <w:spacing w:line="480" w:lineRule="auto"/>
        <w:rPr>
          <w:b/>
          <w:sz w:val="28"/>
          <w:szCs w:val="28"/>
          <w:lang w:val="en-GB"/>
        </w:rPr>
      </w:pPr>
      <w:r w:rsidRPr="000B60A6">
        <w:rPr>
          <w:b/>
          <w:sz w:val="28"/>
          <w:szCs w:val="28"/>
          <w:lang w:val="en-GB"/>
        </w:rPr>
        <w:t>Problem Analysis</w:t>
      </w:r>
    </w:p>
    <w:p w:rsidR="00A633A8" w:rsidRDefault="00A633A8" w:rsidP="00F26EB5">
      <w:pPr>
        <w:autoSpaceDE w:val="0"/>
        <w:autoSpaceDN w:val="0"/>
        <w:adjustRightInd w:val="0"/>
        <w:spacing w:after="0" w:line="480" w:lineRule="auto"/>
        <w:ind w:left="0" w:right="0" w:firstLine="0"/>
        <w:jc w:val="left"/>
      </w:pPr>
      <w:r w:rsidRPr="00A633A8">
        <w:t>Measles remains a significant cause of m</w:t>
      </w:r>
      <w:r>
        <w:t>orbidity and mortality among children under the age of 5 in South Sudan.</w:t>
      </w:r>
      <w:r w:rsidRPr="00A633A8">
        <w:t xml:space="preserve"> </w:t>
      </w:r>
      <w:r>
        <w:t xml:space="preserve">Consequently, the civil unrest has remained an impediment to health care services accessibility owing to migrations patterns and destruction to infrastructure. </w:t>
      </w:r>
      <w:r w:rsidRPr="00A633A8">
        <w:t xml:space="preserve">The importance of measles prevention and control to the </w:t>
      </w:r>
      <w:r>
        <w:t>achievement</w:t>
      </w:r>
      <w:r w:rsidRPr="00A633A8">
        <w:t xml:space="preserve"> of MDG 4 is reflected in the key indicator of measles immuni</w:t>
      </w:r>
      <w:r>
        <w:t xml:space="preserve">zation coverage as a measure of </w:t>
      </w:r>
      <w:r w:rsidRPr="00A633A8">
        <w:t>progress towards this MDG.</w:t>
      </w:r>
    </w:p>
    <w:p w:rsidR="00A633A8" w:rsidRPr="00F26EB5" w:rsidRDefault="00A633A8" w:rsidP="00F26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right="0"/>
        <w:jc w:val="left"/>
        <w:rPr>
          <w:b/>
          <w:sz w:val="28"/>
          <w:szCs w:val="28"/>
          <w:lang w:val="en-GB"/>
        </w:rPr>
      </w:pPr>
      <w:r w:rsidRPr="000B60A6">
        <w:rPr>
          <w:b/>
          <w:sz w:val="28"/>
          <w:szCs w:val="28"/>
          <w:lang w:val="en-GB"/>
        </w:rPr>
        <w:t>Objectives to achieve the goal</w:t>
      </w:r>
    </w:p>
    <w:p w:rsidR="00066F11" w:rsidRDefault="00A633A8" w:rsidP="00F26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0"/>
        <w:jc w:val="left"/>
      </w:pPr>
      <w:r w:rsidRPr="00066F11">
        <w:t xml:space="preserve">Achieve and maintain at least 95% population immunity with two doses against </w:t>
      </w:r>
      <w:r w:rsidR="00066F11" w:rsidRPr="00066F11">
        <w:t>measles within</w:t>
      </w:r>
      <w:r w:rsidRPr="00066F11">
        <w:t xml:space="preserve"> eac</w:t>
      </w:r>
      <w:r w:rsidR="00066F11" w:rsidRPr="00066F11">
        <w:t>h district of each Region</w:t>
      </w:r>
      <w:r w:rsidRPr="00066F11">
        <w:t xml:space="preserve"> through routine and/or supplementary immunization.</w:t>
      </w:r>
    </w:p>
    <w:p w:rsidR="00066F11" w:rsidRPr="00F26EB5" w:rsidRDefault="00A633A8" w:rsidP="00F26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0"/>
        <w:jc w:val="left"/>
      </w:pPr>
      <w:r w:rsidRPr="00066F11">
        <w:t>Develop and sustain a sensitive and timely case-b</w:t>
      </w:r>
      <w:r w:rsidR="00066F11" w:rsidRPr="00066F11">
        <w:t xml:space="preserve">ased measles and active </w:t>
      </w:r>
      <w:r w:rsidRPr="00066F11">
        <w:t>sur</w:t>
      </w:r>
      <w:r w:rsidR="00066F11" w:rsidRPr="00066F11">
        <w:t>veillance system in each district</w:t>
      </w:r>
      <w:r w:rsidRPr="00066F11">
        <w:t xml:space="preserve"> in the Region that fulfils recommended surveillance</w:t>
      </w:r>
      <w:r w:rsidR="00066F11" w:rsidRPr="00066F11">
        <w:t xml:space="preserve"> </w:t>
      </w:r>
      <w:r w:rsidR="00F26EB5">
        <w:t>performance indicators.</w:t>
      </w:r>
    </w:p>
    <w:p w:rsidR="00A633A8" w:rsidRDefault="00A633A8" w:rsidP="00F26E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0"/>
        <w:jc w:val="left"/>
      </w:pPr>
      <w:r w:rsidRPr="00066F11">
        <w:t xml:space="preserve">Strengthen </w:t>
      </w:r>
      <w:r w:rsidR="00066F11" w:rsidRPr="00066F11">
        <w:t xml:space="preserve">stakeholders </w:t>
      </w:r>
      <w:r w:rsidRPr="00066F11">
        <w:t>support and linkages to achieve the above three strategic objectives</w:t>
      </w:r>
      <w:r w:rsidR="00F26EB5">
        <w:t>.</w:t>
      </w:r>
    </w:p>
    <w:p w:rsidR="000B60A6" w:rsidRPr="00F26EB5" w:rsidRDefault="000B60A6" w:rsidP="00F26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right="0"/>
        <w:jc w:val="left"/>
        <w:rPr>
          <w:b/>
          <w:sz w:val="28"/>
          <w:szCs w:val="28"/>
          <w:lang w:val="en-GB"/>
        </w:rPr>
      </w:pPr>
      <w:r w:rsidRPr="000B60A6">
        <w:rPr>
          <w:b/>
          <w:sz w:val="28"/>
          <w:szCs w:val="28"/>
          <w:lang w:val="en-GB"/>
        </w:rPr>
        <w:t>Outcomes</w:t>
      </w:r>
    </w:p>
    <w:p w:rsidR="001C2379" w:rsidRPr="00F26EB5" w:rsidRDefault="000B60A6" w:rsidP="00DA59FA">
      <w:pPr>
        <w:autoSpaceDE w:val="0"/>
        <w:autoSpaceDN w:val="0"/>
        <w:adjustRightInd w:val="0"/>
        <w:spacing w:after="0" w:line="480" w:lineRule="auto"/>
        <w:ind w:left="0" w:right="0" w:firstLine="0"/>
        <w:jc w:val="left"/>
        <w:rPr>
          <w:b/>
          <w:lang w:val="en-GB"/>
        </w:rPr>
      </w:pPr>
      <w:r>
        <w:rPr>
          <w:b/>
          <w:lang w:val="en-GB"/>
        </w:rPr>
        <w:t xml:space="preserve">3.1 </w:t>
      </w:r>
      <w:r w:rsidR="001C2379" w:rsidRPr="001C2379">
        <w:rPr>
          <w:b/>
          <w:lang w:val="en-GB"/>
        </w:rPr>
        <w:t>Outcomes</w:t>
      </w:r>
      <w:r w:rsidR="001C2379">
        <w:rPr>
          <w:b/>
          <w:lang w:val="en-GB"/>
        </w:rPr>
        <w:t xml:space="preserve"> 1</w:t>
      </w:r>
    </w:p>
    <w:p w:rsidR="00066F11" w:rsidRDefault="001C2379" w:rsidP="00F26EB5">
      <w:pPr>
        <w:spacing w:after="26" w:line="480" w:lineRule="auto"/>
        <w:ind w:left="16" w:right="0" w:firstLine="0"/>
        <w:jc w:val="left"/>
      </w:pPr>
      <w:r w:rsidRPr="001C2379">
        <w:t>National full immunization coverage increased to</w:t>
      </w:r>
      <w:r>
        <w:t xml:space="preserve"> 90% by end of 2019</w:t>
      </w:r>
    </w:p>
    <w:p w:rsidR="00BF51DC" w:rsidRPr="001C2379" w:rsidRDefault="000B60A6" w:rsidP="00F26EB5">
      <w:pPr>
        <w:spacing w:after="26" w:line="480" w:lineRule="auto"/>
        <w:ind w:left="16" w:right="0" w:firstLine="0"/>
        <w:jc w:val="left"/>
        <w:rPr>
          <w:b/>
        </w:rPr>
      </w:pPr>
      <w:r>
        <w:rPr>
          <w:b/>
        </w:rPr>
        <w:t xml:space="preserve">3.1.1 </w:t>
      </w:r>
      <w:r w:rsidR="001C2379" w:rsidRPr="001C2379">
        <w:rPr>
          <w:b/>
        </w:rPr>
        <w:t>Outcome indicator 1</w:t>
      </w:r>
    </w:p>
    <w:p w:rsidR="000B60A6" w:rsidRDefault="001C2379" w:rsidP="00F26EB5">
      <w:pPr>
        <w:spacing w:after="26" w:line="480" w:lineRule="auto"/>
        <w:ind w:left="16" w:right="0" w:firstLine="0"/>
        <w:jc w:val="left"/>
      </w:pPr>
      <w:r w:rsidRPr="001C2379">
        <w:t xml:space="preserve">Proportion of infants fully </w:t>
      </w:r>
      <w:r w:rsidR="009346B7" w:rsidRPr="001C2379">
        <w:t>immunized</w:t>
      </w:r>
      <w:r w:rsidR="009346B7">
        <w:t>; Baseline</w:t>
      </w:r>
      <w:r>
        <w:t xml:space="preserve"> 65% 2(DHS</w:t>
      </w:r>
      <w:r w:rsidR="009346B7">
        <w:t xml:space="preserve"> 2015/2016)</w:t>
      </w:r>
      <w:r w:rsidR="00BF51DC">
        <w:t>, Milestone</w:t>
      </w:r>
      <w:r w:rsidR="009346B7">
        <w:t xml:space="preserve"> One</w:t>
      </w:r>
      <w:r w:rsidR="00BF51DC">
        <w:t>, 75</w:t>
      </w:r>
      <w:r w:rsidR="009346B7">
        <w:t>% in 2017</w:t>
      </w:r>
      <w:r w:rsidR="00BF51DC">
        <w:t>, Milestone</w:t>
      </w:r>
      <w:r w:rsidR="009346B7">
        <w:t xml:space="preserve"> Two</w:t>
      </w:r>
      <w:r w:rsidR="00BF51DC">
        <w:t>, 85</w:t>
      </w:r>
      <w:r w:rsidR="009346B7">
        <w:t>% by 2018 and Target of 90% coverage by 2019.</w:t>
      </w:r>
    </w:p>
    <w:p w:rsidR="001C2379" w:rsidRPr="00F26EB5" w:rsidRDefault="000B60A6" w:rsidP="00F26EB5">
      <w:pPr>
        <w:autoSpaceDE w:val="0"/>
        <w:autoSpaceDN w:val="0"/>
        <w:adjustRightInd w:val="0"/>
        <w:spacing w:after="0" w:line="480" w:lineRule="auto"/>
        <w:ind w:left="0" w:right="0" w:firstLine="0"/>
        <w:jc w:val="left"/>
        <w:rPr>
          <w:b/>
          <w:lang w:val="en-GB"/>
        </w:rPr>
      </w:pPr>
      <w:r>
        <w:rPr>
          <w:b/>
          <w:lang w:val="en-GB"/>
        </w:rPr>
        <w:t xml:space="preserve">3.2 </w:t>
      </w:r>
      <w:r w:rsidR="001C2379" w:rsidRPr="001C2379">
        <w:rPr>
          <w:b/>
          <w:lang w:val="en-GB"/>
        </w:rPr>
        <w:t>Outcomes</w:t>
      </w:r>
      <w:r w:rsidR="001C2379">
        <w:rPr>
          <w:b/>
          <w:lang w:val="en-GB"/>
        </w:rPr>
        <w:t xml:space="preserve"> 2</w:t>
      </w:r>
    </w:p>
    <w:p w:rsidR="001C2379" w:rsidRDefault="001C2379" w:rsidP="00F26EB5">
      <w:pPr>
        <w:spacing w:after="26" w:line="480" w:lineRule="auto"/>
        <w:ind w:left="16" w:right="0" w:firstLine="0"/>
        <w:jc w:val="left"/>
      </w:pPr>
      <w:r w:rsidRPr="001C2379">
        <w:t xml:space="preserve">Availability of </w:t>
      </w:r>
      <w:r>
        <w:t xml:space="preserve">measles </w:t>
      </w:r>
      <w:r w:rsidRPr="001C2379">
        <w:t>vaccines</w:t>
      </w:r>
      <w:r>
        <w:t>,</w:t>
      </w:r>
      <w:r w:rsidRPr="001C2379">
        <w:t xml:space="preserve"> vaccine</w:t>
      </w:r>
      <w:r>
        <w:t>s</w:t>
      </w:r>
      <w:r w:rsidRPr="001C2379">
        <w:t xml:space="preserve"> </w:t>
      </w:r>
      <w:r>
        <w:t xml:space="preserve">associated </w:t>
      </w:r>
      <w:r w:rsidRPr="001C2379">
        <w:t>supplies and cold chain equipment maintained at 100% in all health faciliti</w:t>
      </w:r>
      <w:r>
        <w:t>es across South Sudan by end of 2019.</w:t>
      </w:r>
    </w:p>
    <w:p w:rsidR="001C2379" w:rsidRPr="00F26EB5" w:rsidRDefault="000B60A6" w:rsidP="00F26EB5">
      <w:pPr>
        <w:spacing w:after="26" w:line="480" w:lineRule="auto"/>
        <w:ind w:left="16" w:right="0" w:firstLine="0"/>
        <w:jc w:val="left"/>
        <w:rPr>
          <w:b/>
        </w:rPr>
      </w:pPr>
      <w:r>
        <w:rPr>
          <w:b/>
        </w:rPr>
        <w:t xml:space="preserve">3.2.1 </w:t>
      </w:r>
      <w:r w:rsidR="000F79D7">
        <w:rPr>
          <w:b/>
        </w:rPr>
        <w:t xml:space="preserve">Outcome indicator </w:t>
      </w:r>
      <w:r w:rsidR="00F26EB5">
        <w:rPr>
          <w:b/>
        </w:rPr>
        <w:t>2</w:t>
      </w:r>
    </w:p>
    <w:p w:rsidR="001C2379" w:rsidRDefault="000F79D7" w:rsidP="00F26EB5">
      <w:pPr>
        <w:spacing w:after="26" w:line="480" w:lineRule="auto"/>
        <w:ind w:left="16" w:right="0" w:firstLine="0"/>
        <w:jc w:val="left"/>
      </w:pPr>
      <w:r w:rsidRPr="000F79D7">
        <w:t>Proportion of health facilities with 100% availability of vaccines (antigens), vaccine supplies and cold chain equipment in the previous year</w:t>
      </w:r>
    </w:p>
    <w:p w:rsidR="000F79D7" w:rsidRPr="00F26EB5" w:rsidRDefault="000B60A6" w:rsidP="00F26EB5">
      <w:pPr>
        <w:autoSpaceDE w:val="0"/>
        <w:autoSpaceDN w:val="0"/>
        <w:adjustRightInd w:val="0"/>
        <w:spacing w:after="0" w:line="480" w:lineRule="auto"/>
        <w:ind w:left="0" w:right="0" w:firstLine="0"/>
        <w:jc w:val="left"/>
        <w:rPr>
          <w:b/>
          <w:lang w:val="en-GB"/>
        </w:rPr>
      </w:pPr>
      <w:r>
        <w:rPr>
          <w:b/>
          <w:lang w:val="en-GB"/>
        </w:rPr>
        <w:t xml:space="preserve">3.3 </w:t>
      </w:r>
      <w:r w:rsidR="000F79D7" w:rsidRPr="001C2379">
        <w:rPr>
          <w:b/>
          <w:lang w:val="en-GB"/>
        </w:rPr>
        <w:t>Outcomes</w:t>
      </w:r>
      <w:r w:rsidR="000F79D7">
        <w:rPr>
          <w:b/>
          <w:lang w:val="en-GB"/>
        </w:rPr>
        <w:t xml:space="preserve"> 3</w:t>
      </w:r>
    </w:p>
    <w:p w:rsidR="001C2379" w:rsidRDefault="000F79D7" w:rsidP="00F26EB5">
      <w:pPr>
        <w:spacing w:after="26" w:line="480" w:lineRule="auto"/>
        <w:ind w:left="16" w:right="0" w:firstLine="0"/>
        <w:jc w:val="left"/>
      </w:pPr>
      <w:r w:rsidRPr="000F79D7">
        <w:t xml:space="preserve">Health system capacity in policy making, planning and financing developed across all health services delivery </w:t>
      </w:r>
      <w:r>
        <w:t>levels by 2019.</w:t>
      </w:r>
    </w:p>
    <w:p w:rsidR="00A633A8" w:rsidRPr="00F26EB5" w:rsidRDefault="000B60A6" w:rsidP="00F26EB5">
      <w:pPr>
        <w:spacing w:after="26" w:line="480" w:lineRule="auto"/>
        <w:ind w:left="16" w:right="0" w:firstLine="0"/>
        <w:jc w:val="left"/>
        <w:rPr>
          <w:b/>
        </w:rPr>
      </w:pPr>
      <w:r>
        <w:rPr>
          <w:b/>
        </w:rPr>
        <w:t xml:space="preserve">3.2.1 </w:t>
      </w:r>
      <w:r w:rsidR="00F26EB5">
        <w:rPr>
          <w:b/>
        </w:rPr>
        <w:t>Outcome indicator 3</w:t>
      </w:r>
    </w:p>
    <w:p w:rsidR="000F79D7" w:rsidRDefault="000F79D7" w:rsidP="00F26EB5">
      <w:pPr>
        <w:spacing w:after="26" w:line="480" w:lineRule="auto"/>
        <w:ind w:left="16" w:right="0" w:firstLine="0"/>
        <w:jc w:val="left"/>
      </w:pPr>
      <w:r w:rsidRPr="000F79D7">
        <w:t>Number of national</w:t>
      </w:r>
      <w:r w:rsidR="000B60A6">
        <w:t xml:space="preserve"> policy documents on Vaccination to under-fives </w:t>
      </w:r>
      <w:r w:rsidR="000B60A6" w:rsidRPr="000F79D7">
        <w:t>finalized</w:t>
      </w:r>
      <w:r w:rsidRPr="000F79D7">
        <w:t xml:space="preserve"> and translated into action (implementation started)</w:t>
      </w:r>
    </w:p>
    <w:p w:rsidR="000B60A6" w:rsidRPr="00F26EB5" w:rsidRDefault="000B60A6" w:rsidP="00F26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right="0"/>
        <w:jc w:val="left"/>
        <w:rPr>
          <w:b/>
          <w:sz w:val="28"/>
          <w:szCs w:val="28"/>
          <w:lang w:val="en-GB"/>
        </w:rPr>
      </w:pPr>
      <w:r w:rsidRPr="000B60A6">
        <w:rPr>
          <w:b/>
          <w:sz w:val="28"/>
          <w:szCs w:val="28"/>
          <w:lang w:val="en-GB"/>
        </w:rPr>
        <w:t>Output</w:t>
      </w:r>
    </w:p>
    <w:p w:rsidR="000B60A6" w:rsidRPr="00F26EB5" w:rsidRDefault="000B60A6" w:rsidP="00F26EB5">
      <w:pPr>
        <w:pStyle w:val="ListParagraph"/>
        <w:numPr>
          <w:ilvl w:val="1"/>
          <w:numId w:val="2"/>
        </w:numPr>
        <w:spacing w:after="26" w:line="480" w:lineRule="auto"/>
        <w:ind w:right="0"/>
        <w:jc w:val="left"/>
        <w:rPr>
          <w:b/>
          <w:lang w:val="en-GB"/>
        </w:rPr>
      </w:pPr>
      <w:r w:rsidRPr="000B60A6">
        <w:rPr>
          <w:b/>
          <w:lang w:val="en-GB"/>
        </w:rPr>
        <w:t>Output</w:t>
      </w:r>
      <w:r>
        <w:rPr>
          <w:b/>
          <w:lang w:val="en-GB"/>
        </w:rPr>
        <w:t xml:space="preserve"> </w:t>
      </w:r>
      <w:r w:rsidRPr="000B60A6">
        <w:rPr>
          <w:b/>
          <w:lang w:val="en-GB"/>
        </w:rPr>
        <w:t xml:space="preserve">1 </w:t>
      </w:r>
    </w:p>
    <w:p w:rsidR="000B60A6" w:rsidRDefault="000B60A6" w:rsidP="00F26EB5">
      <w:pPr>
        <w:spacing w:after="26" w:line="480" w:lineRule="auto"/>
        <w:ind w:right="0"/>
        <w:jc w:val="left"/>
      </w:pPr>
      <w:r w:rsidRPr="000B60A6">
        <w:t>80% of rural health centers have the necessary equipment and con</w:t>
      </w:r>
      <w:r>
        <w:t>sumables to provide basic vaccination by 2019.</w:t>
      </w:r>
    </w:p>
    <w:p w:rsidR="000B60A6" w:rsidRPr="00F26EB5" w:rsidRDefault="000B60A6" w:rsidP="00F26EB5">
      <w:pPr>
        <w:spacing w:after="26" w:line="480" w:lineRule="auto"/>
        <w:ind w:left="16" w:right="0" w:firstLine="0"/>
        <w:jc w:val="left"/>
        <w:rPr>
          <w:b/>
        </w:rPr>
      </w:pPr>
      <w:r>
        <w:rPr>
          <w:b/>
        </w:rPr>
        <w:lastRenderedPageBreak/>
        <w:t>4</w:t>
      </w:r>
      <w:r w:rsidR="00AC020A">
        <w:rPr>
          <w:b/>
        </w:rPr>
        <w:t>.1</w:t>
      </w:r>
      <w:r>
        <w:rPr>
          <w:b/>
        </w:rPr>
        <w:t>.1 Output</w:t>
      </w:r>
      <w:r w:rsidR="008602B9">
        <w:rPr>
          <w:b/>
        </w:rPr>
        <w:t xml:space="preserve"> indicator 1</w:t>
      </w:r>
    </w:p>
    <w:p w:rsidR="000B60A6" w:rsidRDefault="000B60A6" w:rsidP="00F26EB5">
      <w:pPr>
        <w:spacing w:after="26" w:line="480" w:lineRule="auto"/>
        <w:ind w:left="16" w:right="0" w:firstLine="0"/>
        <w:jc w:val="left"/>
      </w:pPr>
      <w:r w:rsidRPr="000B60A6">
        <w:t>Proportion of rural health centers with the necessary equipment</w:t>
      </w:r>
      <w:r>
        <w:t xml:space="preserve"> and consumables for vaccination basic </w:t>
      </w:r>
      <w:r w:rsidRPr="000B60A6">
        <w:t>services</w:t>
      </w:r>
    </w:p>
    <w:p w:rsidR="000B60A6" w:rsidRDefault="000B60A6" w:rsidP="00F26EB5">
      <w:pPr>
        <w:spacing w:after="26" w:line="480" w:lineRule="auto"/>
        <w:ind w:left="16" w:right="0" w:firstLine="0"/>
        <w:jc w:val="left"/>
      </w:pPr>
      <w:r>
        <w:rPr>
          <w:b/>
          <w:lang w:val="en-GB"/>
        </w:rPr>
        <w:t xml:space="preserve">4.2 </w:t>
      </w:r>
      <w:r w:rsidRPr="000B60A6">
        <w:rPr>
          <w:b/>
          <w:lang w:val="en-GB"/>
        </w:rPr>
        <w:t>Output</w:t>
      </w:r>
      <w:r>
        <w:rPr>
          <w:b/>
          <w:lang w:val="en-GB"/>
        </w:rPr>
        <w:t xml:space="preserve"> </w:t>
      </w:r>
      <w:r w:rsidR="008602B9">
        <w:rPr>
          <w:b/>
          <w:lang w:val="en-GB"/>
        </w:rPr>
        <w:t>2</w:t>
      </w:r>
    </w:p>
    <w:p w:rsidR="008602B9" w:rsidRDefault="000B60A6" w:rsidP="00F26EB5">
      <w:pPr>
        <w:spacing w:after="26" w:line="480" w:lineRule="auto"/>
        <w:ind w:left="16" w:right="0" w:firstLine="0"/>
        <w:jc w:val="left"/>
      </w:pPr>
      <w:r w:rsidRPr="000B60A6">
        <w:t xml:space="preserve">The capacity of all districts developed in order to conduct regular and integrated supportive supervision for </w:t>
      </w:r>
      <w:r w:rsidR="008602B9" w:rsidRPr="000B60A6">
        <w:t>MNCH</w:t>
      </w:r>
      <w:r w:rsidR="008602B9">
        <w:t xml:space="preserve"> (</w:t>
      </w:r>
      <w:r w:rsidR="008602B9" w:rsidRPr="000B60A6">
        <w:t>Maternal</w:t>
      </w:r>
      <w:r w:rsidR="008602B9">
        <w:rPr>
          <w:rStyle w:val="ilfuvd"/>
        </w:rPr>
        <w:t xml:space="preserve"> Newborn and Child Health)</w:t>
      </w:r>
      <w:r w:rsidR="008602B9" w:rsidRPr="000B60A6">
        <w:t xml:space="preserve"> </w:t>
      </w:r>
      <w:r w:rsidR="008602B9">
        <w:t>by 2019.</w:t>
      </w:r>
    </w:p>
    <w:p w:rsidR="000B60A6" w:rsidRPr="00F26EB5" w:rsidRDefault="00F26EB5" w:rsidP="00F26EB5">
      <w:pPr>
        <w:spacing w:after="26" w:line="480" w:lineRule="auto"/>
        <w:ind w:left="16" w:right="0" w:firstLine="0"/>
        <w:jc w:val="left"/>
        <w:rPr>
          <w:b/>
        </w:rPr>
      </w:pPr>
      <w:r>
        <w:rPr>
          <w:b/>
        </w:rPr>
        <w:t>4.2.1 Output indicator 2</w:t>
      </w:r>
    </w:p>
    <w:p w:rsidR="008602B9" w:rsidRDefault="008602B9" w:rsidP="00F26EB5">
      <w:pPr>
        <w:spacing w:after="26" w:line="480" w:lineRule="auto"/>
        <w:ind w:left="16" w:right="0" w:firstLine="0"/>
        <w:jc w:val="left"/>
      </w:pPr>
      <w:proofErr w:type="gramStart"/>
      <w:r w:rsidRPr="008602B9">
        <w:t>Number of districts conducting quarterly supportive supervision to health facilities</w:t>
      </w:r>
      <w:r w:rsidR="00F26EB5">
        <w:t>.</w:t>
      </w:r>
      <w:proofErr w:type="gramEnd"/>
    </w:p>
    <w:p w:rsidR="000B60A6" w:rsidRDefault="008602B9" w:rsidP="00F26EB5">
      <w:pPr>
        <w:spacing w:after="26" w:line="480" w:lineRule="auto"/>
        <w:ind w:right="0"/>
        <w:jc w:val="left"/>
      </w:pPr>
      <w:r>
        <w:t xml:space="preserve"> Target: 50% by 2017 and 75% by 2019.</w:t>
      </w:r>
    </w:p>
    <w:p w:rsidR="008602B9" w:rsidRDefault="008602B9" w:rsidP="00F26EB5">
      <w:pPr>
        <w:spacing w:after="26" w:line="480" w:lineRule="auto"/>
        <w:ind w:left="16" w:right="0" w:firstLine="0"/>
        <w:jc w:val="left"/>
      </w:pPr>
      <w:r>
        <w:rPr>
          <w:b/>
          <w:lang w:val="en-GB"/>
        </w:rPr>
        <w:t xml:space="preserve">4.3 </w:t>
      </w:r>
      <w:r w:rsidRPr="000B60A6">
        <w:rPr>
          <w:b/>
          <w:lang w:val="en-GB"/>
        </w:rPr>
        <w:t>Output</w:t>
      </w:r>
      <w:r>
        <w:rPr>
          <w:b/>
          <w:lang w:val="en-GB"/>
        </w:rPr>
        <w:t xml:space="preserve"> 3</w:t>
      </w:r>
    </w:p>
    <w:p w:rsidR="008602B9" w:rsidRDefault="008602B9" w:rsidP="00F26EB5">
      <w:pPr>
        <w:spacing w:after="26" w:line="480" w:lineRule="auto"/>
        <w:ind w:left="0" w:right="0" w:firstLine="0"/>
        <w:jc w:val="left"/>
      </w:pPr>
      <w:r w:rsidRPr="008602B9">
        <w:t>80 % of rural</w:t>
      </w:r>
      <w:r>
        <w:t xml:space="preserve"> communities in South Sudan</w:t>
      </w:r>
      <w:r w:rsidRPr="008602B9">
        <w:t xml:space="preserve"> are actively </w:t>
      </w:r>
      <w:proofErr w:type="gramStart"/>
      <w:r w:rsidRPr="008602B9">
        <w:t>participating  in</w:t>
      </w:r>
      <w:proofErr w:type="gramEnd"/>
      <w:r w:rsidRPr="008602B9">
        <w:t xml:space="preserve"> all health iss</w:t>
      </w:r>
      <w:r>
        <w:t>ues related to MNCH(</w:t>
      </w:r>
      <w:r w:rsidRPr="000B60A6">
        <w:t>Maternal</w:t>
      </w:r>
      <w:r>
        <w:rPr>
          <w:rStyle w:val="ilfuvd"/>
        </w:rPr>
        <w:t xml:space="preserve"> Newborn and Child Health)</w:t>
      </w:r>
      <w:r w:rsidRPr="000B60A6">
        <w:t xml:space="preserve"> </w:t>
      </w:r>
      <w:r>
        <w:t xml:space="preserve"> by 2019.</w:t>
      </w:r>
    </w:p>
    <w:p w:rsidR="008602B9" w:rsidRPr="00F26EB5" w:rsidRDefault="00F26EB5" w:rsidP="00F26EB5">
      <w:pPr>
        <w:spacing w:after="26" w:line="480" w:lineRule="auto"/>
        <w:ind w:left="16" w:right="0" w:firstLine="0"/>
        <w:jc w:val="left"/>
        <w:rPr>
          <w:b/>
        </w:rPr>
      </w:pPr>
      <w:r>
        <w:rPr>
          <w:b/>
        </w:rPr>
        <w:t>4.3.1 Output indicator 3</w:t>
      </w:r>
    </w:p>
    <w:p w:rsidR="008602B9" w:rsidRDefault="008602B9" w:rsidP="00DA59FA">
      <w:pPr>
        <w:spacing w:after="26" w:line="480" w:lineRule="auto"/>
        <w:ind w:right="0"/>
        <w:jc w:val="left"/>
      </w:pPr>
      <w:r w:rsidRPr="008602B9">
        <w:t>Proportion of health committees at the health center level conducting regular monthly meetings to discuss health issues</w:t>
      </w:r>
    </w:p>
    <w:p w:rsidR="008602B9" w:rsidRDefault="00F26EB5" w:rsidP="00F26EB5">
      <w:pPr>
        <w:spacing w:after="26" w:line="480" w:lineRule="auto"/>
        <w:ind w:right="0"/>
        <w:jc w:val="left"/>
      </w:pPr>
      <w:r>
        <w:t xml:space="preserve"> Target: 80% by 2019.</w:t>
      </w:r>
    </w:p>
    <w:p w:rsidR="008602B9" w:rsidRPr="00F26EB5" w:rsidRDefault="008602B9" w:rsidP="00F26E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right="0"/>
        <w:jc w:val="left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Impact</w:t>
      </w:r>
    </w:p>
    <w:p w:rsidR="008602B9" w:rsidRPr="00F26EB5" w:rsidRDefault="008602B9" w:rsidP="00F26EB5">
      <w:pPr>
        <w:pStyle w:val="ListParagraph"/>
        <w:numPr>
          <w:ilvl w:val="1"/>
          <w:numId w:val="2"/>
        </w:numPr>
        <w:spacing w:after="26" w:line="480" w:lineRule="auto"/>
        <w:ind w:right="0"/>
        <w:jc w:val="left"/>
        <w:rPr>
          <w:b/>
          <w:lang w:val="en-GB"/>
        </w:rPr>
      </w:pPr>
      <w:r>
        <w:rPr>
          <w:b/>
          <w:lang w:val="en-GB"/>
        </w:rPr>
        <w:t xml:space="preserve">Impact </w:t>
      </w:r>
      <w:r w:rsidRPr="000B60A6">
        <w:rPr>
          <w:b/>
          <w:lang w:val="en-GB"/>
        </w:rPr>
        <w:t xml:space="preserve">1 </w:t>
      </w:r>
    </w:p>
    <w:p w:rsidR="008602B9" w:rsidRPr="00F26EB5" w:rsidRDefault="008602B9" w:rsidP="00F26EB5">
      <w:pPr>
        <w:spacing w:line="480" w:lineRule="auto"/>
        <w:ind w:left="11" w:right="5"/>
      </w:pPr>
      <w:proofErr w:type="gramStart"/>
      <w:r w:rsidRPr="008602B9">
        <w:t xml:space="preserve">Reduced Maternal Mortality </w:t>
      </w:r>
      <w:r>
        <w:t>Ratio.</w:t>
      </w:r>
      <w:proofErr w:type="gramEnd"/>
    </w:p>
    <w:p w:rsidR="008602B9" w:rsidRDefault="00AC020A" w:rsidP="00DA59FA">
      <w:pPr>
        <w:spacing w:after="0" w:line="480" w:lineRule="auto"/>
        <w:ind w:left="0" w:right="0" w:firstLine="0"/>
      </w:pPr>
      <w:r>
        <w:rPr>
          <w:b/>
        </w:rPr>
        <w:t>5.1.1 Output indicator 1</w:t>
      </w:r>
    </w:p>
    <w:p w:rsidR="00AC020A" w:rsidRDefault="00AC020A" w:rsidP="00DA59FA">
      <w:pPr>
        <w:spacing w:after="0" w:line="480" w:lineRule="auto"/>
        <w:ind w:left="0" w:right="0" w:firstLine="0"/>
      </w:pPr>
      <w:proofErr w:type="gramStart"/>
      <w:r>
        <w:t>Reduced m</w:t>
      </w:r>
      <w:r w:rsidRPr="008602B9">
        <w:t>aternal mortality ratio</w:t>
      </w:r>
      <w:r w:rsidR="00F26EB5">
        <w:t>.</w:t>
      </w:r>
      <w:proofErr w:type="gramEnd"/>
    </w:p>
    <w:p w:rsidR="008602B9" w:rsidRPr="00F26EB5" w:rsidRDefault="008602B9" w:rsidP="00F26EB5">
      <w:pPr>
        <w:spacing w:after="0" w:line="480" w:lineRule="auto"/>
        <w:ind w:left="0" w:right="0" w:firstLine="0"/>
      </w:pPr>
      <w:r w:rsidRPr="008602B9">
        <w:t xml:space="preserve">Target: 380/100,000 </w:t>
      </w:r>
      <w:r>
        <w:t>by 2019</w:t>
      </w:r>
    </w:p>
    <w:p w:rsidR="00AC020A" w:rsidRPr="00F26EB5" w:rsidRDefault="008602B9" w:rsidP="00F26EB5">
      <w:pPr>
        <w:pStyle w:val="ListParagraph"/>
        <w:numPr>
          <w:ilvl w:val="1"/>
          <w:numId w:val="2"/>
        </w:numPr>
        <w:spacing w:after="26" w:line="480" w:lineRule="auto"/>
        <w:ind w:right="0"/>
        <w:jc w:val="left"/>
        <w:rPr>
          <w:b/>
          <w:lang w:val="en-GB"/>
        </w:rPr>
      </w:pPr>
      <w:r>
        <w:rPr>
          <w:b/>
          <w:lang w:val="en-GB"/>
        </w:rPr>
        <w:t>Impact 2</w:t>
      </w:r>
      <w:r w:rsidRPr="000B60A6">
        <w:rPr>
          <w:b/>
          <w:lang w:val="en-GB"/>
        </w:rPr>
        <w:t xml:space="preserve"> </w:t>
      </w:r>
    </w:p>
    <w:p w:rsidR="008602B9" w:rsidRDefault="00AC020A" w:rsidP="00F26EB5">
      <w:pPr>
        <w:spacing w:line="480" w:lineRule="auto"/>
        <w:ind w:left="11" w:right="5"/>
        <w:rPr>
          <w:b/>
        </w:rPr>
      </w:pPr>
      <w:r w:rsidRPr="00AC020A">
        <w:t>Reduced Under-5 Mortality Rate from 84 (DHS 201</w:t>
      </w:r>
      <w:r>
        <w:t>6/17</w:t>
      </w:r>
      <w:r w:rsidRPr="00AC020A">
        <w:t>) to 46/1000</w:t>
      </w:r>
      <w:r>
        <w:t xml:space="preserve"> LB by 2019</w:t>
      </w:r>
    </w:p>
    <w:p w:rsidR="00AC020A" w:rsidRPr="00F26EB5" w:rsidRDefault="00AC020A" w:rsidP="00F26EB5">
      <w:pPr>
        <w:spacing w:after="0" w:line="480" w:lineRule="auto"/>
        <w:ind w:left="0" w:right="0" w:firstLine="0"/>
      </w:pPr>
      <w:r>
        <w:rPr>
          <w:b/>
        </w:rPr>
        <w:t>5.2.1 Output indicator 2</w:t>
      </w:r>
    </w:p>
    <w:p w:rsidR="008602B9" w:rsidRPr="00F26EB5" w:rsidRDefault="00AC020A" w:rsidP="00F26EB5">
      <w:pPr>
        <w:spacing w:line="480" w:lineRule="auto"/>
        <w:ind w:left="11" w:right="5"/>
      </w:pPr>
      <w:r w:rsidRPr="00AC020A">
        <w:t>Reduced Under-5 mortality rate</w:t>
      </w:r>
    </w:p>
    <w:p w:rsidR="00AC020A" w:rsidRPr="00F26EB5" w:rsidRDefault="00AC020A" w:rsidP="00F26EB5">
      <w:pPr>
        <w:spacing w:line="480" w:lineRule="auto"/>
        <w:ind w:left="11" w:right="5"/>
      </w:pPr>
      <w:r w:rsidRPr="00AC020A">
        <w:t xml:space="preserve">Target: 46/1000 </w:t>
      </w:r>
      <w:r>
        <w:t xml:space="preserve">by </w:t>
      </w:r>
      <w:r w:rsidRPr="00AC020A">
        <w:t>2019</w:t>
      </w:r>
    </w:p>
    <w:p w:rsidR="00AC020A" w:rsidRPr="00F26EB5" w:rsidRDefault="00AC020A" w:rsidP="00F26EB5">
      <w:pPr>
        <w:pStyle w:val="ListParagraph"/>
        <w:numPr>
          <w:ilvl w:val="1"/>
          <w:numId w:val="2"/>
        </w:numPr>
        <w:spacing w:after="26" w:line="480" w:lineRule="auto"/>
        <w:ind w:right="0"/>
        <w:jc w:val="left"/>
        <w:rPr>
          <w:b/>
          <w:lang w:val="en-GB"/>
        </w:rPr>
      </w:pPr>
      <w:r>
        <w:rPr>
          <w:b/>
          <w:lang w:val="en-GB"/>
        </w:rPr>
        <w:t>Impact 3</w:t>
      </w:r>
    </w:p>
    <w:p w:rsidR="00AC020A" w:rsidRPr="00F26EB5" w:rsidRDefault="00AC020A" w:rsidP="00F26EB5">
      <w:pPr>
        <w:spacing w:line="480" w:lineRule="auto"/>
        <w:ind w:left="11" w:right="5"/>
      </w:pPr>
      <w:r w:rsidRPr="00AC020A">
        <w:t>Reduced preval</w:t>
      </w:r>
      <w:r>
        <w:t xml:space="preserve">ence of underweight in children </w:t>
      </w:r>
      <w:r w:rsidRPr="00AC020A">
        <w:t>less than five years of age</w:t>
      </w:r>
    </w:p>
    <w:p w:rsidR="00AC020A" w:rsidRPr="00F26EB5" w:rsidRDefault="00AC020A" w:rsidP="00F26EB5">
      <w:pPr>
        <w:spacing w:after="0" w:line="480" w:lineRule="auto"/>
        <w:ind w:left="0" w:right="0" w:firstLine="0"/>
      </w:pPr>
      <w:r>
        <w:rPr>
          <w:b/>
        </w:rPr>
        <w:t>5.3.1 Output indicator 3</w:t>
      </w:r>
    </w:p>
    <w:p w:rsidR="00AC020A" w:rsidRPr="00F26EB5" w:rsidRDefault="00AC020A" w:rsidP="00F26EB5">
      <w:pPr>
        <w:spacing w:line="480" w:lineRule="auto"/>
        <w:ind w:left="11" w:right="5"/>
      </w:pPr>
      <w:r w:rsidRPr="00AC020A">
        <w:t>Prevalence of underweight in child</w:t>
      </w:r>
      <w:r w:rsidR="00F26EB5">
        <w:t>ren less than five years of age</w:t>
      </w:r>
    </w:p>
    <w:p w:rsidR="00F26EB5" w:rsidRDefault="00AC020A" w:rsidP="00F26EB5">
      <w:pPr>
        <w:spacing w:line="480" w:lineRule="auto"/>
        <w:ind w:left="11" w:right="5"/>
      </w:pPr>
      <w:r w:rsidRPr="00AC020A">
        <w:t xml:space="preserve">Target: 6 % </w:t>
      </w:r>
      <w:r w:rsidR="00F26EB5">
        <w:t>by 2019</w:t>
      </w:r>
    </w:p>
    <w:p w:rsidR="00F26EB5" w:rsidRDefault="00F26EB5" w:rsidP="00F26EB5">
      <w:pPr>
        <w:spacing w:line="480" w:lineRule="auto"/>
        <w:ind w:left="11" w:right="5"/>
      </w:pPr>
    </w:p>
    <w:p w:rsidR="00F26EB5" w:rsidRDefault="00F26EB5" w:rsidP="00F26EB5">
      <w:pPr>
        <w:spacing w:line="480" w:lineRule="auto"/>
        <w:ind w:left="11" w:right="5"/>
      </w:pPr>
    </w:p>
    <w:p w:rsidR="00F26EB5" w:rsidRPr="00F26EB5" w:rsidRDefault="00F26EB5" w:rsidP="00F26EB5">
      <w:pPr>
        <w:spacing w:line="480" w:lineRule="auto"/>
        <w:ind w:left="11" w:right="5"/>
      </w:pPr>
    </w:p>
    <w:p w:rsidR="00795E43" w:rsidRPr="00F26EB5" w:rsidRDefault="00795E43" w:rsidP="00F26EB5">
      <w:pPr>
        <w:pStyle w:val="ListParagraph"/>
        <w:numPr>
          <w:ilvl w:val="0"/>
          <w:numId w:val="19"/>
        </w:numPr>
        <w:spacing w:line="480" w:lineRule="auto"/>
        <w:ind w:right="5"/>
        <w:rPr>
          <w:b/>
          <w:u w:val="single"/>
        </w:rPr>
      </w:pPr>
      <w:r w:rsidRPr="00F26EB5">
        <w:rPr>
          <w:b/>
          <w:u w:val="single"/>
        </w:rPr>
        <w:lastRenderedPageBreak/>
        <w:t xml:space="preserve">Work-plan and indicator development:  </w:t>
      </w:r>
    </w:p>
    <w:p w:rsidR="00F26EB5" w:rsidRPr="00F26EB5" w:rsidRDefault="00795E43" w:rsidP="00F26EB5">
      <w:pPr>
        <w:spacing w:line="480" w:lineRule="auto"/>
        <w:ind w:left="11" w:right="5"/>
      </w:pPr>
      <w:r>
        <w:t xml:space="preserve">  </w:t>
      </w:r>
      <w:r w:rsidR="00F26EB5">
        <w:rPr>
          <w:b/>
        </w:rPr>
        <w:t>Case Study-</w:t>
      </w:r>
      <w:r w:rsidR="00F26EB5" w:rsidRPr="00F26EB5">
        <w:t xml:space="preserve"> </w:t>
      </w:r>
      <w:r w:rsidR="00F26EB5">
        <w:t>R</w:t>
      </w:r>
      <w:r w:rsidR="00F26EB5">
        <w:t xml:space="preserve">eintegrating </w:t>
      </w:r>
      <w:r w:rsidR="00F26EB5">
        <w:t xml:space="preserve">of </w:t>
      </w:r>
      <w:r w:rsidR="00F26EB5">
        <w:t>returnees</w:t>
      </w:r>
      <w:r w:rsidR="00F26EB5">
        <w:t xml:space="preserve"> in South Sudan</w:t>
      </w:r>
    </w:p>
    <w:tbl>
      <w:tblPr>
        <w:tblpPr w:leftFromText="180" w:rightFromText="180" w:vertAnchor="text" w:horzAnchor="page" w:tblpX="868" w:tblpY="126"/>
        <w:tblW w:w="14310" w:type="dxa"/>
        <w:tblLayout w:type="fixed"/>
        <w:tblLook w:val="04A0" w:firstRow="1" w:lastRow="0" w:firstColumn="1" w:lastColumn="0" w:noHBand="0" w:noVBand="1"/>
      </w:tblPr>
      <w:tblGrid>
        <w:gridCol w:w="6604"/>
        <w:gridCol w:w="1780"/>
        <w:gridCol w:w="1426"/>
        <w:gridCol w:w="779"/>
        <w:gridCol w:w="211"/>
        <w:gridCol w:w="1301"/>
        <w:gridCol w:w="920"/>
        <w:gridCol w:w="1289"/>
      </w:tblGrid>
      <w:tr w:rsidR="00F26EB5" w:rsidRPr="00F26EB5" w:rsidTr="00F26EB5">
        <w:trPr>
          <w:trHeight w:val="225"/>
        </w:trPr>
        <w:tc>
          <w:tcPr>
            <w:tcW w:w="98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</w:p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Objectives: To ensure that returnees of South Sudanese origin are reintegrated into their original family systems.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80"/>
        </w:trPr>
        <w:tc>
          <w:tcPr>
            <w:tcW w:w="6604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  <w:tc>
          <w:tcPr>
            <w:tcW w:w="321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4DFEC"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2019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000000" w:fill="E4DFEC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RPr="00F26EB5">
              <w:rPr>
                <w:color w:val="FFFFFF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670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9CC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EB5">
              <w:rPr>
                <w:b/>
                <w:bCs/>
                <w:color w:val="auto"/>
                <w:sz w:val="20"/>
                <w:szCs w:val="20"/>
              </w:rPr>
              <w:t>Acivities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Output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Activity target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JAN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FEB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MAR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Resources</w:t>
            </w:r>
          </w:p>
        </w:tc>
      </w:tr>
      <w:tr w:rsidR="00F26EB5" w:rsidRPr="00F26EB5" w:rsidTr="00F26EB5">
        <w:trPr>
          <w:trHeight w:val="26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i/>
                <w:iCs/>
                <w:color w:val="auto"/>
                <w:sz w:val="20"/>
                <w:szCs w:val="20"/>
              </w:rPr>
              <w:t>1.1 Community participation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308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1.1.1 Community mobilization for participation in trainings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Community mobilized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All village elders, opinion leaders, pastors, youth and vigilante groups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and workshops</w:t>
            </w:r>
          </w:p>
        </w:tc>
      </w:tr>
      <w:tr w:rsidR="00F26EB5" w:rsidRPr="00F26EB5" w:rsidTr="00F26EB5">
        <w:trPr>
          <w:trHeight w:val="91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1.1.2 Group meetings for returnees on family reintegration and reunion.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held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All village elders, opinion leaders, pastors, youth and vigilante groups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and workshops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i/>
                <w:iCs/>
                <w:color w:val="auto"/>
                <w:sz w:val="20"/>
                <w:szCs w:val="20"/>
              </w:rPr>
              <w:t>1.2 Trainings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94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 1.2.1 Trainings in family reunions and reintegration.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Community trained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All village elders, opinion leaders, pastors, youth and vigilante groups 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and workshops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i/>
                <w:iCs/>
                <w:color w:val="auto"/>
                <w:sz w:val="20"/>
                <w:szCs w:val="20"/>
              </w:rPr>
              <w:t>1.3 Agriculture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480"/>
        </w:trPr>
        <w:tc>
          <w:tcPr>
            <w:tcW w:w="6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1.3.1 Provision agricultural land.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Returnees have access to agricultural land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80% of the population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540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1.3.2 Provision </w:t>
            </w:r>
            <w:proofErr w:type="gramStart"/>
            <w:r w:rsidRPr="00F26EB5">
              <w:rPr>
                <w:color w:val="auto"/>
                <w:sz w:val="20"/>
                <w:szCs w:val="20"/>
              </w:rPr>
              <w:t>of  tools</w:t>
            </w:r>
            <w:proofErr w:type="gramEnd"/>
            <w:r w:rsidRPr="00F26EB5">
              <w:rPr>
                <w:color w:val="auto"/>
                <w:sz w:val="20"/>
                <w:szCs w:val="20"/>
              </w:rPr>
              <w:t xml:space="preserve"> for land cultivation.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Returnees have access to agricultural land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80% of the population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555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1.3.3 Provision of seeds and fertilizers.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Returnees have access to agricultural land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80% of the population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i/>
                <w:iCs/>
                <w:color w:val="auto"/>
                <w:sz w:val="20"/>
                <w:szCs w:val="20"/>
              </w:rPr>
              <w:t>1.4 Savings and Credit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52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lastRenderedPageBreak/>
              <w:t>1.4.1 Support for the formation of new savings and credit groups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New savings and credit groups formed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100 groups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&amp; Workshops</w:t>
            </w:r>
          </w:p>
        </w:tc>
      </w:tr>
      <w:tr w:rsidR="00F26EB5" w:rsidRPr="00F26EB5" w:rsidTr="00F26EB5">
        <w:trPr>
          <w:trHeight w:val="46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1.4.2 Training of existing and newly formed saving and credit groups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Credit groups trained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100 groups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&amp; Workshops</w:t>
            </w:r>
          </w:p>
        </w:tc>
      </w:tr>
      <w:tr w:rsidR="00F26EB5" w:rsidRPr="00F26EB5" w:rsidTr="00F26EB5">
        <w:trPr>
          <w:trHeight w:val="46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1.4.3 On-going advice and facilitation for group operations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Advice and facilitation for group operations undertaken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100 groups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&amp; Workshops</w:t>
            </w:r>
          </w:p>
        </w:tc>
      </w:tr>
      <w:tr w:rsidR="00F26EB5" w:rsidRPr="00F26EB5" w:rsidTr="00F26EB5">
        <w:trPr>
          <w:trHeight w:val="540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1.4.4 Support for audits of savings and credit groups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Groups audited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101 groups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Meetings &amp; Workshops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i/>
                <w:i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i/>
                <w:iCs/>
                <w:color w:val="auto"/>
                <w:sz w:val="20"/>
                <w:szCs w:val="20"/>
              </w:rPr>
              <w:t> 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9694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435"/>
        </w:trPr>
        <w:tc>
          <w:tcPr>
            <w:tcW w:w="66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2019</w:t>
            </w:r>
          </w:p>
        </w:tc>
        <w:tc>
          <w:tcPr>
            <w:tcW w:w="32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Dec-18</w:t>
            </w:r>
          </w:p>
        </w:tc>
        <w:tc>
          <w:tcPr>
            <w:tcW w:w="321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Jan-Mar 2019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Currency in SSP</w:t>
            </w:r>
          </w:p>
        </w:tc>
      </w:tr>
      <w:tr w:rsidR="00F26EB5" w:rsidRPr="00F26EB5" w:rsidTr="00F26EB5">
        <w:trPr>
          <w:trHeight w:val="855"/>
        </w:trPr>
        <w:tc>
          <w:tcPr>
            <w:tcW w:w="66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CC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center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FINANCIAL SUMMARY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 xml:space="preserve">Appropriated  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Projected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Brought Forward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 xml:space="preserve">  Appropriated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Total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Balance to Carry forward to April 2019</w:t>
            </w:r>
          </w:p>
        </w:tc>
      </w:tr>
      <w:tr w:rsidR="00F26EB5" w:rsidRPr="00F26EB5" w:rsidTr="00F26EB5">
        <w:trPr>
          <w:trHeight w:val="337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9CC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F26EB5">
              <w:rPr>
                <w:b/>
                <w:bCs/>
                <w:color w:val="auto"/>
                <w:sz w:val="20"/>
                <w:szCs w:val="20"/>
              </w:rPr>
              <w:t>Programme</w:t>
            </w:r>
            <w:proofErr w:type="spellEnd"/>
            <w:r w:rsidRPr="00F26EB5">
              <w:rPr>
                <w:b/>
                <w:bCs/>
                <w:color w:val="auto"/>
                <w:sz w:val="20"/>
                <w:szCs w:val="20"/>
              </w:rPr>
              <w:t xml:space="preserve"> Component: Returnees Reintegration and Improving Their Livelihood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0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50000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50000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7000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Community mobilization for participation in trainings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1000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65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Group meetings for returnees on family reintegration and reunion.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4000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Trainings in family reunions and reintegration.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8000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310"/>
        </w:trPr>
        <w:tc>
          <w:tcPr>
            <w:tcW w:w="6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Provision agricultural land.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1500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3000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 xml:space="preserve">Provision </w:t>
            </w:r>
            <w:proofErr w:type="gramStart"/>
            <w:r w:rsidRPr="00F26EB5">
              <w:rPr>
                <w:color w:val="auto"/>
                <w:sz w:val="20"/>
                <w:szCs w:val="20"/>
              </w:rPr>
              <w:t>of  tools</w:t>
            </w:r>
            <w:proofErr w:type="gramEnd"/>
            <w:r w:rsidRPr="00F26EB5">
              <w:rPr>
                <w:color w:val="auto"/>
                <w:sz w:val="20"/>
                <w:szCs w:val="20"/>
              </w:rPr>
              <w:t xml:space="preserve"> for land cultivation.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3000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112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Provision of seeds and fertilizers.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9000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420"/>
        </w:trPr>
        <w:tc>
          <w:tcPr>
            <w:tcW w:w="66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Support for the formation of new savings and credit groups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3000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330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Training of existing and newly formed saving and credit groups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6000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5000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92"/>
        </w:trPr>
        <w:tc>
          <w:tcPr>
            <w:tcW w:w="66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On-going advice and facilitation for group operations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4000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25"/>
        </w:trPr>
        <w:tc>
          <w:tcPr>
            <w:tcW w:w="660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Support for audits of savings and credit groups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color w:val="auto"/>
                <w:sz w:val="20"/>
                <w:szCs w:val="20"/>
              </w:rPr>
            </w:pPr>
            <w:r w:rsidRPr="00F26EB5">
              <w:rPr>
                <w:color w:val="auto"/>
                <w:sz w:val="20"/>
                <w:szCs w:val="20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3000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color w:val="auto"/>
                <w:sz w:val="20"/>
                <w:szCs w:val="20"/>
              </w:rPr>
            </w:pPr>
            <w:r w:rsidRPr="00F26EB5">
              <w:rPr>
                <w:b/>
                <w:bCs/>
                <w:color w:val="auto"/>
                <w:sz w:val="20"/>
                <w:szCs w:val="20"/>
              </w:rPr>
              <w:t> </w:t>
            </w:r>
          </w:p>
        </w:tc>
      </w:tr>
      <w:tr w:rsidR="00F26EB5" w:rsidRPr="00F26EB5" w:rsidTr="00F26EB5">
        <w:trPr>
          <w:trHeight w:val="240"/>
        </w:trPr>
        <w:tc>
          <w:tcPr>
            <w:tcW w:w="660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b/>
                <w:bCs/>
                <w:sz w:val="20"/>
                <w:szCs w:val="20"/>
              </w:rPr>
            </w:pPr>
            <w:r w:rsidRPr="00F26EB5">
              <w:rPr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 </w:t>
            </w:r>
          </w:p>
        </w:tc>
        <w:tc>
          <w:tcPr>
            <w:tcW w:w="15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31500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43000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26EB5" w:rsidRPr="00F26EB5" w:rsidRDefault="00F26EB5" w:rsidP="00F26EB5">
            <w:pPr>
              <w:spacing w:after="0" w:line="48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F26EB5">
              <w:rPr>
                <w:sz w:val="20"/>
                <w:szCs w:val="20"/>
              </w:rPr>
              <w:t> </w:t>
            </w:r>
          </w:p>
        </w:tc>
      </w:tr>
    </w:tbl>
    <w:p w:rsidR="00F17598" w:rsidRDefault="00F17598" w:rsidP="00F26EB5">
      <w:pPr>
        <w:spacing w:line="480" w:lineRule="auto"/>
        <w:ind w:left="0" w:firstLine="0"/>
      </w:pPr>
    </w:p>
    <w:p w:rsidR="00F17598" w:rsidRDefault="00F17598" w:rsidP="00DA59FA">
      <w:pPr>
        <w:spacing w:line="480" w:lineRule="auto"/>
      </w:pPr>
    </w:p>
    <w:p w:rsidR="00F17598" w:rsidRDefault="00F17598" w:rsidP="00DA59FA">
      <w:pPr>
        <w:spacing w:line="480" w:lineRule="auto"/>
      </w:pPr>
    </w:p>
    <w:p w:rsidR="00F17598" w:rsidRDefault="00F17598" w:rsidP="00DA59FA">
      <w:pPr>
        <w:spacing w:line="480" w:lineRule="auto"/>
      </w:pPr>
    </w:p>
    <w:p w:rsidR="00F17598" w:rsidRDefault="00F17598" w:rsidP="00DA59FA">
      <w:pPr>
        <w:spacing w:line="480" w:lineRule="auto"/>
      </w:pPr>
    </w:p>
    <w:p w:rsidR="00F17598" w:rsidRDefault="00F17598" w:rsidP="00A22C24">
      <w:pPr>
        <w:spacing w:line="480" w:lineRule="auto"/>
        <w:ind w:left="0" w:firstLine="0"/>
      </w:pPr>
    </w:p>
    <w:p w:rsidR="00F17598" w:rsidRDefault="00F17598" w:rsidP="00A22C24">
      <w:pPr>
        <w:tabs>
          <w:tab w:val="left" w:pos="945"/>
        </w:tabs>
        <w:spacing w:line="480" w:lineRule="auto"/>
        <w:ind w:left="0" w:firstLine="0"/>
      </w:pPr>
    </w:p>
    <w:p w:rsidR="00A22C24" w:rsidRDefault="00A22C24" w:rsidP="00A22C24">
      <w:pPr>
        <w:tabs>
          <w:tab w:val="left" w:pos="945"/>
        </w:tabs>
        <w:spacing w:line="480" w:lineRule="auto"/>
        <w:ind w:left="0" w:firstLine="0"/>
      </w:pPr>
    </w:p>
    <w:p w:rsidR="00A22C24" w:rsidRDefault="00A22C24" w:rsidP="00A22C24">
      <w:pPr>
        <w:ind w:left="0" w:firstLine="0"/>
      </w:pPr>
    </w:p>
    <w:p w:rsidR="00A22C24" w:rsidRPr="00F26EB5" w:rsidRDefault="00A22C24" w:rsidP="00A22C24">
      <w:pPr>
        <w:pStyle w:val="ListParagraph"/>
        <w:numPr>
          <w:ilvl w:val="0"/>
          <w:numId w:val="19"/>
        </w:numPr>
        <w:spacing w:line="480" w:lineRule="auto"/>
        <w:ind w:right="5"/>
        <w:rPr>
          <w:b/>
          <w:u w:val="single"/>
        </w:rPr>
      </w:pPr>
      <w:r>
        <w:rPr>
          <w:b/>
          <w:u w:val="single"/>
        </w:rPr>
        <w:t>References</w:t>
      </w:r>
    </w:p>
    <w:p w:rsidR="00A22C24" w:rsidRDefault="00A22C24" w:rsidP="00A22C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szCs w:val="24"/>
        </w:rPr>
      </w:pPr>
    </w:p>
    <w:p w:rsidR="00A22C24" w:rsidRDefault="00A22C24" w:rsidP="00A22C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szCs w:val="24"/>
        </w:rPr>
      </w:pPr>
    </w:p>
    <w:p w:rsidR="00A22C24" w:rsidRDefault="00A22C24" w:rsidP="00A22C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b/>
          <w:bCs/>
          <w:szCs w:val="24"/>
        </w:rPr>
      </w:pPr>
      <w:r>
        <w:rPr>
          <w:rFonts w:eastAsiaTheme="minorHAnsi"/>
          <w:szCs w:val="24"/>
        </w:rPr>
        <w:t>Boise State University Training Program</w:t>
      </w:r>
      <w:r>
        <w:rPr>
          <w:rFonts w:eastAsiaTheme="minorHAnsi"/>
          <w:b/>
          <w:bCs/>
          <w:szCs w:val="24"/>
        </w:rPr>
        <w:t>. Performance Management –Creating Smart Objectives:</w:t>
      </w:r>
    </w:p>
    <w:p w:rsidR="00A22C24" w:rsidRDefault="00A22C24" w:rsidP="00A22C24">
      <w:pPr>
        <w:tabs>
          <w:tab w:val="left" w:pos="1170"/>
        </w:tabs>
      </w:pPr>
      <w:r>
        <w:rPr>
          <w:rFonts w:eastAsiaTheme="minorHAnsi"/>
          <w:b/>
          <w:bCs/>
          <w:szCs w:val="24"/>
        </w:rPr>
        <w:t xml:space="preserve">Participant Guide. </w:t>
      </w:r>
      <w:r>
        <w:rPr>
          <w:rFonts w:eastAsiaTheme="minorHAnsi"/>
          <w:szCs w:val="24"/>
        </w:rPr>
        <w:t xml:space="preserve">April 24, 2007. </w:t>
      </w:r>
      <w:r>
        <w:rPr>
          <w:rFonts w:eastAsiaTheme="minorHAnsi"/>
          <w:color w:val="0000FF"/>
          <w:szCs w:val="24"/>
        </w:rPr>
        <w:t>http://hrs.boisestate.edu/td/pdf/SMARTgoals.pdf</w:t>
      </w:r>
    </w:p>
    <w:p w:rsidR="00A22C24" w:rsidRPr="00A22C24" w:rsidRDefault="00A22C24" w:rsidP="00A22C24"/>
    <w:p w:rsidR="00A22C24" w:rsidRPr="00A22C24" w:rsidRDefault="00A22C24" w:rsidP="00A22C24"/>
    <w:p w:rsidR="00A22C24" w:rsidRDefault="00A22C24" w:rsidP="00A22C24"/>
    <w:p w:rsidR="00A22C24" w:rsidRDefault="00A22C24" w:rsidP="00A22C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szCs w:val="24"/>
        </w:rPr>
      </w:pPr>
      <w:r>
        <w:rPr>
          <w:rFonts w:eastAsiaTheme="minorHAnsi"/>
          <w:b/>
          <w:bCs/>
          <w:szCs w:val="24"/>
        </w:rPr>
        <w:t>Writing SMART goals – part 3. The Performance Management Evolution</w:t>
      </w:r>
      <w:r>
        <w:rPr>
          <w:rFonts w:eastAsiaTheme="minorHAnsi"/>
          <w:szCs w:val="24"/>
        </w:rPr>
        <w:t>. May 11, 2006.</w:t>
      </w:r>
    </w:p>
    <w:p w:rsidR="00A22C24" w:rsidRDefault="00A22C24" w:rsidP="00A22C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color w:val="0000FF"/>
          <w:szCs w:val="24"/>
        </w:rPr>
      </w:pPr>
      <w:r>
        <w:rPr>
          <w:rFonts w:eastAsiaTheme="minorHAnsi"/>
          <w:color w:val="0000FF"/>
          <w:szCs w:val="24"/>
        </w:rPr>
        <w:t>http://performanceevolution.wordpress.com/2006/05/11/writing-smart-goals-%E2%80%93-part-</w:t>
      </w:r>
    </w:p>
    <w:p w:rsidR="00A22C24" w:rsidRDefault="00A22C24" w:rsidP="00A22C24">
      <w:r>
        <w:rPr>
          <w:rFonts w:eastAsiaTheme="minorHAnsi"/>
          <w:color w:val="0000FF"/>
          <w:szCs w:val="24"/>
        </w:rPr>
        <w:t>3/</w:t>
      </w:r>
    </w:p>
    <w:p w:rsidR="00A22C24" w:rsidRPr="00A22C24" w:rsidRDefault="00A22C24" w:rsidP="00A22C24">
      <w:pPr>
        <w:ind w:left="0" w:firstLine="0"/>
        <w:rPr>
          <w:rFonts w:eastAsiaTheme="minorHAnsi"/>
          <w:b/>
          <w:bCs/>
          <w:szCs w:val="24"/>
        </w:rPr>
      </w:pPr>
    </w:p>
    <w:p w:rsidR="00A22C24" w:rsidRPr="00A22C24" w:rsidRDefault="00A22C24" w:rsidP="00A22C24">
      <w:pPr>
        <w:pStyle w:val="Default"/>
        <w:rPr>
          <w:rFonts w:ascii="Cambria" w:hAnsi="Cambria" w:cs="Cambria"/>
        </w:rPr>
      </w:pPr>
      <w:r w:rsidRPr="00A22C24">
        <w:rPr>
          <w:rFonts w:ascii="Times New Roman" w:hAnsi="Times New Roman" w:cs="Times New Roman"/>
          <w:b/>
          <w:bCs/>
        </w:rPr>
        <w:t xml:space="preserve">Ministry of state for Planning National Development </w:t>
      </w:r>
      <w:r w:rsidRPr="00A22C24">
        <w:rPr>
          <w:b/>
          <w:bCs/>
        </w:rPr>
        <w:t>&amp; vision 2030</w:t>
      </w:r>
      <w:r>
        <w:rPr>
          <w:b/>
          <w:bCs/>
        </w:rPr>
        <w:t>.</w:t>
      </w:r>
      <w:r w:rsidRPr="00A22C24">
        <w:rPr>
          <w:i/>
          <w:iCs/>
          <w:sz w:val="20"/>
          <w:szCs w:val="20"/>
        </w:rPr>
        <w:t xml:space="preserve"> </w:t>
      </w:r>
      <w:r w:rsidRPr="00A22C24">
        <w:rPr>
          <w:rFonts w:ascii="Times New Roman" w:hAnsi="Times New Roman" w:cs="Times New Roman"/>
        </w:rPr>
        <w:t>PALWECO – Annual Work Plan</w:t>
      </w:r>
      <w:r>
        <w:rPr>
          <w:rFonts w:ascii="Times New Roman" w:hAnsi="Times New Roman" w:cs="Times New Roman"/>
        </w:rPr>
        <w:t>.</w:t>
      </w:r>
      <w:r w:rsidRPr="00A22C24">
        <w:rPr>
          <w:rFonts w:ascii="Times New Roman" w:hAnsi="Times New Roman" w:cs="Times New Roman"/>
        </w:rPr>
        <w:t xml:space="preserve"> July</w:t>
      </w:r>
      <w:r>
        <w:rPr>
          <w:rFonts w:ascii="Times New Roman" w:hAnsi="Times New Roman" w:cs="Times New Roman"/>
        </w:rPr>
        <w:t>, 2012,</w:t>
      </w:r>
      <w:r w:rsidRPr="00A22C24">
        <w:rPr>
          <w:rFonts w:ascii="Cambria" w:hAnsi="Cambria" w:cs="Cambria"/>
        </w:rPr>
        <w:t xml:space="preserve"> </w:t>
      </w:r>
    </w:p>
    <w:p w:rsidR="00A22C24" w:rsidRPr="00A22C24" w:rsidRDefault="00A22C24" w:rsidP="00A22C2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HAnsi"/>
          <w:szCs w:val="24"/>
        </w:rPr>
      </w:pPr>
      <w:r w:rsidRPr="00A22C24">
        <w:rPr>
          <w:rFonts w:eastAsiaTheme="minorHAnsi"/>
          <w:szCs w:val="24"/>
        </w:rPr>
        <w:t xml:space="preserve"> Prepared by the Programme Support Unit (PSU) in conjunction with District Technical Committees. </w:t>
      </w:r>
    </w:p>
    <w:sectPr w:rsidR="00A22C24" w:rsidRPr="00A22C24" w:rsidSect="00F17598">
      <w:headerReference w:type="default" r:id="rId9"/>
      <w:pgSz w:w="15309" w:h="22107" w:code="196"/>
      <w:pgMar w:top="1442" w:right="1438" w:bottom="1720" w:left="142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99B" w:rsidRDefault="0020799B" w:rsidP="00DA59FA">
      <w:pPr>
        <w:spacing w:after="0" w:line="240" w:lineRule="auto"/>
      </w:pPr>
      <w:r>
        <w:separator/>
      </w:r>
    </w:p>
  </w:endnote>
  <w:endnote w:type="continuationSeparator" w:id="0">
    <w:p w:rsidR="0020799B" w:rsidRDefault="0020799B" w:rsidP="00DA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99B" w:rsidRDefault="0020799B" w:rsidP="00DA59FA">
      <w:pPr>
        <w:spacing w:after="0" w:line="240" w:lineRule="auto"/>
      </w:pPr>
      <w:r>
        <w:separator/>
      </w:r>
    </w:p>
  </w:footnote>
  <w:footnote w:type="continuationSeparator" w:id="0">
    <w:p w:rsidR="0020799B" w:rsidRDefault="0020799B" w:rsidP="00DA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23268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DA59FA" w:rsidRDefault="00DA59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00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59FA" w:rsidRDefault="00DA59FA">
    <w:pPr>
      <w:pStyle w:val="Header"/>
    </w:pPr>
    <w:r>
      <w:t>MONITORING AND EVALUATION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2B9"/>
    <w:multiLevelType w:val="hybridMultilevel"/>
    <w:tmpl w:val="986272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42DBF"/>
    <w:multiLevelType w:val="hybridMultilevel"/>
    <w:tmpl w:val="88081EEC"/>
    <w:lvl w:ilvl="0" w:tplc="04090013">
      <w:start w:val="1"/>
      <w:numFmt w:val="upperRoman"/>
      <w:lvlText w:val="%1."/>
      <w:lvlJc w:val="righ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0251BC9"/>
    <w:multiLevelType w:val="hybridMultilevel"/>
    <w:tmpl w:val="3BE2D752"/>
    <w:lvl w:ilvl="0" w:tplc="F98ACA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A3E9F"/>
    <w:multiLevelType w:val="hybridMultilevel"/>
    <w:tmpl w:val="4448F806"/>
    <w:lvl w:ilvl="0" w:tplc="F98ACAF6">
      <w:start w:val="1"/>
      <w:numFmt w:val="bullet"/>
      <w:lvlText w:val="­"/>
      <w:lvlJc w:val="left"/>
      <w:pPr>
        <w:ind w:left="72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>
    <w:nsid w:val="127C415C"/>
    <w:multiLevelType w:val="hybridMultilevel"/>
    <w:tmpl w:val="1A34BF30"/>
    <w:lvl w:ilvl="0" w:tplc="A36CD0A6">
      <w:start w:val="1"/>
      <w:numFmt w:val="lowerLetter"/>
      <w:lvlText w:val="%1."/>
      <w:lvlJc w:val="left"/>
      <w:pPr>
        <w:ind w:left="54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5">
    <w:nsid w:val="27081FF4"/>
    <w:multiLevelType w:val="hybridMultilevel"/>
    <w:tmpl w:val="2F16BE68"/>
    <w:lvl w:ilvl="0" w:tplc="F98ACAF6">
      <w:start w:val="1"/>
      <w:numFmt w:val="bullet"/>
      <w:lvlText w:val="­"/>
      <w:lvlJc w:val="left"/>
      <w:pPr>
        <w:ind w:left="72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38710CC4"/>
    <w:multiLevelType w:val="hybridMultilevel"/>
    <w:tmpl w:val="E132E2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B5D5E"/>
    <w:multiLevelType w:val="hybridMultilevel"/>
    <w:tmpl w:val="CE9E3A14"/>
    <w:lvl w:ilvl="0" w:tplc="B4A81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B0AA5"/>
    <w:multiLevelType w:val="hybridMultilevel"/>
    <w:tmpl w:val="45729B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B3BF4"/>
    <w:multiLevelType w:val="multilevel"/>
    <w:tmpl w:val="E3D04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CE117B4"/>
    <w:multiLevelType w:val="hybridMultilevel"/>
    <w:tmpl w:val="04C2D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15719"/>
    <w:multiLevelType w:val="hybridMultilevel"/>
    <w:tmpl w:val="5EBCC6A8"/>
    <w:lvl w:ilvl="0" w:tplc="F98ACAF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725C9"/>
    <w:multiLevelType w:val="multilevel"/>
    <w:tmpl w:val="E3D04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42716A5"/>
    <w:multiLevelType w:val="hybridMultilevel"/>
    <w:tmpl w:val="C958B2CC"/>
    <w:lvl w:ilvl="0" w:tplc="E6C6C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A06D0">
      <w:start w:val="148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301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63B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05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ED6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2E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A72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F01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2173D6"/>
    <w:multiLevelType w:val="hybridMultilevel"/>
    <w:tmpl w:val="3252F008"/>
    <w:lvl w:ilvl="0" w:tplc="F24E26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0677C2">
      <w:start w:val="1486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ADE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CE35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BC8C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9280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47C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8E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AC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5017CA"/>
    <w:multiLevelType w:val="hybridMultilevel"/>
    <w:tmpl w:val="91DE755A"/>
    <w:lvl w:ilvl="0" w:tplc="734454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C16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801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0B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B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81D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CD3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4F8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249C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DC6017"/>
    <w:multiLevelType w:val="multilevel"/>
    <w:tmpl w:val="E3D04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78D1447F"/>
    <w:multiLevelType w:val="multilevel"/>
    <w:tmpl w:val="E3D04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98D6216"/>
    <w:multiLevelType w:val="hybridMultilevel"/>
    <w:tmpl w:val="64244516"/>
    <w:lvl w:ilvl="0" w:tplc="DCF8D4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0D6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60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68F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5D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28DE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6AE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2A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21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A33216"/>
    <w:multiLevelType w:val="hybridMultilevel"/>
    <w:tmpl w:val="66461B54"/>
    <w:lvl w:ilvl="0" w:tplc="CA14EB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472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5E67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458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AC8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6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C6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BC34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6C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9"/>
  </w:num>
  <w:num w:numId="5">
    <w:abstractNumId w:val="17"/>
  </w:num>
  <w:num w:numId="6">
    <w:abstractNumId w:val="19"/>
  </w:num>
  <w:num w:numId="7">
    <w:abstractNumId w:val="18"/>
  </w:num>
  <w:num w:numId="8">
    <w:abstractNumId w:val="13"/>
  </w:num>
  <w:num w:numId="9">
    <w:abstractNumId w:val="15"/>
  </w:num>
  <w:num w:numId="10">
    <w:abstractNumId w:val="14"/>
  </w:num>
  <w:num w:numId="11">
    <w:abstractNumId w:val="1"/>
  </w:num>
  <w:num w:numId="12">
    <w:abstractNumId w:val="6"/>
  </w:num>
  <w:num w:numId="13">
    <w:abstractNumId w:val="0"/>
  </w:num>
  <w:num w:numId="14">
    <w:abstractNumId w:val="2"/>
  </w:num>
  <w:num w:numId="15">
    <w:abstractNumId w:val="11"/>
  </w:num>
  <w:num w:numId="16">
    <w:abstractNumId w:val="3"/>
  </w:num>
  <w:num w:numId="17">
    <w:abstractNumId w:val="5"/>
  </w:num>
  <w:num w:numId="18">
    <w:abstractNumId w:val="4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43"/>
    <w:rsid w:val="00066F11"/>
    <w:rsid w:val="000B60A6"/>
    <w:rsid w:val="000F79D7"/>
    <w:rsid w:val="001C1694"/>
    <w:rsid w:val="001C2379"/>
    <w:rsid w:val="0020799B"/>
    <w:rsid w:val="00223F94"/>
    <w:rsid w:val="00407938"/>
    <w:rsid w:val="00593565"/>
    <w:rsid w:val="00795E43"/>
    <w:rsid w:val="008602B9"/>
    <w:rsid w:val="009346B7"/>
    <w:rsid w:val="00991B98"/>
    <w:rsid w:val="00A22C24"/>
    <w:rsid w:val="00A633A8"/>
    <w:rsid w:val="00AC020A"/>
    <w:rsid w:val="00B10F3E"/>
    <w:rsid w:val="00BF51DC"/>
    <w:rsid w:val="00C300FC"/>
    <w:rsid w:val="00D431E5"/>
    <w:rsid w:val="00DA59FA"/>
    <w:rsid w:val="00F17598"/>
    <w:rsid w:val="00F2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43"/>
    <w:pPr>
      <w:spacing w:after="5" w:line="25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A8"/>
    <w:pPr>
      <w:ind w:left="720"/>
      <w:contextualSpacing/>
    </w:pPr>
  </w:style>
  <w:style w:type="character" w:customStyle="1" w:styleId="ilfuvd">
    <w:name w:val="ilfuvd"/>
    <w:basedOn w:val="DefaultParagraphFont"/>
    <w:rsid w:val="008602B9"/>
  </w:style>
  <w:style w:type="paragraph" w:styleId="NormalWeb">
    <w:name w:val="Normal (Web)"/>
    <w:basedOn w:val="Normal"/>
    <w:uiPriority w:val="99"/>
    <w:semiHidden/>
    <w:unhideWhenUsed/>
    <w:rsid w:val="00F1759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F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A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FA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Default">
    <w:name w:val="Default"/>
    <w:rsid w:val="00A22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43"/>
    <w:pPr>
      <w:spacing w:after="5" w:line="25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A8"/>
    <w:pPr>
      <w:ind w:left="720"/>
      <w:contextualSpacing/>
    </w:pPr>
  </w:style>
  <w:style w:type="character" w:customStyle="1" w:styleId="ilfuvd">
    <w:name w:val="ilfuvd"/>
    <w:basedOn w:val="DefaultParagraphFont"/>
    <w:rsid w:val="008602B9"/>
  </w:style>
  <w:style w:type="paragraph" w:styleId="NormalWeb">
    <w:name w:val="Normal (Web)"/>
    <w:basedOn w:val="Normal"/>
    <w:uiPriority w:val="99"/>
    <w:semiHidden/>
    <w:unhideWhenUsed/>
    <w:rsid w:val="00F1759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F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A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FA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Default">
    <w:name w:val="Default"/>
    <w:rsid w:val="00A22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550">
          <w:marLeft w:val="547"/>
          <w:marRight w:val="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623">
          <w:marLeft w:val="547"/>
          <w:marRight w:val="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685">
          <w:marLeft w:val="547"/>
          <w:marRight w:val="0"/>
          <w:marTop w:val="13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389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134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26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846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456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904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945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59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994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80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301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600">
          <w:marLeft w:val="1166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265">
          <w:marLeft w:val="547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751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527">
          <w:marLeft w:val="547"/>
          <w:marRight w:val="0"/>
          <w:marTop w:val="154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985">
          <w:marLeft w:val="1166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342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629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187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276">
          <w:marLeft w:val="547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4A7E9-782D-4B1D-A212-C45A19F5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.</cp:lastModifiedBy>
  <cp:revision>3</cp:revision>
  <dcterms:created xsi:type="dcterms:W3CDTF">2018-09-30T15:19:00Z</dcterms:created>
  <dcterms:modified xsi:type="dcterms:W3CDTF">2018-09-30T15:19:00Z</dcterms:modified>
</cp:coreProperties>
</file>