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47" w:rsidRDefault="00060658">
      <w:pPr>
        <w:jc w:val="center"/>
        <w:rPr>
          <w:rFonts w:ascii="宋体" w:eastAsia="宋体" w:hAnsi="宋体" w:cs="宋体"/>
          <w:b/>
          <w:bCs/>
          <w:sz w:val="32"/>
          <w:szCs w:val="40"/>
        </w:rPr>
      </w:pPr>
      <w:r>
        <w:rPr>
          <w:rFonts w:ascii="宋体" w:eastAsia="宋体" w:hAnsi="宋体" w:cs="宋体" w:hint="eastAsia"/>
          <w:b/>
          <w:bCs/>
          <w:sz w:val="32"/>
          <w:szCs w:val="40"/>
        </w:rPr>
        <w:t xml:space="preserve"> </w:t>
      </w:r>
      <w:r w:rsidR="00216099">
        <w:rPr>
          <w:rFonts w:ascii="宋体" w:eastAsia="宋体" w:hAnsi="宋体" w:cs="宋体" w:hint="eastAsia"/>
          <w:b/>
          <w:bCs/>
          <w:sz w:val="32"/>
          <w:szCs w:val="40"/>
        </w:rPr>
        <w:t>3500(I)改进和完善</w:t>
      </w:r>
    </w:p>
    <w:p w:rsidR="001F5547" w:rsidRDefault="0021609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提出人：赖晖</w:t>
      </w:r>
    </w:p>
    <w:p w:rsidR="001F5547" w:rsidRDefault="0021609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时间：2017-12-21</w:t>
      </w:r>
    </w:p>
    <w:p w:rsidR="001F5547" w:rsidRDefault="00216099">
      <w:pPr>
        <w:numPr>
          <w:ilvl w:val="0"/>
          <w:numId w:val="1"/>
        </w:numPr>
        <w:spacing w:line="360" w:lineRule="auto"/>
        <w:ind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自动检测</w:t>
      </w:r>
    </w:p>
    <w:p w:rsidR="001F5547" w:rsidRPr="00742262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742262">
        <w:rPr>
          <w:rFonts w:ascii="宋体" w:eastAsia="宋体" w:hAnsi="宋体" w:cs="宋体" w:hint="eastAsia"/>
          <w:sz w:val="24"/>
          <w:highlight w:val="yellow"/>
        </w:rPr>
        <w:t>任务列表中，只能出现当天（或指定几天的任务数据），根据是否检测排序，未检测的排在前面，</w:t>
      </w:r>
      <w:proofErr w:type="gramStart"/>
      <w:r w:rsidRPr="00742262">
        <w:rPr>
          <w:rFonts w:ascii="宋体" w:eastAsia="宋体" w:hAnsi="宋体" w:cs="宋体" w:hint="eastAsia"/>
          <w:sz w:val="24"/>
          <w:highlight w:val="yellow"/>
        </w:rPr>
        <w:t>已检的</w:t>
      </w:r>
      <w:proofErr w:type="gramEnd"/>
      <w:r w:rsidRPr="00742262">
        <w:rPr>
          <w:rFonts w:ascii="宋体" w:eastAsia="宋体" w:hAnsi="宋体" w:cs="宋体" w:hint="eastAsia"/>
          <w:sz w:val="24"/>
          <w:highlight w:val="yellow"/>
        </w:rPr>
        <w:t>排在后面，并按时间倒序排序。</w:t>
      </w:r>
    </w:p>
    <w:p w:rsidR="001F5547" w:rsidRDefault="0021609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69865" cy="296608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Pr="0082335C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82335C">
        <w:rPr>
          <w:rFonts w:ascii="宋体" w:eastAsia="宋体" w:hAnsi="宋体" w:cs="宋体" w:hint="eastAsia"/>
          <w:sz w:val="24"/>
          <w:highlight w:val="yellow"/>
        </w:rPr>
        <w:t>数据中心的每项数据同步时，比较根据ID进行判断，本地存在则更新，不存在则新增，防止出现重复数据。</w:t>
      </w:r>
    </w:p>
    <w:p w:rsidR="001F5547" w:rsidRDefault="0021609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66690" cy="22510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Pr="006558F5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6558F5">
        <w:rPr>
          <w:rFonts w:ascii="宋体" w:eastAsia="宋体" w:hAnsi="宋体" w:cs="宋体" w:hint="eastAsia"/>
          <w:sz w:val="24"/>
          <w:highlight w:val="yellow"/>
        </w:rPr>
        <w:t>检测记录查询页面下的：打印、上传、编辑、导出、导入、生成报表、打印</w:t>
      </w:r>
      <w:r w:rsidRPr="006558F5">
        <w:rPr>
          <w:rFonts w:ascii="宋体" w:eastAsia="宋体" w:hAnsi="宋体" w:cs="宋体" w:hint="eastAsia"/>
          <w:sz w:val="24"/>
          <w:highlight w:val="yellow"/>
        </w:rPr>
        <w:lastRenderedPageBreak/>
        <w:t>报表都需要加权限进行控制。</w:t>
      </w:r>
    </w:p>
    <w:p w:rsidR="001F5547" w:rsidRDefault="0021609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68595" cy="29584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Pr="00216099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216099">
        <w:rPr>
          <w:rFonts w:ascii="宋体" w:eastAsia="宋体" w:hAnsi="宋体" w:cs="宋体" w:hint="eastAsia"/>
          <w:sz w:val="24"/>
          <w:highlight w:val="yellow"/>
        </w:rPr>
        <w:t>信息更新后，提示更新X条数据，但是不能马上加载出来，需要返回上一级再进来才能看到，请在更新后马上出现数据（包含数据中心：检测标准、被检单位、法律法规、检测项目、仪器检测项目、食品种类、样品检测项目）</w:t>
      </w:r>
    </w:p>
    <w:p w:rsidR="001F5547" w:rsidRDefault="0021609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3675" cy="286067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Pr="001A35DC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1A35DC">
        <w:rPr>
          <w:rFonts w:ascii="宋体" w:eastAsia="宋体" w:hAnsi="宋体" w:cs="宋体" w:hint="eastAsia"/>
          <w:sz w:val="24"/>
          <w:highlight w:val="yellow"/>
        </w:rPr>
        <w:t>没有重检权限，双击后弹出重检，点击重检就报错，没有“重检”权限，不要弹出重检提示，也不允许重检</w:t>
      </w:r>
    </w:p>
    <w:p w:rsidR="001F5547" w:rsidRDefault="0021609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>
            <wp:extent cx="5269230" cy="23018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Pr="005A4594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5A4594">
        <w:rPr>
          <w:rFonts w:ascii="宋体" w:eastAsia="宋体" w:hAnsi="宋体" w:cs="宋体" w:hint="eastAsia"/>
          <w:sz w:val="24"/>
          <w:highlight w:val="yellow"/>
        </w:rPr>
        <w:t>自动检测的对照数据禁止上传。</w:t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Pr="000555A5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0555A5">
        <w:rPr>
          <w:rFonts w:ascii="宋体" w:eastAsia="宋体" w:hAnsi="宋体" w:cs="宋体" w:hint="eastAsia"/>
          <w:sz w:val="24"/>
          <w:highlight w:val="yellow"/>
        </w:rPr>
        <w:t>没有权限的功能按钮请隐藏不要显示。</w:t>
      </w:r>
    </w:p>
    <w:p w:rsidR="001F5547" w:rsidRDefault="00216099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63515" cy="577215"/>
            <wp:effectExtent l="0" t="0" r="133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Pr="006558F5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6558F5">
        <w:rPr>
          <w:rFonts w:ascii="宋体" w:eastAsia="宋体" w:hAnsi="宋体" w:cs="宋体" w:hint="eastAsia"/>
          <w:sz w:val="24"/>
          <w:highlight w:val="yellow"/>
        </w:rPr>
        <w:t>系统设置中，通讯测试出现</w:t>
      </w:r>
      <w:proofErr w:type="gramStart"/>
      <w:r w:rsidRPr="006558F5">
        <w:rPr>
          <w:rFonts w:ascii="宋体" w:eastAsia="宋体" w:hAnsi="宋体" w:cs="宋体" w:hint="eastAsia"/>
          <w:sz w:val="24"/>
          <w:highlight w:val="yellow"/>
        </w:rPr>
        <w:t>报错请在</w:t>
      </w:r>
      <w:proofErr w:type="gramEnd"/>
      <w:r w:rsidRPr="006558F5">
        <w:rPr>
          <w:rFonts w:ascii="宋体" w:eastAsia="宋体" w:hAnsi="宋体" w:cs="宋体" w:hint="eastAsia"/>
          <w:sz w:val="24"/>
          <w:highlight w:val="yellow"/>
        </w:rPr>
        <w:t>程序中截获，并提示报错原因，不能直接就整个程序崩溃——退出。系统中其他地方出现类似的报错也请截获，不要轻易让程序崩溃。</w:t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Pr="00F5130C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F5130C">
        <w:rPr>
          <w:rFonts w:ascii="宋体" w:eastAsia="宋体" w:hAnsi="宋体" w:cs="宋体" w:hint="eastAsia"/>
          <w:sz w:val="24"/>
          <w:highlight w:val="yellow"/>
        </w:rPr>
        <w:t>系统设置中，通讯测试更换地址、账户测试成功后，对应的检测点、机构等相关信息都同时更新。</w:t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系统登录时，为了保证仪器软件的基础数据与平台保持一致，最好对重要的基础数据进行自动更新。</w:t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Default="0021609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切换用户后，为了保证基础数据的准确性，对本地的部分基础数据（监管对象、仪器检测项目、食品分类、样品检测项目等）进行清除，同时可进行基础数据下载。</w:t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Default="00216099">
      <w:pPr>
        <w:numPr>
          <w:ilvl w:val="0"/>
          <w:numId w:val="1"/>
        </w:numPr>
        <w:spacing w:line="360" w:lineRule="auto"/>
        <w:ind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手动检测</w:t>
      </w:r>
    </w:p>
    <w:p w:rsidR="001F5547" w:rsidRPr="00CC6D17" w:rsidRDefault="0021609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CC6D17">
        <w:rPr>
          <w:rFonts w:ascii="宋体" w:eastAsia="宋体" w:hAnsi="宋体" w:cs="宋体" w:hint="eastAsia"/>
          <w:sz w:val="24"/>
          <w:highlight w:val="yellow"/>
        </w:rPr>
        <w:t>手动测试的模块和检测项目与平台保持一致，模块、检测项目的具体参数自动与平台统一，与自动检测的数据保存一致。</w:t>
      </w:r>
    </w:p>
    <w:p w:rsidR="001F5547" w:rsidRPr="00CC6D17" w:rsidRDefault="0021609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CC6D17">
        <w:rPr>
          <w:rFonts w:ascii="宋体" w:eastAsia="宋体" w:hAnsi="宋体" w:cs="宋体" w:hint="eastAsia"/>
          <w:sz w:val="24"/>
          <w:highlight w:val="yellow"/>
        </w:rPr>
        <w:t>分光模块、胶体金、干化学等</w:t>
      </w:r>
      <w:proofErr w:type="gramStart"/>
      <w:r w:rsidRPr="00CC6D17">
        <w:rPr>
          <w:rFonts w:ascii="宋体" w:eastAsia="宋体" w:hAnsi="宋体" w:cs="宋体" w:hint="eastAsia"/>
          <w:sz w:val="24"/>
          <w:highlight w:val="yellow"/>
        </w:rPr>
        <w:t>模块的模块的</w:t>
      </w:r>
      <w:proofErr w:type="gramEnd"/>
      <w:r w:rsidRPr="00CC6D17">
        <w:rPr>
          <w:rFonts w:ascii="宋体" w:eastAsia="宋体" w:hAnsi="宋体" w:cs="宋体" w:hint="eastAsia"/>
          <w:sz w:val="24"/>
          <w:highlight w:val="yellow"/>
        </w:rPr>
        <w:t>选择界面的检测项目只显示系统平台有设定的检测项目。</w:t>
      </w:r>
    </w:p>
    <w:p w:rsidR="001F5547" w:rsidRPr="0033338E" w:rsidRDefault="0021609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r w:rsidRPr="0033338E">
        <w:rPr>
          <w:rFonts w:ascii="宋体" w:eastAsia="宋体" w:hAnsi="宋体" w:cs="宋体" w:hint="eastAsia"/>
          <w:sz w:val="24"/>
          <w:highlight w:val="yellow"/>
        </w:rPr>
        <w:t>分光模块、胶体金、干化学等</w:t>
      </w:r>
      <w:proofErr w:type="gramStart"/>
      <w:r w:rsidRPr="0033338E">
        <w:rPr>
          <w:rFonts w:ascii="宋体" w:eastAsia="宋体" w:hAnsi="宋体" w:cs="宋体" w:hint="eastAsia"/>
          <w:sz w:val="24"/>
          <w:highlight w:val="yellow"/>
        </w:rPr>
        <w:t>模块的模块的</w:t>
      </w:r>
      <w:proofErr w:type="gramEnd"/>
      <w:r w:rsidRPr="0033338E">
        <w:rPr>
          <w:rFonts w:ascii="宋体" w:eastAsia="宋体" w:hAnsi="宋体" w:cs="宋体" w:hint="eastAsia"/>
          <w:sz w:val="24"/>
          <w:highlight w:val="yellow"/>
        </w:rPr>
        <w:t>选择界面的操作按钮：新建项目、编辑项目、删除项目隐藏，因为检测项目与系统平台同步；视频教程、操作说明加权限控制</w:t>
      </w:r>
    </w:p>
    <w:p w:rsidR="001F5547" w:rsidRDefault="0021609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 w:rsidRPr="00CC6D17">
        <w:rPr>
          <w:rFonts w:ascii="宋体" w:eastAsia="宋体" w:hAnsi="宋体" w:cs="宋体" w:hint="eastAsia"/>
          <w:sz w:val="24"/>
          <w:highlight w:val="yellow"/>
        </w:rPr>
        <w:t>手动检测中填入的样品、被检单位都必须是从平台同步的数据</w:t>
      </w:r>
      <w:r>
        <w:rPr>
          <w:rFonts w:ascii="宋体" w:eastAsia="宋体" w:hAnsi="宋体" w:cs="宋体" w:hint="eastAsia"/>
          <w:sz w:val="24"/>
        </w:rPr>
        <w:t>。</w:t>
      </w:r>
    </w:p>
    <w:p w:rsidR="001F5547" w:rsidRPr="009219DA" w:rsidRDefault="0021609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  <w:highlight w:val="yellow"/>
        </w:rPr>
      </w:pPr>
      <w:bookmarkStart w:id="0" w:name="_GoBack"/>
      <w:bookmarkEnd w:id="0"/>
      <w:r w:rsidRPr="009219DA">
        <w:rPr>
          <w:rFonts w:ascii="宋体" w:eastAsia="宋体" w:hAnsi="宋体" w:cs="宋体" w:hint="eastAsia"/>
          <w:sz w:val="24"/>
          <w:highlight w:val="yellow"/>
        </w:rPr>
        <w:t>手工检测的上传分：自动上传、手工上传、禁止上传三种情况；自动上传：检测完成就自动上传：手工上传：检测完成后用户根据需要选择上传；禁止上传：能</w:t>
      </w:r>
      <w:proofErr w:type="gramStart"/>
      <w:r w:rsidRPr="009219DA">
        <w:rPr>
          <w:rFonts w:ascii="宋体" w:eastAsia="宋体" w:hAnsi="宋体" w:cs="宋体" w:hint="eastAsia"/>
          <w:sz w:val="24"/>
          <w:highlight w:val="yellow"/>
        </w:rPr>
        <w:t>能</w:t>
      </w:r>
      <w:proofErr w:type="gramEnd"/>
      <w:r w:rsidRPr="009219DA">
        <w:rPr>
          <w:rFonts w:ascii="宋体" w:eastAsia="宋体" w:hAnsi="宋体" w:cs="宋体" w:hint="eastAsia"/>
          <w:sz w:val="24"/>
          <w:highlight w:val="yellow"/>
        </w:rPr>
        <w:t>进行检测，不允许上传。</w:t>
      </w:r>
    </w:p>
    <w:p w:rsidR="001F5547" w:rsidRDefault="0021609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 w:rsidRPr="0033338E">
        <w:rPr>
          <w:rFonts w:ascii="宋体" w:eastAsia="宋体" w:hAnsi="宋体" w:cs="宋体" w:hint="eastAsia"/>
          <w:sz w:val="24"/>
          <w:highlight w:val="yellow"/>
        </w:rPr>
        <w:t>手动检测的对照数据禁止上传</w:t>
      </w:r>
      <w:r>
        <w:rPr>
          <w:rFonts w:ascii="宋体" w:eastAsia="宋体" w:hAnsi="宋体" w:cs="宋体" w:hint="eastAsia"/>
          <w:sz w:val="24"/>
        </w:rPr>
        <w:t>。</w:t>
      </w: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p w:rsidR="001F5547" w:rsidRDefault="001F5547">
      <w:pPr>
        <w:spacing w:line="360" w:lineRule="auto"/>
        <w:rPr>
          <w:rFonts w:ascii="宋体" w:eastAsia="宋体" w:hAnsi="宋体" w:cs="宋体"/>
          <w:sz w:val="24"/>
        </w:rPr>
      </w:pPr>
    </w:p>
    <w:sectPr w:rsidR="001F5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15E2"/>
    <w:multiLevelType w:val="singleLevel"/>
    <w:tmpl w:val="5A3B15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3B29D4"/>
    <w:multiLevelType w:val="singleLevel"/>
    <w:tmpl w:val="5A3B29D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3B2B25"/>
    <w:multiLevelType w:val="singleLevel"/>
    <w:tmpl w:val="5A3B2B2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C4252"/>
    <w:rsid w:val="000555A5"/>
    <w:rsid w:val="00060658"/>
    <w:rsid w:val="001264DB"/>
    <w:rsid w:val="001A35DC"/>
    <w:rsid w:val="001F5547"/>
    <w:rsid w:val="00216099"/>
    <w:rsid w:val="002F1512"/>
    <w:rsid w:val="0033338E"/>
    <w:rsid w:val="005A4594"/>
    <w:rsid w:val="006558F5"/>
    <w:rsid w:val="00742262"/>
    <w:rsid w:val="0082335C"/>
    <w:rsid w:val="009219DA"/>
    <w:rsid w:val="00B44F4A"/>
    <w:rsid w:val="00CC6D17"/>
    <w:rsid w:val="00F5130C"/>
    <w:rsid w:val="1C8C4252"/>
    <w:rsid w:val="29771BD1"/>
    <w:rsid w:val="59920896"/>
    <w:rsid w:val="5E796500"/>
    <w:rsid w:val="5F2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2335C"/>
    <w:rPr>
      <w:sz w:val="18"/>
      <w:szCs w:val="18"/>
    </w:rPr>
  </w:style>
  <w:style w:type="character" w:customStyle="1" w:styleId="Char">
    <w:name w:val="批注框文本 Char"/>
    <w:basedOn w:val="a0"/>
    <w:link w:val="a3"/>
    <w:rsid w:val="008233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2335C"/>
    <w:rPr>
      <w:sz w:val="18"/>
      <w:szCs w:val="18"/>
    </w:rPr>
  </w:style>
  <w:style w:type="character" w:customStyle="1" w:styleId="Char">
    <w:name w:val="批注框文本 Char"/>
    <w:basedOn w:val="a0"/>
    <w:link w:val="a3"/>
    <w:rsid w:val="008233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141</Words>
  <Characters>807</Characters>
  <Application>Microsoft Office Word</Application>
  <DocSecurity>0</DocSecurity>
  <Lines>6</Lines>
  <Paragraphs>1</Paragraphs>
  <ScaleCrop>false</ScaleCrop>
  <Company>win10zyb.com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925074213</dc:creator>
  <cp:lastModifiedBy>win10zyb</cp:lastModifiedBy>
  <cp:revision>14</cp:revision>
  <dcterms:created xsi:type="dcterms:W3CDTF">2017-12-21T01:55:00Z</dcterms:created>
  <dcterms:modified xsi:type="dcterms:W3CDTF">2018-01-12T06:08:00Z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