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b/>
                <w:sz w:val="28"/>
                <w:szCs w:val="28"/>
                <w:shd w:val="pct10" w:color="auto" w:fill="FFFFFF"/>
              </w:rPr>
            </w:pPr>
            <w:r>
              <w:rPr>
                <w:rFonts w:hint="eastAsia"/>
                <w:b/>
                <w:sz w:val="28"/>
                <w:szCs w:val="28"/>
                <w:shd w:val="pct10" w:color="auto" w:fill="FFFFFF"/>
              </w:rPr>
              <w:t>淳安县梓桐镇生活垃圾分类+治污智慧监管平台</w:t>
            </w:r>
          </w:p>
          <w:p>
            <w:pPr>
              <w:jc w:val="center"/>
              <w:rPr>
                <w:b/>
                <w:sz w:val="28"/>
                <w:szCs w:val="28"/>
                <w:shd w:val="pct10" w:color="auto" w:fill="FFFFFF"/>
              </w:rPr>
            </w:pPr>
            <w:r>
              <w:rPr>
                <w:rFonts w:hint="eastAsia"/>
                <w:b/>
                <w:sz w:val="28"/>
                <w:szCs w:val="28"/>
                <w:shd w:val="pct10" w:color="auto" w:fill="FFFFFF"/>
                <w:lang w:val="en-US" w:eastAsia="zh-CN"/>
              </w:rPr>
              <w:t>8月10日交流</w:t>
            </w:r>
            <w:r>
              <w:rPr>
                <w:rFonts w:hint="eastAsia"/>
                <w:b/>
                <w:sz w:val="28"/>
                <w:szCs w:val="28"/>
                <w:shd w:val="pct10" w:color="auto" w:fill="FFFFFF"/>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rPr>
                <w:rFonts w:hint="eastAsia"/>
                <w:sz w:val="28"/>
                <w:szCs w:val="28"/>
              </w:rPr>
            </w:pPr>
            <w:r>
              <w:rPr>
                <w:rFonts w:hint="eastAsia"/>
                <w:sz w:val="28"/>
                <w:szCs w:val="28"/>
              </w:rPr>
              <w:t>2018年</w:t>
            </w:r>
            <w:r>
              <w:rPr>
                <w:rFonts w:hint="eastAsia"/>
                <w:sz w:val="28"/>
                <w:szCs w:val="28"/>
                <w:lang w:val="en-US" w:eastAsia="zh-CN"/>
              </w:rPr>
              <w:t>8</w:t>
            </w:r>
            <w:r>
              <w:rPr>
                <w:rFonts w:hint="eastAsia"/>
                <w:sz w:val="28"/>
                <w:szCs w:val="28"/>
              </w:rPr>
              <w:t>月</w:t>
            </w:r>
            <w:r>
              <w:rPr>
                <w:rFonts w:hint="eastAsia"/>
                <w:sz w:val="28"/>
                <w:szCs w:val="28"/>
                <w:lang w:val="en-US" w:eastAsia="zh-CN"/>
              </w:rPr>
              <w:t>10</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上午9点30分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划云会议室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张一明</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张一明、刘盟盟、陈礼武、张凯、张英男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6</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6</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lang w:val="en-US" w:eastAsia="zh-CN"/>
              </w:rPr>
            </w:pPr>
            <w:r>
              <w:rPr>
                <w:rFonts w:hint="eastAsia"/>
                <w:sz w:val="28"/>
                <w:szCs w:val="28"/>
                <w:shd w:val="pct10" w:color="auto" w:fill="FFFFFF"/>
              </w:rPr>
              <w:t>关于梓桐镇智慧监管平台</w:t>
            </w:r>
            <w:r>
              <w:rPr>
                <w:rFonts w:hint="eastAsia"/>
                <w:sz w:val="28"/>
                <w:szCs w:val="28"/>
                <w:shd w:val="pct10" w:color="auto" w:fill="FFFFFF"/>
                <w:lang w:val="en-US" w:eastAsia="zh-CN"/>
              </w:rPr>
              <w:t>及APP的反馈修改意见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4"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续</w:t>
            </w:r>
          </w:p>
          <w:p>
            <w:pPr>
              <w:spacing w:line="720" w:lineRule="auto"/>
              <w:jc w:val="center"/>
              <w:rPr>
                <w:rFonts w:hint="eastAsia"/>
                <w:b/>
                <w:sz w:val="28"/>
                <w:szCs w:val="28"/>
              </w:rPr>
            </w:pPr>
            <w:r>
              <w:rPr>
                <w:rFonts w:hint="eastAsia"/>
                <w:b/>
                <w:sz w:val="28"/>
                <w:szCs w:val="28"/>
              </w:rPr>
              <w:t>前</w:t>
            </w:r>
          </w:p>
          <w:p>
            <w:pPr>
              <w:spacing w:line="720" w:lineRule="auto"/>
              <w:jc w:val="center"/>
              <w:rPr>
                <w:rFonts w:hint="eastAsia"/>
                <w:b/>
                <w:sz w:val="28"/>
                <w:szCs w:val="28"/>
              </w:rPr>
            </w:pPr>
            <w:r>
              <w:rPr>
                <w:rFonts w:hint="eastAsia"/>
                <w:b/>
                <w:sz w:val="28"/>
                <w:szCs w:val="28"/>
              </w:rPr>
              <w:t>片</w:t>
            </w:r>
          </w:p>
          <w:p>
            <w:pPr>
              <w:spacing w:line="720" w:lineRule="auto"/>
              <w:jc w:val="center"/>
              <w:rPr>
                <w:rFonts w:hint="eastAsia"/>
                <w:b/>
                <w:sz w:val="28"/>
                <w:szCs w:val="28"/>
              </w:rPr>
            </w:pPr>
          </w:p>
        </w:tc>
        <w:tc>
          <w:tcPr>
            <w:tcW w:w="7138" w:type="dxa"/>
            <w:gridSpan w:val="3"/>
          </w:tcPr>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本次会议的主要重点是经过下村实践中钱书记等指出的要求进行重新修改，具体内容如下：</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保洁员扫码输入垃圾重量时，弹出的键盘要固定数字键盘</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输入垃圾重量的样式需要修改得明显一点</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历史评分记录要加入查询功能，以农户名为准，支持模糊查询。</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下村十必做中，包村领导签名去掉，上传页由上到下的内容为：负责村名（下拉框）——包村干部签名——是否有异常情况（单选是否）——描述异常情况——解决方案——选择提交的领导（下拉框）</w:t>
            </w:r>
          </w:p>
          <w:p>
            <w:pPr>
              <w:numPr>
                <w:ilvl w:val="0"/>
                <w:numId w:val="0"/>
              </w:numPr>
              <w:ind w:leftChars="0" w:firstLine="560"/>
              <w:rPr>
                <w:rFonts w:hint="eastAsia"/>
                <w:sz w:val="28"/>
                <w:szCs w:val="28"/>
                <w:shd w:val="pct10" w:color="auto" w:fill="FFFFFF"/>
                <w:lang w:val="en-US" w:eastAsia="zh-CN"/>
              </w:rPr>
            </w:pP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以上内容要</w:t>
            </w:r>
            <w:bookmarkStart w:id="0" w:name="_GoBack"/>
            <w:bookmarkEnd w:id="0"/>
            <w:r>
              <w:rPr>
                <w:rFonts w:hint="eastAsia"/>
                <w:sz w:val="28"/>
                <w:szCs w:val="28"/>
                <w:shd w:val="pct10" w:color="auto" w:fill="FFFFFF"/>
                <w:lang w:val="en-US" w:eastAsia="zh-CN"/>
              </w:rPr>
              <w:t>在下周一（8月13前）完成。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张英男、刘盟盟</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21868"/>
    <w:multiLevelType w:val="singleLevel"/>
    <w:tmpl w:val="E8221868"/>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11CD0075"/>
    <w:rsid w:val="25E4050D"/>
    <w:rsid w:val="30DB7841"/>
    <w:rsid w:val="3EEF72E2"/>
    <w:rsid w:val="5E4C743E"/>
    <w:rsid w:val="78B15FE9"/>
    <w:rsid w:val="7910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uiPriority w:val="99"/>
    <w:rPr>
      <w:color w:val="337AB7"/>
      <w:u w:val="none"/>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semiHidden/>
    <w:unhideWhenUsed/>
    <w:uiPriority w:val="99"/>
    <w:rPr>
      <w:color w:val="337AB7"/>
      <w:u w:val="none"/>
    </w:rPr>
  </w:style>
  <w:style w:type="character" w:styleId="12">
    <w:name w:val="HTML Code"/>
    <w:basedOn w:val="5"/>
    <w:semiHidden/>
    <w:unhideWhenUsed/>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uiPriority w:val="99"/>
  </w:style>
  <w:style w:type="character" w:styleId="14">
    <w:name w:val="HTML Keyboard"/>
    <w:basedOn w:val="5"/>
    <w:semiHidden/>
    <w:unhideWhenUsed/>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uiPriority w:val="99"/>
    <w:rPr>
      <w:rFonts w:hint="default" w:ascii="Courier New" w:hAnsi="Courier New" w:eastAsia="Courier New" w:cs="Courier New"/>
      <w:sz w:val="21"/>
      <w:szCs w:val="21"/>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uiPriority w:val="99"/>
    <w:rPr>
      <w:sz w:val="18"/>
      <w:szCs w:val="18"/>
    </w:rPr>
  </w:style>
  <w:style w:type="character" w:customStyle="1" w:styleId="19">
    <w:name w:val="页脚 Char"/>
    <w:basedOn w:val="5"/>
    <w:link w:val="3"/>
    <w:semiHidden/>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0</TotalTime>
  <ScaleCrop>false</ScaleCrop>
  <LinksUpToDate>false</LinksUpToDate>
  <CharactersWithSpaces>1200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2018-08-10T03:30:12Z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