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工作周报</w:t>
      </w:r>
    </w:p>
    <w:p>
      <w:pPr>
        <w:pStyle w:val="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工作内容及进度：</w:t>
      </w:r>
    </w:p>
    <w:p>
      <w:pPr>
        <w:pStyle w:val="5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  <w:lang w:val="en-US" w:eastAsia="zh-CN"/>
        </w:rPr>
        <w:t>50</w:t>
      </w:r>
      <w:r>
        <w:rPr>
          <w:rFonts w:hint="default"/>
          <w:lang w:val="en-US"/>
        </w:rPr>
        <w:t>ETF</w:t>
      </w:r>
      <w:r>
        <w:rPr>
          <w:rFonts w:hint="eastAsia"/>
          <w:lang w:val="en-US" w:eastAsia="zh-CN"/>
        </w:rPr>
        <w:t>期权策略研究</w:t>
      </w:r>
      <w:r>
        <w:rPr>
          <w:rFonts w:hint="eastAsia"/>
        </w:rPr>
        <w:t>；</w:t>
      </w:r>
    </w:p>
    <w:p>
      <w:pPr>
        <w:pStyle w:val="5"/>
        <w:numPr>
          <w:ilvl w:val="2"/>
          <w:numId w:val="1"/>
        </w:numPr>
        <w:spacing w:line="220" w:lineRule="atLeast"/>
        <w:ind w:left="1260" w:leftChars="0" w:hanging="420" w:firstLineChars="0"/>
      </w:pPr>
      <w:r>
        <w:rPr>
          <w:rFonts w:hint="eastAsia"/>
          <w:lang w:val="en-US" w:eastAsia="zh-CN"/>
        </w:rPr>
        <w:t>多张期权套利组合后可形成如下收益图形：</w:t>
      </w:r>
    </w:p>
    <w:p>
      <w:pPr>
        <w:pStyle w:val="5"/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lang w:val="en-US" w:eastAsia="zh-CN"/>
        </w:rPr>
      </w:pPr>
      <w:r>
        <w:rPr>
          <w:sz w:val="22"/>
        </w:rPr>
        <w:pict>
          <v:shape id="_x0000_s1037" o:spid="_x0000_s1037" o:spt="202" type="#_x0000_t202" style="position:absolute;left:0pt;margin-left:81.05pt;margin-top:2.6pt;height:67.25pt;width:30.65pt;rotation:-5898240f;z-index:2516879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微软雅黑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收益情况</w:t>
                  </w:r>
                </w:p>
              </w:txbxContent>
            </v:textbox>
          </v:shape>
        </w:pict>
      </w:r>
      <w:r>
        <w:rPr>
          <w:sz w:val="22"/>
        </w:rPr>
        <w:pict>
          <v:line id="_x0000_s1027" o:spid="_x0000_s1027" o:spt="20" style="position:absolute;left:0pt;flip:y;margin-left:115.05pt;margin-top:14.95pt;height:189.75pt;width:0.05pt;z-index:251660288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</w:p>
    <w:p>
      <w:pPr>
        <w:pStyle w:val="5"/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lang w:val="en-US" w:eastAsia="zh-CN"/>
        </w:rPr>
      </w:pPr>
    </w:p>
    <w:p>
      <w:pPr>
        <w:pStyle w:val="5"/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lang w:val="en-US" w:eastAsia="zh-CN"/>
        </w:rPr>
      </w:pPr>
      <w:r>
        <w:rPr>
          <w:sz w:val="22"/>
        </w:rPr>
        <w:pict>
          <v:line id="_x0000_s1035" o:spid="_x0000_s1035" o:spt="20" style="position:absolute;left:0pt;margin-left:239.55pt;margin-top:3pt;height:150.75pt;width:0.05pt;z-index:251671552;mso-width-relative:page;mso-height-relative:page;" fillcolor="#FFFFFF" filled="t" stroked="t" coordsize="21600,21600">
            <v:path arrowok="t"/>
            <v:fill on="t" color2="#FFFFFF" focussize="0,0"/>
            <v:stroke color="#000000" dashstyle="longDashDotDot"/>
            <v:imagedata o:title=""/>
            <o:lock v:ext="edit" aspectratio="f"/>
          </v:line>
        </w:pict>
      </w:r>
    </w:p>
    <w:p>
      <w:pPr>
        <w:pStyle w:val="5"/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lang w:val="en-US" w:eastAsia="zh-CN"/>
        </w:rPr>
      </w:pPr>
    </w:p>
    <w:p>
      <w:pPr>
        <w:pStyle w:val="5"/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lang w:val="en-US" w:eastAsia="zh-CN"/>
        </w:rPr>
      </w:pPr>
      <w:r>
        <w:rPr>
          <w:sz w:val="22"/>
        </w:rPr>
        <w:pict>
          <v:shape id="_x0000_s1036" o:spid="_x0000_s1036" o:spt="202" type="#_x0000_t202" style="position:absolute;left:0pt;margin-left:316.8pt;margin-top:23.2pt;height:32.25pt;width:81.65pt;z-index:25167257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微软雅黑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50ETF 价格</w:t>
                  </w:r>
                </w:p>
              </w:txbxContent>
            </v:textbox>
          </v:shape>
        </w:pict>
      </w:r>
      <w:r>
        <w:rPr>
          <w:sz w:val="22"/>
        </w:rPr>
        <w:pict>
          <v:line id="_x0000_s1031" o:spid="_x0000_s1031" o:spt="20" style="position:absolute;left:0pt;margin-left:281.55pt;margin-top:12.7pt;height:68.25pt;width:18pt;z-index:25166848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2"/>
        </w:rPr>
        <w:pict>
          <v:line id="_x0000_s1030" o:spid="_x0000_s1030" o:spt="20" style="position:absolute;left:0pt;flip:y;margin-left:193.8pt;margin-top:12.7pt;height:7.5pt;width:87pt;z-index:25166745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2"/>
        </w:rPr>
        <w:pict>
          <v:line id="_x0000_s1029" o:spid="_x0000_s1029" o:spt="20" style="position:absolute;left:0pt;flip:y;margin-left:166.8pt;margin-top:19.45pt;height:61.5pt;width:27pt;z-index:25166643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>
      <w:pPr>
        <w:pStyle w:val="5"/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lang w:val="en-US" w:eastAsia="zh-CN"/>
        </w:rPr>
      </w:pPr>
      <w:r>
        <w:rPr>
          <w:sz w:val="22"/>
        </w:rPr>
        <w:pict>
          <v:line id="_x0000_s1026" o:spid="_x0000_s1026" o:spt="20" style="position:absolute;left:0pt;margin-left:23.55pt;margin-top:22.35pt;height:0.05pt;width:363.75pt;z-index:251659264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</w:p>
    <w:p>
      <w:pPr>
        <w:pStyle w:val="5"/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lang w:val="en-US" w:eastAsia="zh-CN"/>
        </w:rPr>
      </w:pPr>
    </w:p>
    <w:p>
      <w:pPr>
        <w:pStyle w:val="5"/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lang w:val="en-US" w:eastAsia="zh-CN"/>
        </w:rPr>
      </w:pPr>
      <w:r>
        <w:rPr>
          <w:sz w:val="22"/>
        </w:rPr>
        <w:pict>
          <v:line id="_x0000_s1034" o:spid="_x0000_s1034" o:spt="20" style="position:absolute;left:0pt;margin-left:299.55pt;margin-top:8.9pt;height:0.05pt;width:92.25pt;z-index:25167052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2"/>
        </w:rPr>
        <w:pict>
          <v:line id="_x0000_s1028" o:spid="_x0000_s1028" o:spt="20" style="position:absolute;left:0pt;margin-left:115.05pt;margin-top:10.4pt;height:0.05pt;width:52.45pt;z-index:25166540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>
      <w:pPr>
        <w:pStyle w:val="5"/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lang w:val="en-US" w:eastAsia="zh-CN"/>
        </w:rPr>
      </w:pPr>
    </w:p>
    <w:p>
      <w:pPr>
        <w:pStyle w:val="5"/>
        <w:numPr>
          <w:ilvl w:val="2"/>
          <w:numId w:val="1"/>
        </w:numPr>
        <w:spacing w:line="220" w:lineRule="atLeast"/>
        <w:ind w:left="1260" w:leftChars="0" w:hanging="420" w:firstLineChars="0"/>
      </w:pPr>
      <w:r>
        <w:rPr>
          <w:rFonts w:hint="eastAsia"/>
          <w:lang w:val="en-US" w:eastAsia="zh-CN"/>
        </w:rPr>
        <w:t>具体组合情况如下（2017年4月50ETF期权购得多个合约为例）：</w:t>
      </w:r>
    </w:p>
    <w:p>
      <w:pPr>
        <w:pStyle w:val="5"/>
        <w:numPr>
          <w:ilvl w:val="4"/>
          <w:numId w:val="1"/>
        </w:numPr>
        <w:spacing w:line="220" w:lineRule="atLeast"/>
        <w:ind w:left="2100" w:leftChars="0" w:hanging="420" w:firstLineChars="0"/>
      </w:pPr>
      <w:r>
        <w:rPr>
          <w:rFonts w:hint="eastAsia"/>
        </w:rPr>
        <w:t>两组对冲合约（共4张）</w:t>
      </w:r>
      <w:r>
        <w:rPr>
          <w:rFonts w:hint="eastAsia"/>
          <w:lang w:eastAsia="zh-CN"/>
        </w:rPr>
        <w:t>；</w:t>
      </w:r>
    </w:p>
    <w:p>
      <w:pPr>
        <w:pStyle w:val="5"/>
        <w:numPr>
          <w:ilvl w:val="4"/>
          <w:numId w:val="1"/>
        </w:numPr>
        <w:spacing w:line="220" w:lineRule="atLeast"/>
        <w:ind w:left="2100" w:leftChars="0" w:hanging="420" w:firstLineChars="0"/>
      </w:pPr>
      <w:r>
        <w:rPr>
          <w:rFonts w:hint="eastAsia"/>
        </w:rPr>
        <w:t>买入50ETF1704购-2250，卖出50ETF1704购-2400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构成上图中左部分；</w:t>
      </w:r>
    </w:p>
    <w:p>
      <w:pPr>
        <w:pStyle w:val="5"/>
        <w:numPr>
          <w:ilvl w:val="4"/>
          <w:numId w:val="1"/>
        </w:numPr>
        <w:spacing w:line="220" w:lineRule="atLeast"/>
        <w:ind w:left="2100" w:leftChars="0" w:hanging="420" w:firstLineChars="0"/>
      </w:pPr>
      <w:r>
        <w:rPr>
          <w:rFonts w:hint="eastAsia"/>
        </w:rPr>
        <w:t>买入50ETF1704购-2450，卖出50ETF1704购-2350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构成上图中右半部份；</w:t>
      </w:r>
    </w:p>
    <w:p>
      <w:pPr>
        <w:pStyle w:val="5"/>
        <w:numPr>
          <w:ilvl w:val="4"/>
          <w:numId w:val="1"/>
        </w:numPr>
        <w:spacing w:line="220" w:lineRule="atLeast"/>
        <w:ind w:left="2100" w:leftChars="0" w:hanging="420" w:firstLineChars="0"/>
      </w:pPr>
      <w:r>
        <w:rPr>
          <w:rFonts w:hint="eastAsia"/>
          <w:lang w:val="en-US" w:eastAsia="zh-CN"/>
        </w:rPr>
        <w:t>具体情况如下表格（假设x为到期日50ETF价格）：</w:t>
      </w:r>
    </w:p>
    <w:tbl>
      <w:tblPr>
        <w:tblW w:w="3300" w:type="dxa"/>
        <w:jc w:val="center"/>
        <w:tblInd w:w="25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50ETF价格所处位置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盈亏情况/x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2055" w:type="dxa"/>
            <w:tcBorders>
              <w:lef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x&lt;2.25</w:t>
            </w:r>
          </w:p>
        </w:tc>
        <w:tc>
          <w:tcPr>
            <w:tcW w:w="1245" w:type="dxa"/>
            <w:tcBorders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-0.0447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2055" w:type="dxa"/>
            <w:tcBorders>
              <w:lef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2.25&lt;x&lt;2.3</w:t>
            </w:r>
          </w:p>
        </w:tc>
        <w:tc>
          <w:tcPr>
            <w:tcW w:w="1245" w:type="dxa"/>
            <w:tcBorders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x-2.2947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2055" w:type="dxa"/>
            <w:tcBorders>
              <w:lef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2.3&lt;x&lt;2.35</w:t>
            </w:r>
          </w:p>
        </w:tc>
        <w:tc>
          <w:tcPr>
            <w:tcW w:w="1245" w:type="dxa"/>
            <w:tcBorders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x-2.2974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2055" w:type="dxa"/>
            <w:tcBorders>
              <w:lef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2.35&lt;x&lt;2.45</w:t>
            </w:r>
          </w:p>
        </w:tc>
        <w:tc>
          <w:tcPr>
            <w:tcW w:w="1245" w:type="dxa"/>
            <w:tcBorders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x-2.4447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2055" w:type="dxa"/>
            <w:tcBorders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x&gt;2.45</w:t>
            </w:r>
          </w:p>
        </w:tc>
        <w:tc>
          <w:tcPr>
            <w:tcW w:w="124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-0.0447</w:t>
            </w:r>
          </w:p>
        </w:tc>
      </w:tr>
    </w:tbl>
    <w:p>
      <w:pPr>
        <w:pStyle w:val="5"/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lang w:val="en-US" w:eastAsia="zh-CN"/>
        </w:rPr>
      </w:pPr>
    </w:p>
    <w:p>
      <w:pPr>
        <w:pStyle w:val="5"/>
        <w:numPr>
          <w:ilvl w:val="4"/>
          <w:numId w:val="1"/>
        </w:numPr>
        <w:spacing w:line="220" w:lineRule="atLeast"/>
        <w:ind w:left="210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这种组合套利其最终盈亏情况还是取决于到期日50ETF价格，不是无风险套利；若要应用，应该追加判断后续走势的条件才可用；</w:t>
      </w:r>
    </w:p>
    <w:p>
      <w:pPr>
        <w:pStyle w:val="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  <w:lang w:val="en-US" w:eastAsia="zh-CN"/>
        </w:rPr>
        <w:t>优化模型的实时测试；</w:t>
      </w:r>
    </w:p>
    <w:p>
      <w:pPr>
        <w:pStyle w:val="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下周计划:</w:t>
      </w:r>
    </w:p>
    <w:p>
      <w:pPr>
        <w:pStyle w:val="5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  <w:lang w:val="en-US" w:eastAsia="zh-CN"/>
        </w:rPr>
        <w:t>学习研究alpha策略</w:t>
      </w:r>
      <w:r>
        <w:rPr>
          <w:rFonts w:hint="eastAsia"/>
        </w:rPr>
        <w:t>；</w:t>
      </w:r>
    </w:p>
    <w:p>
      <w:pPr>
        <w:pStyle w:val="5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  <w:lang w:val="en-US" w:eastAsia="zh-CN"/>
        </w:rPr>
        <w:t>研究开发针对股指期货的对冲策略及其它短线交易</w:t>
      </w:r>
      <w:bookmarkStart w:id="0" w:name="_GoBack"/>
      <w:bookmarkEnd w:id="0"/>
      <w:r>
        <w:rPr>
          <w:rFonts w:hint="eastAsia"/>
          <w:lang w:val="en-US" w:eastAsia="zh-CN"/>
        </w:rPr>
        <w:t>策略</w:t>
      </w:r>
      <w:r>
        <w:rPr>
          <w:rFonts w:hint="eastAsia"/>
        </w:rPr>
        <w:t>；</w:t>
      </w:r>
    </w:p>
    <w:p>
      <w:pPr>
        <w:pStyle w:val="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其他：</w:t>
      </w:r>
    </w:p>
    <w:p>
      <w:pPr>
        <w:pStyle w:val="5"/>
        <w:spacing w:line="220" w:lineRule="atLeast"/>
        <w:ind w:left="420" w:firstLine="0" w:firstLineChars="0"/>
      </w:pPr>
      <w:r>
        <w:rPr>
          <w:rFonts w:hint="eastAsia"/>
        </w:rPr>
        <w:t>无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F5CEB"/>
    <w:multiLevelType w:val="multilevel"/>
    <w:tmpl w:val="337F5CEB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94D0201"/>
    <w:multiLevelType w:val="multilevel"/>
    <w:tmpl w:val="394D0201"/>
    <w:lvl w:ilvl="0" w:tentative="0">
      <w:start w:val="1"/>
      <w:numFmt w:val="decimal"/>
      <w:lvlText w:val="%1."/>
      <w:lvlJc w:val="left"/>
      <w:pPr>
        <w:ind w:left="420" w:hanging="420"/>
      </w:pPr>
      <w:rPr>
        <w:rFonts w:ascii="Tahoma" w:hAnsi="Tahoma" w:eastAsia="微软雅黑" w:cstheme="minorBidi"/>
      </w:rPr>
    </w:lvl>
    <w:lvl w:ilvl="1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84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34AA0"/>
    <w:rsid w:val="000519D7"/>
    <w:rsid w:val="000767ED"/>
    <w:rsid w:val="00092645"/>
    <w:rsid w:val="000C3736"/>
    <w:rsid w:val="00194285"/>
    <w:rsid w:val="001A5530"/>
    <w:rsid w:val="002339B6"/>
    <w:rsid w:val="0029423E"/>
    <w:rsid w:val="003074FD"/>
    <w:rsid w:val="00323B43"/>
    <w:rsid w:val="003903BE"/>
    <w:rsid w:val="003A50DA"/>
    <w:rsid w:val="003D37D8"/>
    <w:rsid w:val="003E2292"/>
    <w:rsid w:val="0042167F"/>
    <w:rsid w:val="00426133"/>
    <w:rsid w:val="004358AB"/>
    <w:rsid w:val="00457F98"/>
    <w:rsid w:val="004A6698"/>
    <w:rsid w:val="00504981"/>
    <w:rsid w:val="00561D01"/>
    <w:rsid w:val="00586533"/>
    <w:rsid w:val="005B075D"/>
    <w:rsid w:val="005F0307"/>
    <w:rsid w:val="006265A6"/>
    <w:rsid w:val="006309E8"/>
    <w:rsid w:val="00657DAA"/>
    <w:rsid w:val="007270BD"/>
    <w:rsid w:val="00747E9B"/>
    <w:rsid w:val="00785B7B"/>
    <w:rsid w:val="00791A21"/>
    <w:rsid w:val="007B1CD2"/>
    <w:rsid w:val="007D2599"/>
    <w:rsid w:val="007F31BB"/>
    <w:rsid w:val="008B7726"/>
    <w:rsid w:val="00980733"/>
    <w:rsid w:val="009A3FDE"/>
    <w:rsid w:val="00A85EA6"/>
    <w:rsid w:val="00AE483C"/>
    <w:rsid w:val="00AF7A24"/>
    <w:rsid w:val="00B33A50"/>
    <w:rsid w:val="00B37C37"/>
    <w:rsid w:val="00B42B94"/>
    <w:rsid w:val="00B47E27"/>
    <w:rsid w:val="00B92DE3"/>
    <w:rsid w:val="00BB66E0"/>
    <w:rsid w:val="00BC0039"/>
    <w:rsid w:val="00C21C30"/>
    <w:rsid w:val="00CB0BA4"/>
    <w:rsid w:val="00CB19A2"/>
    <w:rsid w:val="00D31D50"/>
    <w:rsid w:val="00D90A6F"/>
    <w:rsid w:val="00DF20EA"/>
    <w:rsid w:val="00DF4436"/>
    <w:rsid w:val="00E310DD"/>
    <w:rsid w:val="00E32060"/>
    <w:rsid w:val="00E321B2"/>
    <w:rsid w:val="00E63C10"/>
    <w:rsid w:val="00E94564"/>
    <w:rsid w:val="00E97F2A"/>
    <w:rsid w:val="00ED21FD"/>
    <w:rsid w:val="00EF7A5D"/>
    <w:rsid w:val="00F033F0"/>
    <w:rsid w:val="00F115A1"/>
    <w:rsid w:val="024D0485"/>
    <w:rsid w:val="12B438EC"/>
    <w:rsid w:val="19DE053B"/>
    <w:rsid w:val="227F5A39"/>
    <w:rsid w:val="244332A6"/>
    <w:rsid w:val="25F939B6"/>
    <w:rsid w:val="26036421"/>
    <w:rsid w:val="2A1F12CC"/>
    <w:rsid w:val="3F781892"/>
    <w:rsid w:val="498462CE"/>
    <w:rsid w:val="4E1F6697"/>
    <w:rsid w:val="5BBD1A51"/>
    <w:rsid w:val="60F65BAC"/>
    <w:rsid w:val="67744F03"/>
    <w:rsid w:val="6A3E3D35"/>
    <w:rsid w:val="6BE22508"/>
    <w:rsid w:val="76C8469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pPr>
      <w:spacing w:after="0"/>
    </w:pPr>
    <w:rPr>
      <w:sz w:val="18"/>
      <w:szCs w:val="18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7"/>
    <customShpInfo spid="_x0000_s1027"/>
    <customShpInfo spid="_x0000_s1035"/>
    <customShpInfo spid="_x0000_s1036"/>
    <customShpInfo spid="_x0000_s1031"/>
    <customShpInfo spid="_x0000_s1030"/>
    <customShpInfo spid="_x0000_s1029"/>
    <customShpInfo spid="_x0000_s1026"/>
    <customShpInfo spid="_x0000_s1034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</Words>
  <Characters>88</Characters>
  <Lines>1</Lines>
  <Paragraphs>1</Paragraphs>
  <ScaleCrop>false</ScaleCrop>
  <LinksUpToDate>false</LinksUpToDate>
  <CharactersWithSpaces>102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caofa</dc:creator>
  <cp:lastModifiedBy>Cao Fa</cp:lastModifiedBy>
  <dcterms:modified xsi:type="dcterms:W3CDTF">2017-04-16T00:14:55Z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