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75" w:rsidRPr="00F87175" w:rsidRDefault="00F87175" w:rsidP="00F87175">
      <w:pPr>
        <w:shd w:val="clear" w:color="auto" w:fill="FFFFFF"/>
        <w:adjustRightInd/>
        <w:snapToGrid/>
        <w:outlineLvl w:val="1"/>
        <w:rPr>
          <w:rFonts w:ascii="inherit" w:eastAsia="宋体" w:hAnsi="inherit" w:cs="Consolas"/>
          <w:color w:val="000000"/>
          <w:sz w:val="30"/>
          <w:szCs w:val="30"/>
        </w:rPr>
      </w:pPr>
      <w:r w:rsidRPr="00F87175">
        <w:rPr>
          <w:rFonts w:ascii="inherit" w:eastAsia="宋体" w:hAnsi="inherit" w:cs="Consolas"/>
          <w:color w:val="000000"/>
          <w:sz w:val="30"/>
          <w:szCs w:val="30"/>
        </w:rPr>
        <w:t>1</w:t>
      </w:r>
      <w:r w:rsidRPr="00F87175">
        <w:rPr>
          <w:rFonts w:ascii="inherit" w:eastAsia="宋体" w:hAnsi="inherit" w:cs="Consolas"/>
          <w:color w:val="000000"/>
          <w:sz w:val="30"/>
          <w:szCs w:val="30"/>
        </w:rPr>
        <w:t>、</w:t>
      </w:r>
      <w:r w:rsidRPr="00F87175">
        <w:rPr>
          <w:rFonts w:ascii="inherit" w:eastAsia="宋体" w:hAnsi="inherit" w:cs="Consolas"/>
          <w:color w:val="000000"/>
          <w:sz w:val="30"/>
          <w:szCs w:val="30"/>
        </w:rPr>
        <w:t>Alpha</w:t>
      </w:r>
      <w:r w:rsidRPr="00F87175">
        <w:rPr>
          <w:rFonts w:ascii="inherit" w:eastAsia="宋体" w:hAnsi="inherit" w:cs="Consolas"/>
          <w:color w:val="000000"/>
          <w:sz w:val="30"/>
          <w:szCs w:val="30"/>
        </w:rPr>
        <w:t>对冲模型简介</w:t>
      </w:r>
      <w:r w:rsidR="0094461A">
        <w:rPr>
          <w:rFonts w:ascii="inherit" w:eastAsia="宋体" w:hAnsi="inherit" w:cs="Consolas" w:hint="eastAsia"/>
          <w:color w:val="000000"/>
          <w:sz w:val="30"/>
          <w:szCs w:val="30"/>
        </w:rPr>
        <w:t>(</w:t>
      </w:r>
      <w:r w:rsidR="0094461A" w:rsidRPr="0094461A">
        <w:rPr>
          <w:rFonts w:ascii="inherit" w:eastAsia="宋体" w:hAnsi="inherit" w:cs="Consolas"/>
          <w:color w:val="000000"/>
          <w:sz w:val="30"/>
          <w:szCs w:val="30"/>
        </w:rPr>
        <w:t>https://uqer.io/community/share/55e662f9f9f06c1ea481f9cf</w:t>
      </w:r>
      <w:r w:rsidR="0094461A">
        <w:rPr>
          <w:rFonts w:ascii="inherit" w:eastAsia="宋体" w:hAnsi="inherit" w:cs="Consolas" w:hint="eastAsia"/>
          <w:color w:val="000000"/>
          <w:sz w:val="30"/>
          <w:szCs w:val="30"/>
        </w:rPr>
        <w:t>)</w:t>
      </w:r>
    </w:p>
    <w:p w:rsidR="00F87175" w:rsidRPr="00F87175" w:rsidRDefault="00F87175" w:rsidP="00F87175">
      <w:pPr>
        <w:shd w:val="clear" w:color="auto" w:fill="FFFFFF"/>
        <w:adjustRightInd/>
        <w:snapToGrid/>
        <w:outlineLvl w:val="4"/>
        <w:rPr>
          <w:rFonts w:ascii="inherit" w:eastAsia="宋体" w:hAnsi="inherit" w:cs="Consolas"/>
          <w:color w:val="000000"/>
          <w:sz w:val="23"/>
          <w:szCs w:val="23"/>
        </w:rPr>
      </w:pPr>
      <w:r w:rsidRPr="00F87175">
        <w:rPr>
          <w:rFonts w:ascii="inherit" w:eastAsia="宋体" w:hAnsi="inherit" w:cs="Consolas"/>
          <w:color w:val="000000"/>
          <w:sz w:val="23"/>
          <w:szCs w:val="23"/>
        </w:rPr>
        <w:t>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、假设市场完全有效，那么根据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CAPM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模型有，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MathJax_Main" w:eastAsia="宋体" w:hAnsi="MathJax_Main" w:cs="Consolas"/>
          <w:color w:val="000000"/>
          <w:sz w:val="25"/>
        </w:rPr>
        <w:t>=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f</w:t>
      </w:r>
      <w:r w:rsidRPr="00F87175">
        <w:rPr>
          <w:rFonts w:ascii="MathJax_Main" w:eastAsia="宋体" w:hAnsi="MathJax_Main" w:cs="Consolas"/>
          <w:color w:val="000000"/>
          <w:sz w:val="25"/>
        </w:rPr>
        <w:t>+</w:t>
      </w:r>
      <w:r w:rsidRPr="00F87175">
        <w:rPr>
          <w:rFonts w:ascii="MathJax_Math-italic" w:eastAsia="宋体" w:hAnsi="MathJax_Math-italic" w:cs="Consolas"/>
          <w:color w:val="000000"/>
          <w:sz w:val="25"/>
        </w:rPr>
        <w:t>β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Cambria Math" w:eastAsia="宋体" w:hAnsi="Cambria Math" w:cs="Cambria Math"/>
          <w:color w:val="000000"/>
          <w:sz w:val="25"/>
        </w:rPr>
        <w:t>∗</w:t>
      </w:r>
      <w:r w:rsidRPr="00F87175">
        <w:rPr>
          <w:rFonts w:ascii="MathJax_Main" w:eastAsia="宋体" w:hAnsi="MathJax_Main" w:cs="Consolas"/>
          <w:color w:val="000000"/>
          <w:sz w:val="25"/>
        </w:rPr>
        <w:t>(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m</w:t>
      </w:r>
      <w:r w:rsidRPr="00F87175">
        <w:rPr>
          <w:rFonts w:ascii="MathJax_Main" w:eastAsia="宋体" w:hAnsi="MathJax_Main" w:cs="Consolas"/>
          <w:color w:val="000000"/>
          <w:sz w:val="25"/>
        </w:rPr>
        <w:t>−</w:t>
      </w:r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f</w:t>
      </w:r>
      <w:proofErr w:type="spellEnd"/>
      <w:r w:rsidRPr="00F87175">
        <w:rPr>
          <w:rFonts w:ascii="MathJax_Main" w:eastAsia="宋体" w:hAnsi="MathJax_Main" w:cs="Consolas"/>
          <w:color w:val="000000"/>
          <w:sz w:val="25"/>
        </w:rPr>
        <w:t>)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。式中，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inherit" w:eastAsia="宋体" w:hAnsi="inherit" w:cs="Consolas"/>
          <w:color w:val="000000"/>
          <w:sz w:val="23"/>
          <w:szCs w:val="23"/>
        </w:rPr>
        <w:t>表示股票收益，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f</w:t>
      </w:r>
      <w:proofErr w:type="spellEnd"/>
      <w:r w:rsidRPr="00F87175">
        <w:rPr>
          <w:rFonts w:ascii="inherit" w:eastAsia="宋体" w:hAnsi="inherit" w:cs="Consolas"/>
          <w:color w:val="000000"/>
          <w:sz w:val="23"/>
          <w:szCs w:val="23"/>
        </w:rPr>
        <w:t>表示无风险收益率，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m</w:t>
      </w:r>
      <w:proofErr w:type="spellEnd"/>
      <w:r w:rsidRPr="00F87175">
        <w:rPr>
          <w:rFonts w:ascii="Arial Unicode MS" w:eastAsia="宋体" w:hAnsi="Arial Unicode MS" w:cs="Consolas"/>
          <w:color w:val="000000"/>
        </w:rPr>
        <w:t>表示市场收益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，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β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inherit" w:eastAsia="宋体" w:hAnsi="inherit" w:cs="Consolas"/>
          <w:color w:val="000000"/>
          <w:sz w:val="23"/>
          <w:szCs w:val="23"/>
        </w:rPr>
        <w:t>表示股票相比于市场的波动程度，用以衡量股票的系统性风险。</w:t>
      </w:r>
    </w:p>
    <w:p w:rsidR="00F87175" w:rsidRPr="00F87175" w:rsidRDefault="00F87175" w:rsidP="00F87175">
      <w:pPr>
        <w:shd w:val="clear" w:color="auto" w:fill="FFFFFF"/>
        <w:adjustRightInd/>
        <w:snapToGrid/>
        <w:outlineLvl w:val="4"/>
        <w:rPr>
          <w:rFonts w:ascii="inherit" w:eastAsia="宋体" w:hAnsi="inherit" w:cs="Consolas"/>
          <w:color w:val="000000"/>
          <w:sz w:val="23"/>
          <w:szCs w:val="23"/>
        </w:rPr>
      </w:pPr>
      <w:r w:rsidRPr="00F87175">
        <w:rPr>
          <w:rFonts w:ascii="inherit" w:eastAsia="宋体" w:hAnsi="inherit" w:cs="Consolas"/>
          <w:color w:val="000000"/>
          <w:sz w:val="23"/>
          <w:szCs w:val="23"/>
        </w:rPr>
        <w:t>B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、遗憾的是，市场并非完全有效，个股仍存在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alpha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（超额收益）。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 xml:space="preserve"> 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根据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Jensen's alpha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的定义：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α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MathJax_Main" w:eastAsia="宋体" w:hAnsi="MathJax_Main" w:cs="Consolas"/>
          <w:color w:val="000000"/>
          <w:sz w:val="25"/>
        </w:rPr>
        <w:t>=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MathJax_Main" w:eastAsia="宋体" w:hAnsi="MathJax_Main" w:cs="Consolas"/>
          <w:color w:val="000000"/>
          <w:sz w:val="25"/>
        </w:rPr>
        <w:t>−[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f</w:t>
      </w:r>
      <w:r w:rsidRPr="00F87175">
        <w:rPr>
          <w:rFonts w:ascii="MathJax_Main" w:eastAsia="宋体" w:hAnsi="MathJax_Main" w:cs="Consolas"/>
          <w:color w:val="000000"/>
          <w:sz w:val="25"/>
        </w:rPr>
        <w:t>+</w:t>
      </w:r>
      <w:r w:rsidRPr="00F87175">
        <w:rPr>
          <w:rFonts w:ascii="MathJax_Math-italic" w:eastAsia="宋体" w:hAnsi="MathJax_Math-italic" w:cs="Consolas"/>
          <w:color w:val="000000"/>
          <w:sz w:val="25"/>
        </w:rPr>
        <w:t>β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s</w:t>
      </w:r>
      <w:proofErr w:type="spellEnd"/>
      <w:r w:rsidRPr="00F87175">
        <w:rPr>
          <w:rFonts w:ascii="Cambria Math" w:eastAsia="宋体" w:hAnsi="Cambria Math" w:cs="Cambria Math"/>
          <w:color w:val="000000"/>
          <w:sz w:val="25"/>
        </w:rPr>
        <w:t>∗</w:t>
      </w:r>
      <w:r w:rsidRPr="00F87175">
        <w:rPr>
          <w:rFonts w:ascii="MathJax_Main" w:eastAsia="宋体" w:hAnsi="MathJax_Main" w:cs="Consolas"/>
          <w:color w:val="000000"/>
          <w:sz w:val="25"/>
        </w:rPr>
        <w:t>(</w:t>
      </w:r>
      <w:proofErr w:type="spellStart"/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m</w:t>
      </w:r>
      <w:r w:rsidRPr="00F87175">
        <w:rPr>
          <w:rFonts w:ascii="MathJax_Main" w:eastAsia="宋体" w:hAnsi="MathJax_Main" w:cs="Consolas"/>
          <w:color w:val="000000"/>
          <w:sz w:val="25"/>
        </w:rPr>
        <w:t>−</w:t>
      </w:r>
      <w:r w:rsidRPr="00F87175">
        <w:rPr>
          <w:rFonts w:ascii="MathJax_Math-italic" w:eastAsia="宋体" w:hAnsi="MathJax_Math-italic" w:cs="Consolas"/>
          <w:color w:val="000000"/>
          <w:sz w:val="25"/>
        </w:rPr>
        <w:t>R</w:t>
      </w:r>
      <w:r w:rsidRPr="00F87175">
        <w:rPr>
          <w:rFonts w:ascii="MathJax_Math-italic" w:eastAsia="宋体" w:hAnsi="MathJax_Math-italic" w:cs="Consolas"/>
          <w:color w:val="000000"/>
          <w:sz w:val="18"/>
        </w:rPr>
        <w:t>f</w:t>
      </w:r>
      <w:proofErr w:type="spellEnd"/>
      <w:r w:rsidRPr="00F87175">
        <w:rPr>
          <w:rFonts w:ascii="MathJax_Main" w:eastAsia="宋体" w:hAnsi="MathJax_Main" w:cs="Consolas"/>
          <w:color w:val="000000"/>
          <w:sz w:val="25"/>
        </w:rPr>
        <w:t>)]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，除掉被市场解释的部分，超越市场基准的收益即为个股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alpha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。</w:t>
      </w:r>
    </w:p>
    <w:p w:rsidR="00F87175" w:rsidRPr="00F87175" w:rsidRDefault="00F87175" w:rsidP="00F87175">
      <w:pPr>
        <w:shd w:val="clear" w:color="auto" w:fill="FFFFFF"/>
        <w:adjustRightInd/>
        <w:snapToGrid/>
        <w:outlineLvl w:val="4"/>
        <w:rPr>
          <w:rFonts w:ascii="inherit" w:eastAsia="宋体" w:hAnsi="inherit" w:cs="Consolas"/>
          <w:color w:val="000000"/>
          <w:sz w:val="23"/>
          <w:szCs w:val="23"/>
        </w:rPr>
      </w:pPr>
      <w:r w:rsidRPr="00F87175">
        <w:rPr>
          <w:rFonts w:ascii="inherit" w:eastAsia="宋体" w:hAnsi="inherit" w:cs="Consolas"/>
          <w:color w:val="000000"/>
          <w:sz w:val="23"/>
          <w:szCs w:val="23"/>
        </w:rPr>
        <w:t>C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、实际中，股票的收益是受多方面因素影响的，比如经典的</w:t>
      </w:r>
      <w:proofErr w:type="spellStart"/>
      <w:r w:rsidRPr="00F87175">
        <w:rPr>
          <w:rFonts w:ascii="inherit" w:eastAsia="宋体" w:hAnsi="inherit" w:cs="Consolas"/>
          <w:color w:val="000000"/>
          <w:sz w:val="23"/>
          <w:szCs w:val="23"/>
        </w:rPr>
        <w:t>Fama</w:t>
      </w:r>
      <w:proofErr w:type="spellEnd"/>
      <w:r w:rsidRPr="00F87175">
        <w:rPr>
          <w:rFonts w:ascii="inherit" w:eastAsia="宋体" w:hAnsi="inherit" w:cs="Consolas"/>
          <w:color w:val="000000"/>
          <w:sz w:val="23"/>
          <w:szCs w:val="23"/>
        </w:rPr>
        <w:t xml:space="preserve"> French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三因素就告诉我们，市值大小、估值水平、以及市场因子就能解释股票收益，而且低市值、低估值能够获取超额收益。那么，我们就可以通过寻找能够获取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alpha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的驱动因子来构建组合。</w:t>
      </w:r>
    </w:p>
    <w:p w:rsidR="00F87175" w:rsidRPr="00F87175" w:rsidRDefault="00F87175" w:rsidP="00F87175">
      <w:pPr>
        <w:shd w:val="clear" w:color="auto" w:fill="FFFFFF"/>
        <w:adjustRightInd/>
        <w:snapToGrid/>
        <w:outlineLvl w:val="4"/>
        <w:rPr>
          <w:rFonts w:ascii="inherit" w:eastAsia="宋体" w:hAnsi="inherit" w:cs="Consolas"/>
          <w:color w:val="000000"/>
          <w:sz w:val="23"/>
          <w:szCs w:val="23"/>
        </w:rPr>
      </w:pPr>
      <w:r w:rsidRPr="00F87175">
        <w:rPr>
          <w:rFonts w:ascii="inherit" w:eastAsia="宋体" w:hAnsi="inherit" w:cs="Consolas"/>
          <w:color w:val="000000"/>
          <w:sz w:val="23"/>
          <w:szCs w:val="23"/>
        </w:rPr>
        <w:t>D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、假设我们已经知道了哪些因子能够获取超额收益，那么我们根据这些因子构建股票组合（比如持有低市值、低估值的股票）。那么组合的收益理论上是能够获取超额收益的，简单来讲就是，组合的累计收益图应该是在基准（比如沪深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300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）累计收益图之上的，而且两者的差应该是扩大的趋势。</w:t>
      </w:r>
    </w:p>
    <w:p w:rsidR="00F87175" w:rsidRPr="00F87175" w:rsidRDefault="00F87175" w:rsidP="00F87175">
      <w:pPr>
        <w:shd w:val="clear" w:color="auto" w:fill="FFFFFF"/>
        <w:adjustRightInd/>
        <w:snapToGrid/>
        <w:outlineLvl w:val="4"/>
        <w:rPr>
          <w:rFonts w:ascii="inherit" w:eastAsia="宋体" w:hAnsi="inherit" w:cs="Consolas"/>
          <w:color w:val="000000"/>
          <w:sz w:val="23"/>
          <w:szCs w:val="23"/>
        </w:rPr>
      </w:pPr>
      <w:r w:rsidRPr="00F87175">
        <w:rPr>
          <w:rFonts w:ascii="inherit" w:eastAsia="宋体" w:hAnsi="inherit" w:cs="Consolas"/>
          <w:color w:val="000000"/>
          <w:sz w:val="23"/>
          <w:szCs w:val="23"/>
        </w:rPr>
        <w:t>E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、由于组合的涨跌我们是不知道的，我们能够确保的是组合与基准的收益差在不断扩大，那么持有组合，做空基准，对冲获取稳定的差额收益（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alpha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收益）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,</w:t>
      </w:r>
      <w:r w:rsidRPr="00F87175">
        <w:rPr>
          <w:rFonts w:ascii="inherit" w:eastAsia="宋体" w:hAnsi="inherit" w:cs="Consolas"/>
          <w:color w:val="000000"/>
          <w:sz w:val="23"/>
          <w:szCs w:val="23"/>
        </w:rPr>
        <w:t>这就是传说中的市场中性策略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900AE"/>
    <w:rsid w:val="008B7726"/>
    <w:rsid w:val="0094461A"/>
    <w:rsid w:val="00D31D50"/>
    <w:rsid w:val="00F8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8717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87175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175"/>
    <w:rPr>
      <w:rFonts w:ascii="宋体" w:eastAsia="宋体" w:hAnsi="宋体" w:cs="宋体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87175"/>
    <w:rPr>
      <w:rFonts w:ascii="宋体" w:eastAsia="宋体" w:hAnsi="宋体" w:cs="宋体"/>
      <w:b/>
      <w:bCs/>
      <w:sz w:val="20"/>
      <w:szCs w:val="20"/>
    </w:rPr>
  </w:style>
  <w:style w:type="character" w:customStyle="1" w:styleId="mi">
    <w:name w:val="mi"/>
    <w:basedOn w:val="a0"/>
    <w:rsid w:val="00F87175"/>
  </w:style>
  <w:style w:type="character" w:customStyle="1" w:styleId="mo">
    <w:name w:val="mo"/>
    <w:basedOn w:val="a0"/>
    <w:rsid w:val="00F87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58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6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8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5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9177">
          <w:marLeft w:val="0"/>
          <w:marRight w:val="0"/>
          <w:marTop w:val="30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89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87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6621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86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3992">
          <w:marLeft w:val="0"/>
          <w:marRight w:val="0"/>
          <w:marTop w:val="30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4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087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65804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84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4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94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6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35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121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7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87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3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277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62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40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5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33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319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7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815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9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7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15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0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685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1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83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2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62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59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32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7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06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8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74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552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809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06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784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6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62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86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877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1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23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7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297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9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22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92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75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8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72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7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625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17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39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6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8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286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3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12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286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65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39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5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310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66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15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9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19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7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7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8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13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69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77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723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3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35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6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7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15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3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22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00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36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52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40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6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8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1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41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271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8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97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48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06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03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8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4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50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9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48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55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0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29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5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14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6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43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9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807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449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59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681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65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877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3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60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0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08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14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29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5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08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37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892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7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29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4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05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7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23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9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1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705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506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33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1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698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7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55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9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382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0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38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30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3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51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611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33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012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8659">
                  <w:marLeft w:val="0"/>
                  <w:marRight w:val="0"/>
                  <w:marTop w:val="0"/>
                  <w:marBottom w:val="0"/>
                  <w:divBdr>
                    <w:top w:val="single" w:sz="6" w:space="11" w:color="C9C9C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8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4196">
          <w:marLeft w:val="0"/>
          <w:marRight w:val="0"/>
          <w:marTop w:val="30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361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018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11100">
                                  <w:marLeft w:val="46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534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8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8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91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545">
                  <w:marLeft w:val="0"/>
                  <w:marRight w:val="0"/>
                  <w:marTop w:val="0"/>
                  <w:marBottom w:val="0"/>
                  <w:divBdr>
                    <w:top w:val="single" w:sz="6" w:space="11" w:color="C9C9C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094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158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10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90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8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888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00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0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2017-04-07T06:24:00Z</dcterms:modified>
</cp:coreProperties>
</file>