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jc w:val="center"/>
        <w:rPr>
          <w:rFonts w:ascii="等线 Light" w:hAnsi="等线 Light" w:eastAsia="等线 Light"/>
          <w:b/>
          <w:sz w:val="44"/>
          <w:szCs w:val="44"/>
        </w:rPr>
      </w:pPr>
      <w:r>
        <w:rPr>
          <w:rFonts w:hint="eastAsia" w:ascii="等线 Light" w:hAnsi="等线 Light" w:eastAsia="等线 Light"/>
          <w:b/>
          <w:sz w:val="44"/>
          <w:szCs w:val="44"/>
        </w:rPr>
        <w:t>巴克莱3号令设计文档</w:t>
      </w:r>
    </w:p>
    <w:p>
      <w:pPr>
        <w:rPr>
          <w:rFonts w:ascii="等线 Light" w:hAnsi="等线 Light" w:eastAsia="等线 Light"/>
          <w:b/>
          <w:sz w:val="44"/>
          <w:szCs w:val="44"/>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w:t>
      </w: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BI_CUSTOMER</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t>IC_</w:t>
            </w:r>
            <w:r>
              <w:rPr>
                <w:rFonts w:hint="eastAsia"/>
              </w:rPr>
              <w:t>OTHER_</w:t>
            </w:r>
            <w:r>
              <w:t>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BI_ACCOUNT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客户银行卡其它类型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BI_OTHERACCOUNY</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pStyle w:val="5"/>
        <w:autoSpaceDE w:val="0"/>
        <w:autoSpaceDN w:val="0"/>
        <w:adjustRightInd w:val="0"/>
        <w:ind w:left="885" w:firstLine="0" w:firstLineChars="0"/>
        <w:jc w:val="left"/>
        <w:rPr>
          <w:rFonts w:asciiTheme="majorEastAsia" w:hAnsiTheme="majorEastAsia" w:eastAsiaTheme="majorEastAsia"/>
          <w:b/>
          <w:szCs w:val="21"/>
        </w:rPr>
      </w:pPr>
    </w:p>
    <w:p>
      <w:pPr>
        <w:autoSpaceDE w:val="0"/>
        <w:autoSpaceDN w:val="0"/>
        <w:adjustRightInd w:val="0"/>
        <w:jc w:val="left"/>
        <w:rPr>
          <w:rFonts w:ascii="新宋体" w:eastAsia="新宋体" w:cs="新宋体"/>
          <w:color w:val="008080"/>
          <w:kern w:val="0"/>
          <w:sz w:val="19"/>
          <w:szCs w:val="19"/>
        </w:rPr>
      </w:pPr>
      <w:r>
        <w:rPr>
          <w:rFonts w:hint="eastAsia" w:asciiTheme="majorEastAsia" w:hAnsiTheme="majorEastAsia" w:eastAsiaTheme="majorEastAsia"/>
          <w:b/>
          <w:szCs w:val="21"/>
        </w:rPr>
        <w:t xml:space="preserve">               </w:t>
      </w: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color w:val="FF0000"/>
          <w:szCs w:val="21"/>
        </w:rPr>
      </w:pPr>
      <w:r>
        <w:rPr>
          <w:rFonts w:hint="eastAsia" w:asciiTheme="majorEastAsia" w:hAnsiTheme="majorEastAsia" w:eastAsiaTheme="majorEastAsia"/>
          <w:b/>
          <w:color w:val="FF0000"/>
          <w:szCs w:val="21"/>
        </w:rPr>
        <w:t>AML_DATASOU</w:t>
      </w:r>
      <w:r>
        <w:rPr>
          <w:rFonts w:hint="eastAsia" w:asciiTheme="majorEastAsia" w:hAnsiTheme="majorEastAsia" w:eastAsiaTheme="majorEastAsia"/>
          <w:b/>
          <w:color w:val="FF0000"/>
          <w:szCs w:val="21"/>
          <w:lang w:val="en-US" w:eastAsia="zh-CN"/>
        </w:rPr>
        <w:t>R</w:t>
      </w:r>
      <w:r>
        <w:rPr>
          <w:rFonts w:hint="eastAsia" w:asciiTheme="majorEastAsia" w:hAnsiTheme="majorEastAsia" w:eastAsiaTheme="majorEastAsia"/>
          <w:b/>
          <w:color w:val="FF0000"/>
          <w:szCs w:val="21"/>
        </w:rPr>
        <w:t xml:space="preserve">CE </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2946"/>
        <w:gridCol w:w="1476"/>
        <w:gridCol w:w="1461"/>
        <w:gridCol w:w="67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94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47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4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67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03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CLIENT_</w:t>
            </w:r>
            <w:r>
              <w:rPr>
                <w:rFonts w:hint="eastAsia" w:asciiTheme="majorEastAsia" w:hAnsiTheme="majorEastAsia" w:eastAsiaTheme="majorEastAsia"/>
                <w:szCs w:val="21"/>
              </w:rPr>
              <w:t>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946" w:type="dxa"/>
          </w:tcPr>
          <w:p>
            <w:pPr>
              <w:autoSpaceDE w:val="0"/>
              <w:autoSpaceDN w:val="0"/>
              <w:adjustRightInd w:val="0"/>
              <w:jc w:val="left"/>
              <w:rPr>
                <w:rFonts w:asciiTheme="majorEastAsia" w:hAnsiTheme="majorEastAsia" w:eastAsiaTheme="majorEastAsia"/>
                <w:szCs w:val="21"/>
              </w:rPr>
            </w:pPr>
            <w:r>
              <w:t>CLIENT_IC_</w:t>
            </w:r>
            <w:r>
              <w:rPr>
                <w:rFonts w:hint="eastAsia"/>
              </w:rPr>
              <w:t>OTHER_</w:t>
            </w:r>
            <w: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12</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AGENT_IC_OTHER</w:t>
            </w:r>
            <w:r>
              <w:rPr>
                <w:rFonts w:hint="eastAsia" w:asciiTheme="majorEastAsia" w:hAnsiTheme="majorEastAsia" w:eastAsiaTheme="majorEastAsia"/>
                <w:szCs w:val="21"/>
              </w:rPr>
              <w:t>_</w:t>
            </w:r>
            <w:r>
              <w:rPr>
                <w:rFonts w:asciiTheme="majorEastAsia" w:hAnsiTheme="majorEastAsia" w:eastAsiaTheme="majorEastAsia"/>
                <w:szCs w:val="21"/>
              </w:rP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19</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22</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TRADE_UNCOUNTER_OTHER_TYPE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23</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24</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TRADE_BPTC</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64</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25</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RMB_A</w:t>
            </w:r>
            <w:r>
              <w:rPr>
                <w:rFonts w:asciiTheme="majorEastAsia" w:hAnsiTheme="majorEastAsia" w:eastAsiaTheme="majorEastAsia"/>
                <w:szCs w:val="21"/>
              </w:rPr>
              <w:t>MT</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numeric(21, 4)</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26</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REMARK1</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1</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27</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REMARK2</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2</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28</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29</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30</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color w:val="FF0000"/>
          <w:szCs w:val="21"/>
        </w:rPr>
        <w:t>AML_ANALYSISRESULT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1896"/>
        <w:gridCol w:w="1581"/>
        <w:gridCol w:w="1883"/>
        <w:gridCol w:w="796"/>
        <w:gridCol w:w="1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189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58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883"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9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32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DETR</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796" w:type="dxa"/>
          </w:tcPr>
          <w:p>
            <w:pPr>
              <w:autoSpaceDE w:val="0"/>
              <w:autoSpaceDN w:val="0"/>
              <w:adjustRightInd w:val="0"/>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val="en-US" w:eastAsia="zh-CN"/>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报送次数标志</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ORXN</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初次报送的可疑交易报告报文名称</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796" w:type="dxa"/>
          </w:tcPr>
          <w:p>
            <w:pPr>
              <w:autoSpaceDE w:val="0"/>
              <w:autoSpaceDN w:val="0"/>
              <w:adjustRightInd w:val="0"/>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val="en-US" w:eastAsia="zh-CN"/>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ODRP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TPTR</w:t>
            </w:r>
          </w:p>
          <w:p>
            <w:pPr>
              <w:autoSpaceDE w:val="0"/>
              <w:autoSpaceDN w:val="0"/>
              <w:adjustRightInd w:val="0"/>
              <w:jc w:val="left"/>
              <w:rPr>
                <w:rFonts w:asciiTheme="majorEastAsia" w:hAnsiTheme="majorEastAsia" w:eastAsiaTheme="majorEastAsia"/>
                <w:szCs w:val="21"/>
              </w:rPr>
            </w:pP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 xml:space="preserve">OTPR </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1896"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STCB</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AOSP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TOSC</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4)</w:t>
            </w:r>
          </w:p>
        </w:tc>
        <w:tc>
          <w:tcPr>
            <w:tcW w:w="1883" w:type="dxa"/>
          </w:tcPr>
          <w:p>
            <w:pPr>
              <w:autoSpaceDE w:val="0"/>
              <w:autoSpaceDN w:val="0"/>
              <w:adjustRightInd w:val="0"/>
              <w:jc w:val="left"/>
              <w:rPr>
                <w:lang w:val="ru-RU"/>
              </w:rPr>
            </w:pPr>
            <w:r>
              <w:rPr>
                <w:rFonts w:hint="eastAsia"/>
                <w:lang w:val="ru-RU"/>
              </w:rPr>
              <w:t>疑似涉罪类型</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MIRS</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64)</w:t>
            </w:r>
          </w:p>
        </w:tc>
        <w:tc>
          <w:tcPr>
            <w:tcW w:w="1883" w:type="dxa"/>
          </w:tcPr>
          <w:p>
            <w:pPr>
              <w:autoSpaceDE w:val="0"/>
              <w:autoSpaceDN w:val="0"/>
              <w:adjustRightInd w:val="0"/>
              <w:jc w:val="left"/>
              <w:rPr>
                <w:lang w:val="ru-RU"/>
              </w:rPr>
            </w:pPr>
            <w:r>
              <w:rPr>
                <w:rFonts w:hint="eastAsia"/>
                <w:lang w:val="ru-RU"/>
              </w:rPr>
              <w:t>人工补正标识</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rPr>
          <w:rFonts w:hint="eastAsia" w:asciiTheme="majorEastAsia" w:hAnsiTheme="majorEastAsia" w:eastAsiaTheme="majorEastAsia"/>
          <w:b/>
          <w:sz w:val="30"/>
          <w:szCs w:val="30"/>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数据字典修改</w:t>
      </w:r>
    </w:p>
    <w:p>
      <w:pPr>
        <w:pStyle w:val="5"/>
        <w:ind w:left="720"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对数据字典</w:t>
      </w:r>
      <w:r>
        <w:rPr>
          <w:rFonts w:asciiTheme="majorEastAsia" w:hAnsiTheme="majorEastAsia" w:eastAsiaTheme="majorEastAsia"/>
          <w:sz w:val="24"/>
          <w:szCs w:val="24"/>
        </w:rPr>
        <w:t>TB_DICT</w:t>
      </w:r>
      <w:r>
        <w:rPr>
          <w:rFonts w:hint="eastAsia" w:asciiTheme="majorEastAsia" w:hAnsiTheme="majorEastAsia" w:eastAsiaTheme="majorEastAsia"/>
          <w:sz w:val="24"/>
          <w:szCs w:val="24"/>
        </w:rPr>
        <w:t>进行以下的数据维护：</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hint="eastAsia"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证件类型</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hint="eastAsia"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法人证件类型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hint="eastAsia"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账户类型</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将原有账户类型选项和最新账户类型选项进行匹配替换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将原有对手账户类型选项和最新对手账户类型选项进行匹配替换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上报类型</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将原有上报类型修改为现有修改类型：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（1）新增报文，以 N 开头。 </w:t>
      </w:r>
    </w:p>
    <w:p>
      <w:pPr>
        <w:ind w:firstLine="840" w:firstLineChars="400"/>
        <w:rPr>
          <w:rFonts w:asciiTheme="majorEastAsia" w:hAnsiTheme="majorEastAsia" w:eastAsiaTheme="majorEastAsia"/>
          <w:szCs w:val="21"/>
        </w:rPr>
      </w:pPr>
      <w:r>
        <w:rPr>
          <w:rFonts w:hint="eastAsia" w:asciiTheme="majorEastAsia" w:hAnsiTheme="majorEastAsia" w:eastAsiaTheme="majorEastAsia"/>
          <w:szCs w:val="21"/>
        </w:rPr>
        <w:t>（2）修改报文，以 C 开头。</w:t>
      </w:r>
    </w:p>
    <w:p>
      <w:pPr>
        <w:ind w:firstLine="630" w:firstLineChars="300"/>
        <w:rPr>
          <w:rFonts w:hint="eastAsia" w:asciiTheme="majorEastAsia" w:hAnsiTheme="majorEastAsia" w:eastAsiaTheme="majorEastAsia"/>
          <w:szCs w:val="21"/>
        </w:rPr>
      </w:pPr>
      <w:r>
        <w:rPr>
          <w:rFonts w:hint="eastAsia" w:asciiTheme="majorEastAsia" w:hAnsiTheme="majorEastAsia" w:eastAsiaTheme="majorEastAsia"/>
          <w:szCs w:val="21"/>
        </w:rPr>
        <w:t xml:space="preserve">  （3）删除报文，以 D 开头。</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上报变更状态</w:t>
      </w:r>
    </w:p>
    <w:p>
      <w:pPr>
        <w:rPr>
          <w:rFonts w:hint="eastAsia"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 xml:space="preserve"> 将 03 “纠错”改为 “修改”</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文件类型</w:t>
      </w:r>
    </w:p>
    <w:p>
      <w:pPr>
        <w:rPr>
          <w:rFonts w:hint="eastAsia" w:asciiTheme="majorEastAsia" w:hAnsiTheme="majorEastAsia" w:eastAsiaTheme="majorEastAsia"/>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文件类型修改为 新增、修改、删除 三类</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收付款方匹配号类型</w:t>
      </w:r>
    </w:p>
    <w:p>
      <w:pPr>
        <w:pStyle w:val="5"/>
        <w:ind w:left="360" w:firstLine="0" w:firstLineChars="0"/>
        <w:rPr>
          <w:rFonts w:hint="eastAsia" w:asciiTheme="majorEastAsia" w:hAnsiTheme="majorEastAsia" w:eastAsiaTheme="majorEastAsia"/>
          <w:b/>
          <w:szCs w:val="21"/>
        </w:rPr>
      </w:pPr>
    </w:p>
    <w:p>
      <w:pPr>
        <w:pStyle w:val="5"/>
        <w:ind w:left="360"/>
        <w:rPr>
          <w:rFonts w:hint="eastAsia" w:asciiTheme="majorEastAsia" w:hAnsiTheme="majorEastAsia" w:eastAsiaTheme="majorEastAsia"/>
          <w:szCs w:val="21"/>
        </w:rPr>
      </w:pPr>
      <w:r>
        <w:rPr>
          <w:rFonts w:hint="eastAsia" w:asciiTheme="majorEastAsia" w:hAnsiTheme="majorEastAsia" w:eastAsiaTheme="majorEastAsia"/>
          <w:szCs w:val="21"/>
        </w:rPr>
        <w:t>新增收付款方匹配号类型基础数据</w:t>
      </w:r>
    </w:p>
    <w:p>
      <w:pPr>
        <w:rPr>
          <w:rFonts w:asciiTheme="majorEastAsia" w:hAnsiTheme="majorEastAsia" w:eastAsiaTheme="majorEastAsia"/>
          <w:b/>
          <w:szCs w:val="21"/>
        </w:rPr>
      </w:pPr>
      <w:r>
        <w:rPr>
          <w:rFonts w:hint="eastAsia" w:asciiTheme="majorEastAsia" w:hAnsiTheme="majorEastAsia" w:eastAsiaTheme="majorEastAsia"/>
          <w:b/>
          <w:szCs w:val="21"/>
        </w:rPr>
        <w:t>10、疑似涉罪类型</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新增疑似涉罪类型基础数据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银行卡类型</w:t>
      </w:r>
    </w:p>
    <w:p>
      <w:pPr>
        <w:pStyle w:val="5"/>
        <w:ind w:left="360" w:firstLine="435" w:firstLineChars="0"/>
        <w:rPr>
          <w:rFonts w:hint="eastAsia" w:asciiTheme="majorEastAsia" w:hAnsiTheme="majorEastAsia" w:eastAsiaTheme="majorEastAsia"/>
          <w:szCs w:val="21"/>
        </w:rPr>
      </w:pPr>
      <w:r>
        <w:rPr>
          <w:rFonts w:hint="eastAsia" w:asciiTheme="majorEastAsia" w:hAnsiTheme="majorEastAsia" w:eastAsiaTheme="majorEastAsia"/>
          <w:szCs w:val="21"/>
        </w:rPr>
        <w:t>新增银行卡类型基础数据：</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10：借记卡；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20：贷记卡；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30：准贷记卡；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90：其他</w:t>
      </w:r>
    </w:p>
    <w:p>
      <w:pPr>
        <w:pStyle w:val="5"/>
        <w:numPr>
          <w:ilvl w:val="1"/>
          <w:numId w:val="1"/>
        </w:numPr>
        <w:ind w:firstLineChars="0"/>
        <w:rPr>
          <w:rFonts w:asciiTheme="majorEastAsia" w:hAnsiTheme="majorEastAsia" w:eastAsiaTheme="majorEastAsia"/>
          <w:b/>
          <w:szCs w:val="21"/>
        </w:rPr>
      </w:pPr>
      <w:r>
        <w:rPr>
          <w:rFonts w:hint="eastAsia"/>
          <w:b/>
        </w:rPr>
        <w:t>可疑报告紧急程度</w:t>
      </w:r>
    </w:p>
    <w:p>
      <w:pPr>
        <w:ind w:left="465"/>
        <w:rPr>
          <w:rFonts w:hint="eastAsia" w:asciiTheme="majorEastAsia" w:hAnsiTheme="majorEastAsia" w:eastAsiaTheme="majorEastAsia"/>
          <w:szCs w:val="21"/>
        </w:rPr>
      </w:pPr>
      <w:r>
        <w:rPr>
          <w:rFonts w:hint="eastAsia" w:asciiTheme="majorEastAsia" w:hAnsiTheme="majorEastAsia" w:eastAsiaTheme="majorEastAsia"/>
          <w:szCs w:val="21"/>
        </w:rPr>
        <w:t>新增可疑报告紧急程度基础数据。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报送方向</w:t>
      </w:r>
    </w:p>
    <w:p>
      <w:pPr>
        <w:ind w:left="465"/>
        <w:rPr>
          <w:rFonts w:hint="eastAsia" w:asciiTheme="majorEastAsia" w:hAnsiTheme="majorEastAsia" w:eastAsiaTheme="majorEastAsia"/>
          <w:szCs w:val="21"/>
        </w:rPr>
      </w:pPr>
      <w:r>
        <w:rPr>
          <w:rFonts w:hint="eastAsia" w:asciiTheme="majorEastAsia" w:hAnsiTheme="majorEastAsia" w:eastAsiaTheme="majorEastAsia"/>
          <w:szCs w:val="21"/>
        </w:rPr>
        <w:t>新增报送方向基础数据。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非柜台交易方式</w:t>
      </w:r>
    </w:p>
    <w:p>
      <w:pPr>
        <w:ind w:left="465"/>
        <w:rPr>
          <w:rFonts w:hint="eastAsia" w:asciiTheme="majorEastAsia" w:hAnsiTheme="majorEastAsia" w:eastAsiaTheme="majorEastAsia"/>
          <w:szCs w:val="21"/>
        </w:rPr>
      </w:pPr>
      <w:r>
        <w:rPr>
          <w:rFonts w:hint="eastAsia" w:asciiTheme="majorEastAsia" w:hAnsiTheme="majorEastAsia" w:eastAsiaTheme="majorEastAsia"/>
          <w:szCs w:val="21"/>
        </w:rPr>
        <w:t>新增非柜台交易方式基础数据。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可疑交易报告触发点</w:t>
      </w:r>
    </w:p>
    <w:p>
      <w:pPr>
        <w:ind w:left="465"/>
        <w:rPr>
          <w:rFonts w:hint="eastAsia" w:asciiTheme="majorEastAsia" w:hAnsiTheme="majorEastAsia" w:eastAsiaTheme="majorEastAsia"/>
          <w:b/>
          <w:szCs w:val="21"/>
        </w:rPr>
      </w:pPr>
      <w:r>
        <w:rPr>
          <w:rFonts w:hint="eastAsia" w:asciiTheme="majorEastAsia" w:hAnsiTheme="majorEastAsia" w:eastAsiaTheme="majorEastAsia"/>
          <w:szCs w:val="21"/>
        </w:rPr>
        <w:t>新增可疑交易报告触发点基础数据</w:t>
      </w:r>
      <w:r>
        <w:rPr>
          <w:rFonts w:hint="eastAsia" w:asciiTheme="majorEastAsia" w:hAnsiTheme="majorEastAsia" w:eastAsiaTheme="majorEastAsia"/>
          <w:b/>
          <w:szCs w:val="21"/>
        </w:rPr>
        <w:t>。</w:t>
      </w:r>
    </w:p>
    <w:p>
      <w:pPr>
        <w:rPr>
          <w:rFonts w:hint="eastAsia" w:asciiTheme="majorEastAsia" w:hAnsiTheme="majorEastAsia" w:eastAsiaTheme="majorEastAsia"/>
          <w:b/>
          <w:szCs w:val="21"/>
        </w:rPr>
      </w:pPr>
    </w:p>
    <w:p>
      <w:pPr>
        <w:pStyle w:val="5"/>
        <w:ind w:left="360" w:firstLine="435" w:firstLineChars="0"/>
        <w:rPr>
          <w:rFonts w:hint="eastAsia" w:asciiTheme="majorEastAsia" w:hAnsiTheme="majorEastAsia" w:eastAsiaTheme="majorEastAsia"/>
          <w:szCs w:val="21"/>
        </w:rPr>
      </w:pPr>
    </w:p>
    <w:p>
      <w:pPr>
        <w:rPr>
          <w:rFonts w:hint="eastAsia" w:asciiTheme="majorEastAsia" w:hAnsiTheme="majorEastAsia" w:eastAsiaTheme="majorEastAsia"/>
          <w:szCs w:val="21"/>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功能修改</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客户信息维护</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对客户以下信息的维护：</w:t>
      </w:r>
    </w:p>
    <w:p>
      <w:pPr>
        <w:pStyle w:val="5"/>
        <w:numPr>
          <w:ilvl w:val="0"/>
          <w:numId w:val="6"/>
        </w:numPr>
        <w:ind w:firstLineChars="0"/>
        <w:rPr>
          <w:rFonts w:asciiTheme="majorEastAsia" w:hAnsiTheme="majorEastAsia" w:eastAsiaTheme="majorEastAsia"/>
          <w:szCs w:val="21"/>
        </w:rPr>
      </w:pPr>
      <w:r>
        <w:rPr>
          <w:rFonts w:hint="eastAsia" w:asciiTheme="majorEastAsia" w:hAnsiTheme="majorEastAsia" w:eastAsiaTheme="majorEastAsia"/>
          <w:szCs w:val="21"/>
        </w:rPr>
        <w:t>客户证件类型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客户其它证件类型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@N</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客户与金融机构的关系</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00</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@N</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客户控股股东或实际控制人名称</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默认值为：客户法人名称</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客户控股股东或实际控制人身份证件/证明文件号码</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默认值为：客户法人身份证件/证明文件号码</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默认值为：客户法人身份证件/证明文件类型</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@N</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账号信息维护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asciiTheme="majorEastAsia" w:hAnsiTheme="majorEastAsia" w:eastAsiaTheme="majorEastAsia"/>
          <w:b/>
          <w:szCs w:val="21"/>
        </w:rPr>
        <w:t xml:space="preserve">      </w:t>
      </w:r>
      <w:r>
        <w:rPr>
          <w:rFonts w:hint="eastAsia" w:asciiTheme="majorEastAsia" w:hAnsiTheme="majorEastAsia" w:eastAsiaTheme="majorEastAsia"/>
          <w:b/>
          <w:szCs w:val="21"/>
        </w:rPr>
        <w:t>对账号信息进行以下维护：</w:t>
      </w: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90</w:t>
      </w:r>
    </w:p>
    <w:p>
      <w:pPr>
        <w:rPr>
          <w:rFonts w:hint="eastAsia" w:asciiTheme="majorEastAsia" w:hAnsiTheme="majorEastAsia" w:eastAsiaTheme="majorEastAsia"/>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客户银行卡其他类型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pStyle w:val="5"/>
        <w:ind w:left="1455" w:firstLine="0" w:firstLineChars="0"/>
        <w:rPr>
          <w:rFonts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客户银行卡卡号</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hint="eastAsia"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hint="eastAsia" w:asciiTheme="majorEastAsia" w:hAnsiTheme="majorEastAsia" w:eastAsiaTheme="majorEastAsia"/>
          <w:b/>
          <w:szCs w:val="21"/>
        </w:rPr>
      </w:pPr>
      <w:r>
        <w:rPr>
          <w:rFonts w:hint="eastAsia" w:asciiTheme="majorEastAsia" w:hAnsiTheme="majorEastAsia" w:eastAsiaTheme="majorEastAsia"/>
          <w:szCs w:val="21"/>
        </w:rPr>
        <w:t>根据现有账户类型和原有账户类型比对，将原有账户类型代码替换为新的账户类型代码。（使用脚本修改</w:t>
      </w:r>
      <w:r>
        <w:rPr>
          <w:rFonts w:asciiTheme="majorEastAsia" w:hAnsiTheme="majorEastAsia" w:eastAsiaTheme="majorEastAsia"/>
          <w:szCs w:val="21"/>
        </w:rPr>
        <w:t>BI_ACCOUNY</w:t>
      </w:r>
      <w:r>
        <w:rPr>
          <w:rFonts w:hint="eastAsia" w:asciiTheme="majorEastAsia" w:hAnsiTheme="majorEastAsia" w:eastAsiaTheme="majorEastAsia"/>
          <w:szCs w:val="21"/>
        </w:rPr>
        <w:t>数据）</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对手方账户账号类型维护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1335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对以下信息进行维护：</w:t>
      </w:r>
    </w:p>
    <w:p>
      <w:pPr>
        <w:pStyle w:val="5"/>
        <w:numPr>
          <w:ilvl w:val="0"/>
          <w:numId w:val="9"/>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hint="eastAsia" w:asciiTheme="majorEastAsia" w:hAnsiTheme="majorEastAsia" w:eastAsiaTheme="majorEastAsia"/>
          <w:b/>
          <w:szCs w:val="21"/>
        </w:rPr>
      </w:pPr>
      <w:r>
        <w:rPr>
          <w:rFonts w:hint="eastAsia" w:asciiTheme="majorEastAsia" w:hAnsiTheme="majorEastAsia" w:eastAsiaTheme="majorEastAsia"/>
          <w:szCs w:val="21"/>
        </w:rPr>
        <w:t>根据现有对手方证件类型和原有对手方证件类型比对，将原有对手方证件类型代码替换为新的对手方证件类型代码。（使用脚本修改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rPr>
          <w:rFonts w:hint="eastAsia" w:asciiTheme="majorEastAsia" w:hAnsiTheme="majorEastAsia" w:eastAsiaTheme="majorEastAsia"/>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交易对手其他身份证件/证明文件类型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hint="eastAsia" w:asciiTheme="majorEastAsia" w:hAnsiTheme="majorEastAsia" w:eastAsiaTheme="majorEastAsia"/>
          <w:b/>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hint="eastAsia" w:asciiTheme="majorEastAsia" w:hAnsiTheme="majorEastAsia" w:eastAsiaTheme="majorEastAsia"/>
          <w:b/>
          <w:szCs w:val="21"/>
        </w:rPr>
      </w:pPr>
      <w:r>
        <w:rPr>
          <w:rFonts w:hint="eastAsia" w:asciiTheme="majorEastAsia" w:hAnsiTheme="majorEastAsia" w:eastAsiaTheme="majorEastAsia"/>
          <w:szCs w:val="21"/>
        </w:rPr>
        <w:t>根据现有对手方账户类型和原有对手账户件类型比对，将原有对手方账户类型代码替换为新的对手方账户类型代码。（使用脚本修改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pStyle w:val="5"/>
        <w:autoSpaceDE w:val="0"/>
        <w:autoSpaceDN w:val="0"/>
        <w:adjustRightInd w:val="0"/>
        <w:ind w:left="720" w:firstLine="0" w:firstLineChars="0"/>
        <w:jc w:val="left"/>
        <w:rPr>
          <w:rFonts w:hint="eastAsia" w:asciiTheme="majorEastAsia" w:hAnsiTheme="majorEastAsia" w:eastAsiaTheme="majorEastAsia"/>
          <w:b/>
          <w:szCs w:val="21"/>
        </w:rPr>
      </w:pPr>
    </w:p>
    <w:p>
      <w:pPr>
        <w:pStyle w:val="5"/>
        <w:ind w:left="720" w:firstLine="0" w:firstLineChars="0"/>
        <w:rPr>
          <w:rFonts w:hint="eastAsia" w:asciiTheme="majorEastAsia" w:hAnsiTheme="majorEastAsia" w:eastAsiaTheme="majorEastAsia"/>
          <w:b/>
          <w:szCs w:val="21"/>
        </w:rPr>
      </w:pP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导入后处理</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客户信息更新 增加以下字段的更新:</w:t>
      </w:r>
    </w:p>
    <w:p>
      <w:pPr>
        <w:pStyle w:val="5"/>
        <w:ind w:left="1530" w:firstLine="0" w:firstLineChars="0"/>
        <w:rPr>
          <w:rFonts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客户其它证件类型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客户法定代表人其他身份证件/证明文件类型</w:t>
      </w:r>
    </w:p>
    <w:p>
      <w:pPr>
        <w:rPr>
          <w:rFonts w:hint="eastAsia"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客户控股股东或实际控制人名称</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客户控股股东或实际控制人身份证件/证明文件号码</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客户控股股东或实际控制人身份证件/证明文件类型</w:t>
      </w:r>
    </w:p>
    <w:p>
      <w:pPr>
        <w:rPr>
          <w:rFonts w:hint="eastAsia"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客户控股股东或实际控制人其他身份证件/证明文件类型</w:t>
      </w:r>
    </w:p>
    <w:p>
      <w:pPr>
        <w:rPr>
          <w:rFonts w:hint="eastAsia" w:asciiTheme="majorEastAsia" w:hAnsiTheme="majorEastAsia" w:eastAsiaTheme="majorEastAsia"/>
          <w:szCs w:val="21"/>
        </w:rPr>
      </w:pPr>
    </w:p>
    <w:p>
      <w:pPr>
        <w:rPr>
          <w:rFonts w:hint="eastAsia" w:asciiTheme="majorEastAsia" w:hAnsiTheme="majorEastAsia" w:eastAsiaTheme="majorEastAsia"/>
          <w:szCs w:val="21"/>
        </w:rPr>
      </w:pP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账号信息更新以下字段的更新</w:t>
      </w:r>
    </w:p>
    <w:p>
      <w:pPr>
        <w:pStyle w:val="5"/>
        <w:ind w:left="1530" w:firstLine="0" w:firstLineChars="0"/>
        <w:rPr>
          <w:rFonts w:hint="eastAsia"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客户银行卡号</w:t>
      </w:r>
    </w:p>
    <w:p>
      <w:pPr>
        <w:ind w:firstLine="1680" w:firstLineChars="800"/>
        <w:rPr>
          <w:rFonts w:hint="eastAsia"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客户与金融机构的关系 默认为 00</w:t>
      </w:r>
    </w:p>
    <w:p>
      <w:pPr>
        <w:pStyle w:val="5"/>
        <w:numPr>
          <w:ilvl w:val="0"/>
          <w:numId w:val="10"/>
        </w:numPr>
        <w:ind w:firstLineChars="0"/>
        <w:rPr>
          <w:rFonts w:asciiTheme="majorEastAsia" w:hAnsiTheme="majorEastAsia" w:eastAsiaTheme="majorEastAsia"/>
          <w:szCs w:val="21"/>
        </w:rPr>
      </w:pPr>
      <w:r>
        <w:rPr>
          <w:rFonts w:hint="eastAsia"/>
          <w:lang w:val="ru-RU"/>
        </w:rPr>
        <w:t>交易金额（折人民币） 根据利率进行折算</w:t>
      </w:r>
    </w:p>
    <w:p>
      <w:pPr>
        <w:pStyle w:val="5"/>
        <w:numPr>
          <w:ilvl w:val="0"/>
          <w:numId w:val="10"/>
        </w:numPr>
        <w:ind w:firstLineChars="0"/>
        <w:rPr>
          <w:rFonts w:asciiTheme="majorEastAsia" w:hAnsiTheme="majorEastAsia" w:eastAsiaTheme="majorEastAsia"/>
          <w:szCs w:val="21"/>
        </w:rPr>
      </w:pPr>
      <w:r>
        <w:rPr>
          <w:rFonts w:hint="eastAsia"/>
          <w:lang w:val="ru-RU"/>
        </w:rPr>
        <w:t>交易信息备注 1</w:t>
      </w:r>
      <w:r>
        <w:rPr>
          <w:lang w:val="ru-RU"/>
        </w:rPr>
        <w:t xml:space="preserve">  </w:t>
      </w:r>
      <w:r>
        <w:rPr>
          <w:rFonts w:hint="eastAsia"/>
          <w:lang w:val="ru-RU"/>
        </w:rPr>
        <w:t>@N</w:t>
      </w:r>
    </w:p>
    <w:p>
      <w:pPr>
        <w:pStyle w:val="5"/>
        <w:numPr>
          <w:ilvl w:val="0"/>
          <w:numId w:val="10"/>
        </w:numPr>
        <w:ind w:firstLineChars="0"/>
        <w:rPr>
          <w:rFonts w:asciiTheme="majorEastAsia" w:hAnsiTheme="majorEastAsia" w:eastAsiaTheme="majorEastAsia"/>
          <w:szCs w:val="21"/>
        </w:rPr>
      </w:pPr>
      <w:r>
        <w:rPr>
          <w:rFonts w:hint="eastAsia"/>
          <w:lang w:val="ru-RU"/>
        </w:rPr>
        <w:t xml:space="preserve">交易信息备注 2 </w:t>
      </w:r>
      <w:r>
        <w:rPr>
          <w:lang w:val="ru-RU"/>
        </w:rPr>
        <w:t xml:space="preserve"> </w:t>
      </w:r>
      <w:r>
        <w:rPr>
          <w:rFonts w:hint="eastAsia"/>
          <w:lang w:val="ru-RU"/>
        </w:rPr>
        <w:t>@N</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AML第一次补录、一次补录审核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689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68922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drawing>
          <wp:inline distT="0" distB="0" distL="0" distR="0">
            <wp:extent cx="5272405" cy="46545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4654550"/>
                    </a:xfrm>
                    <a:prstGeom prst="rect">
                      <a:avLst/>
                    </a:prstGeom>
                    <a:noFill/>
                    <a:ln>
                      <a:noFill/>
                    </a:ln>
                  </pic:spPr>
                </pic:pic>
              </a:graphicData>
            </a:graphic>
          </wp:inline>
        </w:drawing>
      </w:r>
    </w:p>
    <w:p>
      <w:pPr>
        <w:rPr>
          <w:rFonts w:hint="eastAsia" w:asciiTheme="majorEastAsia" w:hAnsiTheme="majorEastAsia" w:eastAsiaTheme="majorEastAsia"/>
          <w:b/>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删除交易方向栏位 </w:t>
      </w:r>
    </w:p>
    <w:p>
      <w:pPr>
        <w:pStyle w:val="5"/>
        <w:ind w:left="945" w:firstLine="0" w:firstLineChars="0"/>
        <w:rPr>
          <w:rFonts w:asciiTheme="majorEastAsia" w:hAnsiTheme="majorEastAsia" w:eastAsiaTheme="majorEastAsia"/>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hint="eastAsia"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hint="eastAsia" w:asciiTheme="majorEastAsia" w:hAnsiTheme="majorEastAsia" w:eastAsiaTheme="majorEastAsia"/>
          <w:szCs w:val="21"/>
        </w:rPr>
      </w:pP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手工分析</w:t>
      </w:r>
    </w:p>
    <w:p>
      <w:pPr>
        <w:pStyle w:val="5"/>
        <w:numPr>
          <w:ilvl w:val="0"/>
          <w:numId w:val="12"/>
        </w:numPr>
        <w:ind w:firstLineChars="0"/>
        <w:rPr>
          <w:rFonts w:asciiTheme="majorEastAsia" w:hAnsiTheme="majorEastAsia" w:eastAsiaTheme="majorEastAsia"/>
          <w:szCs w:val="21"/>
        </w:rPr>
      </w:pPr>
      <w:r>
        <w:rPr>
          <w:rFonts w:hint="eastAsia" w:asciiTheme="majorEastAsia" w:hAnsiTheme="majorEastAsia" w:eastAsiaTheme="majorEastAsia"/>
          <w:szCs w:val="21"/>
        </w:rPr>
        <w:t>大额可疑规则名称 0901、0902、0903、0904更改为</w:t>
      </w:r>
    </w:p>
    <w:p>
      <w:pPr>
        <w:pStyle w:val="5"/>
        <w:ind w:left="1365" w:firstLine="0" w:firstLineChars="0"/>
        <w:rPr>
          <w:rFonts w:asciiTheme="majorEastAsia" w:hAnsiTheme="majorEastAsia" w:eastAsiaTheme="majorEastAsia"/>
          <w:szCs w:val="21"/>
        </w:rPr>
      </w:pPr>
      <w:r>
        <w:rPr>
          <w:rFonts w:asciiTheme="majorEastAsia" w:hAnsiTheme="majorEastAsia" w:eastAsiaTheme="majorEastAsia"/>
          <w:szCs w:val="21"/>
        </w:rPr>
        <w:t>0501</w:t>
      </w:r>
      <w:r>
        <w:rPr>
          <w:rFonts w:hint="eastAsia" w:asciiTheme="majorEastAsia" w:hAnsiTheme="majorEastAsia" w:eastAsiaTheme="majorEastAsia"/>
          <w:szCs w:val="21"/>
        </w:rPr>
        <w:t>、0502、0503、0504</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（2）可疑交易报告紧急程度 默认为 01</w:t>
      </w:r>
    </w:p>
    <w:p>
      <w:pPr>
        <w:rPr>
          <w:rFonts w:hint="eastAsia"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（3）报送次数标志 默认为 1</w:t>
      </w:r>
    </w:p>
    <w:p>
      <w:pPr>
        <w:autoSpaceDE w:val="0"/>
        <w:autoSpaceDN w:val="0"/>
        <w:adjustRightInd w:val="0"/>
        <w:rPr>
          <w:rFonts w:hint="eastAsia"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（4）初次报送的可疑交易报告报文名称 默认 @N</w:t>
      </w:r>
    </w:p>
    <w:p>
      <w:pPr>
        <w:autoSpaceDE w:val="0"/>
        <w:autoSpaceDN w:val="0"/>
        <w:adjustRightInd w:val="0"/>
        <w:rPr>
          <w:rFonts w:asciiTheme="majorEastAsia" w:hAnsiTheme="majorEastAsia" w:eastAsiaTheme="majorEastAsia"/>
          <w:szCs w:val="21"/>
        </w:rPr>
      </w:pPr>
      <w:r>
        <w:rPr>
          <w:rFonts w:asciiTheme="majorEastAsia" w:hAnsiTheme="majorEastAsia" w:eastAsiaTheme="majorEastAsia"/>
          <w:szCs w:val="21"/>
        </w:rPr>
        <w:t xml:space="preserve">       (5) </w:t>
      </w:r>
      <w:r>
        <w:rPr>
          <w:rFonts w:hint="eastAsia" w:asciiTheme="majorEastAsia" w:hAnsiTheme="majorEastAsia" w:eastAsiaTheme="majorEastAsia"/>
          <w:szCs w:val="21"/>
        </w:rPr>
        <w:t xml:space="preserve">报送方向 默认 </w:t>
      </w:r>
      <w:r>
        <w:rPr>
          <w:rFonts w:asciiTheme="majorEastAsia" w:hAnsiTheme="majorEastAsia" w:eastAsiaTheme="majorEastAsia"/>
          <w:szCs w:val="21"/>
        </w:rPr>
        <w:t>01</w:t>
      </w:r>
    </w:p>
    <w:p>
      <w:pPr>
        <w:autoSpaceDE w:val="0"/>
        <w:autoSpaceDN w:val="0"/>
        <w:adjustRightInd w:val="0"/>
        <w:rPr>
          <w:lang w:val="ru-RU"/>
        </w:rPr>
      </w:pPr>
      <w:r>
        <w:rPr>
          <w:rFonts w:asciiTheme="majorEastAsia" w:hAnsiTheme="majorEastAsia" w:eastAsiaTheme="majorEastAsia"/>
          <w:szCs w:val="21"/>
        </w:rPr>
        <w:t xml:space="preserve">      </w:t>
      </w:r>
      <w:r>
        <w:rPr>
          <w:rFonts w:hint="eastAsia" w:asciiTheme="majorEastAsia" w:hAnsiTheme="majorEastAsia" w:eastAsiaTheme="majorEastAsia"/>
          <w:szCs w:val="21"/>
        </w:rPr>
        <w:t>（6）</w:t>
      </w:r>
      <w:r>
        <w:rPr>
          <w:rFonts w:hint="eastAsia"/>
          <w:lang w:val="ru-RU"/>
        </w:rPr>
        <w:t>可疑交易报告触发点 默认01</w:t>
      </w:r>
    </w:p>
    <w:p>
      <w:pPr>
        <w:autoSpaceDE w:val="0"/>
        <w:autoSpaceDN w:val="0"/>
        <w:adjustRightInd w:val="0"/>
        <w:rPr>
          <w:lang w:val="ru-RU"/>
        </w:rPr>
      </w:pPr>
      <w:r>
        <w:rPr>
          <w:lang w:val="ru-RU"/>
        </w:rPr>
        <w:t xml:space="preserve">      </w:t>
      </w:r>
      <w:r>
        <w:rPr>
          <w:rFonts w:hint="eastAsia"/>
          <w:lang w:val="ru-RU"/>
        </w:rPr>
        <w:t xml:space="preserve">（7）其他可疑交易报告触发点 默认 @N </w:t>
      </w:r>
    </w:p>
    <w:p>
      <w:pPr>
        <w:autoSpaceDE w:val="0"/>
        <w:autoSpaceDN w:val="0"/>
        <w:adjustRightInd w:val="0"/>
        <w:rPr>
          <w:rFonts w:asciiTheme="majorEastAsia" w:hAnsiTheme="majorEastAsia" w:eastAsiaTheme="majorEastAsia"/>
          <w:szCs w:val="21"/>
        </w:rPr>
      </w:pPr>
      <w:r>
        <w:rPr>
          <w:lang w:val="ru-RU"/>
        </w:rPr>
        <w:t xml:space="preserve">      </w:t>
      </w:r>
      <w:r>
        <w:rPr>
          <w:rFonts w:hint="eastAsia"/>
          <w:lang w:val="ru-RU"/>
        </w:rPr>
        <w:t>（8）人工补正标识 默认 @N</w:t>
      </w:r>
    </w:p>
    <w:p>
      <w:pPr>
        <w:rPr>
          <w:rFonts w:asciiTheme="majorEastAsia" w:hAnsiTheme="majorEastAsia" w:eastAsiaTheme="majorEastAsia"/>
          <w:szCs w:val="21"/>
        </w:rPr>
      </w:pPr>
    </w:p>
    <w:p>
      <w:pPr>
        <w:rPr>
          <w:rFonts w:hint="eastAsia" w:asciiTheme="majorEastAsia" w:hAnsiTheme="majorEastAsia" w:eastAsiaTheme="majorEastAsia"/>
          <w:b/>
          <w:szCs w:val="21"/>
        </w:rPr>
      </w:pPr>
      <w:r>
        <w:rPr>
          <w:rFonts w:hint="eastAsia" w:asciiTheme="majorEastAsia" w:hAnsiTheme="majorEastAsia" w:eastAsiaTheme="majorEastAsia"/>
          <w:szCs w:val="21"/>
        </w:rPr>
        <w:t xml:space="preserve">         </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AML二次补录、AML二次补录审核</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手工新增 去除5天交易判断是否补报，取消补报状态</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大额补录、审核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1146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114675"/>
                    </a:xfrm>
                    <a:prstGeom prst="rect">
                      <a:avLst/>
                    </a:prstGeom>
                  </pic:spPr>
                </pic:pic>
              </a:graphicData>
            </a:graphic>
          </wp:inline>
        </w:drawing>
      </w: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删除</w:t>
      </w:r>
      <w:bookmarkStart w:id="0" w:name="_GoBack"/>
      <w:r>
        <w:rPr>
          <w:rFonts w:hint="eastAsia" w:asciiTheme="majorEastAsia" w:hAnsiTheme="majorEastAsia" w:eastAsiaTheme="majorEastAsia"/>
          <w:szCs w:val="21"/>
        </w:rPr>
        <w:t>交易去向国家</w:t>
      </w:r>
      <w:bookmarkEnd w:id="0"/>
      <w:r>
        <w:rPr>
          <w:rFonts w:hint="eastAsia" w:asciiTheme="majorEastAsia" w:hAnsiTheme="majorEastAsia" w:eastAsiaTheme="majorEastAsia"/>
          <w:szCs w:val="21"/>
        </w:rPr>
        <w:t xml:space="preserve">、去向地区栏位 </w:t>
      </w:r>
    </w:p>
    <w:p>
      <w:pPr>
        <w:pStyle w:val="5"/>
        <w:ind w:left="945" w:firstLine="0" w:firstLineChars="0"/>
        <w:rPr>
          <w:rFonts w:asciiTheme="majorEastAsia" w:hAnsiTheme="majorEastAsia" w:eastAsiaTheme="majorEastAsia"/>
          <w:szCs w:val="21"/>
        </w:rPr>
      </w:pP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rPr>
          <w:rFonts w:hint="eastAsia"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asciiTheme="majorEastAsia" w:hAnsiTheme="majorEastAsia" w:eastAsiaTheme="majorEastAsia"/>
          <w:b/>
          <w:szCs w:val="21"/>
        </w:rPr>
      </w:pPr>
    </w:p>
    <w:p>
      <w:pPr>
        <w:rPr>
          <w:rFonts w:hint="eastAsia" w:asciiTheme="majorEastAsia" w:hAnsiTheme="majorEastAsia" w:eastAsiaTheme="majorEastAsia"/>
          <w:b/>
          <w:szCs w:val="21"/>
        </w:rPr>
      </w:pPr>
    </w:p>
    <w:p>
      <w:pPr>
        <w:pStyle w:val="5"/>
        <w:numPr>
          <w:ilvl w:val="0"/>
          <w:numId w:val="1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564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564255"/>
                    </a:xfrm>
                    <a:prstGeom prst="rect">
                      <a:avLst/>
                    </a:prstGeom>
                  </pic:spPr>
                </pic:pic>
              </a:graphicData>
            </a:graphic>
          </wp:inline>
        </w:drawing>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删除以下栏位：</w:t>
      </w:r>
    </w:p>
    <w:p>
      <w:pPr>
        <w:ind w:left="420"/>
        <w:rPr>
          <w:rFonts w:asciiTheme="majorEastAsia" w:hAnsiTheme="majorEastAsia" w:eastAsiaTheme="majorEastAsia"/>
          <w:szCs w:val="21"/>
        </w:rPr>
      </w:pPr>
      <w:r>
        <w:rPr>
          <w:rFonts w:hint="eastAsia" w:asciiTheme="majorEastAsia" w:hAnsiTheme="majorEastAsia" w:eastAsiaTheme="majorEastAsia"/>
          <w:szCs w:val="21"/>
        </w:rPr>
        <w:t>可疑程度、可疑行为描述、采取措施</w:t>
      </w:r>
    </w:p>
    <w:p>
      <w:pPr>
        <w:ind w:left="420"/>
        <w:rPr>
          <w:rFonts w:hint="eastAsia" w:asciiTheme="majorEastAsia" w:hAnsiTheme="majorEastAsia" w:eastAsiaTheme="majorEastAsia"/>
          <w:szCs w:val="21"/>
        </w:rPr>
      </w:pP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新增以下栏位的录入和校验</w:t>
      </w: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疑似涉罪类型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多选下拉框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人工补正标识</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hint="eastAsia" w:asciiTheme="majorEastAsia" w:hAnsiTheme="majorEastAsia" w:eastAsiaTheme="majorEastAsia"/>
          <w:szCs w:val="21"/>
        </w:rPr>
      </w:pPr>
    </w:p>
    <w:p>
      <w:pPr>
        <w:rPr>
          <w:rFonts w:hint="eastAsia" w:asciiTheme="majorEastAsia" w:hAnsiTheme="majorEastAsia" w:eastAsiaTheme="majorEastAsia"/>
          <w:b/>
          <w:szCs w:val="21"/>
        </w:rPr>
      </w:pP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上报文件生成</w:t>
      </w:r>
    </w:p>
    <w:p>
      <w:pPr>
        <w:ind w:left="810"/>
        <w:rPr>
          <w:rFonts w:hint="eastAsia" w:asciiTheme="majorEastAsia" w:hAnsiTheme="majorEastAsia" w:eastAsiaTheme="majorEastAsia"/>
          <w:szCs w:val="21"/>
        </w:rPr>
      </w:pPr>
      <w:r>
        <w:rPr>
          <w:rFonts w:hint="eastAsia" w:asciiTheme="majorEastAsia" w:hAnsiTheme="majorEastAsia" w:eastAsiaTheme="majorEastAsia"/>
          <w:szCs w:val="21"/>
        </w:rPr>
        <w:t>根据接口规范报文格式及规则生成报文及压缩上报包</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回执及人工补正通知</w:t>
      </w:r>
    </w:p>
    <w:p>
      <w:pPr>
        <w:ind w:left="810"/>
        <w:rPr>
          <w:rFonts w:hint="eastAsia" w:asciiTheme="majorEastAsia" w:hAnsiTheme="majorEastAsia" w:eastAsiaTheme="majorEastAsia"/>
          <w:szCs w:val="21"/>
        </w:rPr>
      </w:pPr>
      <w:r>
        <w:rPr>
          <w:rFonts w:hint="eastAsia" w:asciiTheme="majorEastAsia" w:hAnsiTheme="majorEastAsia" w:eastAsiaTheme="majorEastAsia"/>
          <w:szCs w:val="21"/>
        </w:rPr>
        <w:t>根据接口规范报文格式进行导入</w:t>
      </w:r>
    </w:p>
    <w:p>
      <w:pPr>
        <w:pStyle w:val="5"/>
        <w:ind w:left="720" w:firstLine="0" w:firstLineChars="0"/>
        <w:rPr>
          <w:rFonts w:hint="eastAsia" w:asciiTheme="majorEastAsia" w:hAnsiTheme="majorEastAsia" w:eastAsiaTheme="majorEastAsia"/>
          <w:b/>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B2A"/>
    <w:multiLevelType w:val="multilevel"/>
    <w:tmpl w:val="03020B2A"/>
    <w:lvl w:ilvl="0" w:tentative="0">
      <w:start w:val="1"/>
      <w:numFmt w:val="decimal"/>
      <w:lvlText w:val="（%1）"/>
      <w:lvlJc w:val="left"/>
      <w:pPr>
        <w:ind w:left="637" w:hanging="720"/>
      </w:pPr>
      <w:rPr>
        <w:rFonts w:hint="default"/>
        <w:b/>
      </w:rPr>
    </w:lvl>
    <w:lvl w:ilvl="1" w:tentative="0">
      <w:start w:val="1"/>
      <w:numFmt w:val="lowerLetter"/>
      <w:lvlText w:val="%2)"/>
      <w:lvlJc w:val="left"/>
      <w:pPr>
        <w:ind w:left="757" w:hanging="420"/>
      </w:pPr>
    </w:lvl>
    <w:lvl w:ilvl="2" w:tentative="0">
      <w:start w:val="1"/>
      <w:numFmt w:val="lowerRoman"/>
      <w:lvlText w:val="%3."/>
      <w:lvlJc w:val="right"/>
      <w:pPr>
        <w:ind w:left="1177" w:hanging="420"/>
      </w:pPr>
    </w:lvl>
    <w:lvl w:ilvl="3" w:tentative="0">
      <w:start w:val="1"/>
      <w:numFmt w:val="decimal"/>
      <w:lvlText w:val="%4."/>
      <w:lvlJc w:val="left"/>
      <w:pPr>
        <w:ind w:left="1597" w:hanging="420"/>
      </w:pPr>
    </w:lvl>
    <w:lvl w:ilvl="4" w:tentative="0">
      <w:start w:val="1"/>
      <w:numFmt w:val="lowerLetter"/>
      <w:lvlText w:val="%5)"/>
      <w:lvlJc w:val="left"/>
      <w:pPr>
        <w:ind w:left="2017" w:hanging="420"/>
      </w:pPr>
    </w:lvl>
    <w:lvl w:ilvl="5" w:tentative="0">
      <w:start w:val="1"/>
      <w:numFmt w:val="lowerRoman"/>
      <w:lvlText w:val="%6."/>
      <w:lvlJc w:val="right"/>
      <w:pPr>
        <w:ind w:left="2437" w:hanging="420"/>
      </w:pPr>
    </w:lvl>
    <w:lvl w:ilvl="6" w:tentative="0">
      <w:start w:val="1"/>
      <w:numFmt w:val="decimal"/>
      <w:lvlText w:val="%7."/>
      <w:lvlJc w:val="left"/>
      <w:pPr>
        <w:ind w:left="2857" w:hanging="420"/>
      </w:pPr>
    </w:lvl>
    <w:lvl w:ilvl="7" w:tentative="0">
      <w:start w:val="1"/>
      <w:numFmt w:val="lowerLetter"/>
      <w:lvlText w:val="%8)"/>
      <w:lvlJc w:val="left"/>
      <w:pPr>
        <w:ind w:left="3277" w:hanging="420"/>
      </w:pPr>
    </w:lvl>
    <w:lvl w:ilvl="8" w:tentative="0">
      <w:start w:val="1"/>
      <w:numFmt w:val="lowerRoman"/>
      <w:lvlText w:val="%9."/>
      <w:lvlJc w:val="right"/>
      <w:pPr>
        <w:ind w:left="3697" w:hanging="420"/>
      </w:pPr>
    </w:lvl>
  </w:abstractNum>
  <w:abstractNum w:abstractNumId="1">
    <w:nsid w:val="04734EFF"/>
    <w:multiLevelType w:val="multilevel"/>
    <w:tmpl w:val="04734EFF"/>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2">
    <w:nsid w:val="04F85FC6"/>
    <w:multiLevelType w:val="multilevel"/>
    <w:tmpl w:val="04F85FC6"/>
    <w:lvl w:ilvl="0" w:tentative="0">
      <w:start w:val="1"/>
      <w:numFmt w:val="japaneseCounting"/>
      <w:lvlText w:val="%1、"/>
      <w:lvlJc w:val="left"/>
      <w:pPr>
        <w:ind w:left="720" w:hanging="720"/>
      </w:pPr>
      <w:rPr>
        <w:rFonts w:hint="default"/>
      </w:rPr>
    </w:lvl>
    <w:lvl w:ilvl="1" w:tentative="0">
      <w:start w:val="11"/>
      <w:numFmt w:val="decimal"/>
      <w:lvlText w:val="%2、"/>
      <w:lvlJc w:val="left"/>
      <w:pPr>
        <w:ind w:left="465" w:hanging="465"/>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9F1218A"/>
    <w:multiLevelType w:val="multilevel"/>
    <w:tmpl w:val="09F1218A"/>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4">
    <w:nsid w:val="14F118A9"/>
    <w:multiLevelType w:val="multilevel"/>
    <w:tmpl w:val="14F118A9"/>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5">
    <w:nsid w:val="2CF1560D"/>
    <w:multiLevelType w:val="multilevel"/>
    <w:tmpl w:val="2CF1560D"/>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6">
    <w:nsid w:val="3A225F82"/>
    <w:multiLevelType w:val="multilevel"/>
    <w:tmpl w:val="3A225F82"/>
    <w:lvl w:ilvl="0" w:tentative="0">
      <w:start w:val="1"/>
      <w:numFmt w:val="bullet"/>
      <w:lvlText w:val=""/>
      <w:lvlJc w:val="left"/>
      <w:pPr>
        <w:ind w:left="645" w:hanging="420"/>
      </w:pPr>
      <w:rPr>
        <w:rFonts w:hint="default" w:ascii="Wingdings" w:hAnsi="Wingdings"/>
      </w:rPr>
    </w:lvl>
    <w:lvl w:ilvl="1" w:tentative="0">
      <w:start w:val="1"/>
      <w:numFmt w:val="bullet"/>
      <w:lvlText w:val=""/>
      <w:lvlJc w:val="left"/>
      <w:pPr>
        <w:ind w:left="1065" w:hanging="420"/>
      </w:pPr>
      <w:rPr>
        <w:rFonts w:hint="default" w:ascii="Wingdings" w:hAnsi="Wingdings"/>
      </w:rPr>
    </w:lvl>
    <w:lvl w:ilvl="2" w:tentative="0">
      <w:start w:val="1"/>
      <w:numFmt w:val="bullet"/>
      <w:lvlText w:val=""/>
      <w:lvlJc w:val="left"/>
      <w:pPr>
        <w:ind w:left="1485" w:hanging="420"/>
      </w:pPr>
      <w:rPr>
        <w:rFonts w:hint="default" w:ascii="Wingdings" w:hAnsi="Wingdings"/>
      </w:rPr>
    </w:lvl>
    <w:lvl w:ilvl="3" w:tentative="0">
      <w:start w:val="1"/>
      <w:numFmt w:val="bullet"/>
      <w:lvlText w:val=""/>
      <w:lvlJc w:val="left"/>
      <w:pPr>
        <w:ind w:left="1905" w:hanging="420"/>
      </w:pPr>
      <w:rPr>
        <w:rFonts w:hint="default" w:ascii="Wingdings" w:hAnsi="Wingdings"/>
      </w:rPr>
    </w:lvl>
    <w:lvl w:ilvl="4" w:tentative="0">
      <w:start w:val="1"/>
      <w:numFmt w:val="bullet"/>
      <w:lvlText w:val=""/>
      <w:lvlJc w:val="left"/>
      <w:pPr>
        <w:ind w:left="2325" w:hanging="420"/>
      </w:pPr>
      <w:rPr>
        <w:rFonts w:hint="default" w:ascii="Wingdings" w:hAnsi="Wingdings"/>
      </w:rPr>
    </w:lvl>
    <w:lvl w:ilvl="5" w:tentative="0">
      <w:start w:val="1"/>
      <w:numFmt w:val="bullet"/>
      <w:lvlText w:val=""/>
      <w:lvlJc w:val="left"/>
      <w:pPr>
        <w:ind w:left="2745" w:hanging="420"/>
      </w:pPr>
      <w:rPr>
        <w:rFonts w:hint="default" w:ascii="Wingdings" w:hAnsi="Wingdings"/>
      </w:rPr>
    </w:lvl>
    <w:lvl w:ilvl="6" w:tentative="0">
      <w:start w:val="1"/>
      <w:numFmt w:val="bullet"/>
      <w:lvlText w:val=""/>
      <w:lvlJc w:val="left"/>
      <w:pPr>
        <w:ind w:left="3165" w:hanging="420"/>
      </w:pPr>
      <w:rPr>
        <w:rFonts w:hint="default" w:ascii="Wingdings" w:hAnsi="Wingdings"/>
      </w:rPr>
    </w:lvl>
    <w:lvl w:ilvl="7" w:tentative="0">
      <w:start w:val="1"/>
      <w:numFmt w:val="bullet"/>
      <w:lvlText w:val=""/>
      <w:lvlJc w:val="left"/>
      <w:pPr>
        <w:ind w:left="3585" w:hanging="420"/>
      </w:pPr>
      <w:rPr>
        <w:rFonts w:hint="default" w:ascii="Wingdings" w:hAnsi="Wingdings"/>
      </w:rPr>
    </w:lvl>
    <w:lvl w:ilvl="8" w:tentative="0">
      <w:start w:val="1"/>
      <w:numFmt w:val="bullet"/>
      <w:lvlText w:val=""/>
      <w:lvlJc w:val="left"/>
      <w:pPr>
        <w:ind w:left="4005" w:hanging="420"/>
      </w:pPr>
      <w:rPr>
        <w:rFonts w:hint="default" w:ascii="Wingdings" w:hAnsi="Wingdings"/>
      </w:rPr>
    </w:lvl>
  </w:abstractNum>
  <w:abstractNum w:abstractNumId="7">
    <w:nsid w:val="3B5746CF"/>
    <w:multiLevelType w:val="multilevel"/>
    <w:tmpl w:val="3B5746CF"/>
    <w:lvl w:ilvl="0" w:tentative="0">
      <w:start w:val="1"/>
      <w:numFmt w:val="decimal"/>
      <w:lvlText w:val="（%1）"/>
      <w:lvlJc w:val="left"/>
      <w:pPr>
        <w:ind w:left="945" w:hanging="72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8">
    <w:nsid w:val="44BA5CE9"/>
    <w:multiLevelType w:val="multilevel"/>
    <w:tmpl w:val="44BA5CE9"/>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9">
    <w:nsid w:val="4D126143"/>
    <w:multiLevelType w:val="multilevel"/>
    <w:tmpl w:val="4D126143"/>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0">
    <w:nsid w:val="5AB1095A"/>
    <w:multiLevelType w:val="multilevel"/>
    <w:tmpl w:val="5AB1095A"/>
    <w:lvl w:ilvl="0" w:tentative="0">
      <w:start w:val="1"/>
      <w:numFmt w:val="bullet"/>
      <w:lvlText w:val=""/>
      <w:lvlJc w:val="left"/>
      <w:pPr>
        <w:ind w:left="731" w:hanging="420"/>
      </w:pPr>
      <w:rPr>
        <w:rFonts w:hint="default" w:ascii="Wingdings" w:hAnsi="Wingdings"/>
      </w:rPr>
    </w:lvl>
    <w:lvl w:ilvl="1" w:tentative="0">
      <w:start w:val="1"/>
      <w:numFmt w:val="bullet"/>
      <w:lvlText w:val=""/>
      <w:lvlJc w:val="left"/>
      <w:pPr>
        <w:ind w:left="1151" w:hanging="420"/>
      </w:pPr>
      <w:rPr>
        <w:rFonts w:hint="default" w:ascii="Wingdings" w:hAnsi="Wingdings"/>
      </w:rPr>
    </w:lvl>
    <w:lvl w:ilvl="2" w:tentative="0">
      <w:start w:val="1"/>
      <w:numFmt w:val="bullet"/>
      <w:lvlText w:val=""/>
      <w:lvlJc w:val="left"/>
      <w:pPr>
        <w:ind w:left="1571" w:hanging="420"/>
      </w:pPr>
      <w:rPr>
        <w:rFonts w:hint="default" w:ascii="Wingdings" w:hAnsi="Wingdings"/>
      </w:rPr>
    </w:lvl>
    <w:lvl w:ilvl="3" w:tentative="0">
      <w:start w:val="1"/>
      <w:numFmt w:val="bullet"/>
      <w:lvlText w:val=""/>
      <w:lvlJc w:val="left"/>
      <w:pPr>
        <w:ind w:left="1991" w:hanging="420"/>
      </w:pPr>
      <w:rPr>
        <w:rFonts w:hint="default" w:ascii="Wingdings" w:hAnsi="Wingdings"/>
      </w:rPr>
    </w:lvl>
    <w:lvl w:ilvl="4" w:tentative="0">
      <w:start w:val="1"/>
      <w:numFmt w:val="bullet"/>
      <w:lvlText w:val=""/>
      <w:lvlJc w:val="left"/>
      <w:pPr>
        <w:ind w:left="2411" w:hanging="420"/>
      </w:pPr>
      <w:rPr>
        <w:rFonts w:hint="default" w:ascii="Wingdings" w:hAnsi="Wingdings"/>
      </w:rPr>
    </w:lvl>
    <w:lvl w:ilvl="5" w:tentative="0">
      <w:start w:val="1"/>
      <w:numFmt w:val="bullet"/>
      <w:lvlText w:val=""/>
      <w:lvlJc w:val="left"/>
      <w:pPr>
        <w:ind w:left="2831" w:hanging="420"/>
      </w:pPr>
      <w:rPr>
        <w:rFonts w:hint="default" w:ascii="Wingdings" w:hAnsi="Wingdings"/>
      </w:rPr>
    </w:lvl>
    <w:lvl w:ilvl="6" w:tentative="0">
      <w:start w:val="1"/>
      <w:numFmt w:val="bullet"/>
      <w:lvlText w:val=""/>
      <w:lvlJc w:val="left"/>
      <w:pPr>
        <w:ind w:left="3251" w:hanging="420"/>
      </w:pPr>
      <w:rPr>
        <w:rFonts w:hint="default" w:ascii="Wingdings" w:hAnsi="Wingdings"/>
      </w:rPr>
    </w:lvl>
    <w:lvl w:ilvl="7" w:tentative="0">
      <w:start w:val="1"/>
      <w:numFmt w:val="bullet"/>
      <w:lvlText w:val=""/>
      <w:lvlJc w:val="left"/>
      <w:pPr>
        <w:ind w:left="3671" w:hanging="420"/>
      </w:pPr>
      <w:rPr>
        <w:rFonts w:hint="default" w:ascii="Wingdings" w:hAnsi="Wingdings"/>
      </w:rPr>
    </w:lvl>
    <w:lvl w:ilvl="8" w:tentative="0">
      <w:start w:val="1"/>
      <w:numFmt w:val="bullet"/>
      <w:lvlText w:val=""/>
      <w:lvlJc w:val="left"/>
      <w:pPr>
        <w:ind w:left="4091" w:hanging="420"/>
      </w:pPr>
      <w:rPr>
        <w:rFonts w:hint="default" w:ascii="Wingdings" w:hAnsi="Wingdings"/>
      </w:rPr>
    </w:lvl>
  </w:abstractNum>
  <w:abstractNum w:abstractNumId="11">
    <w:nsid w:val="5EDB460F"/>
    <w:multiLevelType w:val="multilevel"/>
    <w:tmpl w:val="5EDB46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8C21F5E"/>
    <w:multiLevelType w:val="multilevel"/>
    <w:tmpl w:val="68C21F5E"/>
    <w:lvl w:ilvl="0" w:tentative="0">
      <w:start w:val="1"/>
      <w:numFmt w:val="decimal"/>
      <w:lvlText w:val="（%1）"/>
      <w:lvlJc w:val="left"/>
      <w:pPr>
        <w:ind w:left="1530" w:hanging="720"/>
      </w:pPr>
      <w:rPr>
        <w:rFonts w:hint="default"/>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13">
    <w:nsid w:val="6A38285F"/>
    <w:multiLevelType w:val="multilevel"/>
    <w:tmpl w:val="6A38285F"/>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2715" w:hanging="420"/>
      </w:pPr>
      <w:rPr>
        <w:rFonts w:hint="default" w:ascii="Wingdings" w:hAnsi="Wingdings"/>
      </w:rPr>
    </w:lvl>
    <w:lvl w:ilvl="2" w:tentative="0">
      <w:start w:val="1"/>
      <w:numFmt w:val="bullet"/>
      <w:lvlText w:val=""/>
      <w:lvlJc w:val="left"/>
      <w:pPr>
        <w:ind w:left="3135" w:hanging="420"/>
      </w:pPr>
      <w:rPr>
        <w:rFonts w:hint="default" w:ascii="Wingdings" w:hAnsi="Wingdings"/>
      </w:rPr>
    </w:lvl>
    <w:lvl w:ilvl="3" w:tentative="0">
      <w:start w:val="1"/>
      <w:numFmt w:val="bullet"/>
      <w:lvlText w:val=""/>
      <w:lvlJc w:val="left"/>
      <w:pPr>
        <w:ind w:left="3555" w:hanging="420"/>
      </w:pPr>
      <w:rPr>
        <w:rFonts w:hint="default" w:ascii="Wingdings" w:hAnsi="Wingdings"/>
      </w:rPr>
    </w:lvl>
    <w:lvl w:ilvl="4" w:tentative="0">
      <w:start w:val="1"/>
      <w:numFmt w:val="bullet"/>
      <w:lvlText w:val=""/>
      <w:lvlJc w:val="left"/>
      <w:pPr>
        <w:ind w:left="3975" w:hanging="420"/>
      </w:pPr>
      <w:rPr>
        <w:rFonts w:hint="default" w:ascii="Wingdings" w:hAnsi="Wingdings"/>
      </w:rPr>
    </w:lvl>
    <w:lvl w:ilvl="5" w:tentative="0">
      <w:start w:val="1"/>
      <w:numFmt w:val="bullet"/>
      <w:lvlText w:val=""/>
      <w:lvlJc w:val="left"/>
      <w:pPr>
        <w:ind w:left="4395" w:hanging="420"/>
      </w:pPr>
      <w:rPr>
        <w:rFonts w:hint="default" w:ascii="Wingdings" w:hAnsi="Wingdings"/>
      </w:rPr>
    </w:lvl>
    <w:lvl w:ilvl="6" w:tentative="0">
      <w:start w:val="1"/>
      <w:numFmt w:val="bullet"/>
      <w:lvlText w:val=""/>
      <w:lvlJc w:val="left"/>
      <w:pPr>
        <w:ind w:left="4815" w:hanging="420"/>
      </w:pPr>
      <w:rPr>
        <w:rFonts w:hint="default" w:ascii="Wingdings" w:hAnsi="Wingdings"/>
      </w:rPr>
    </w:lvl>
    <w:lvl w:ilvl="7" w:tentative="0">
      <w:start w:val="1"/>
      <w:numFmt w:val="bullet"/>
      <w:lvlText w:val=""/>
      <w:lvlJc w:val="left"/>
      <w:pPr>
        <w:ind w:left="5235" w:hanging="420"/>
      </w:pPr>
      <w:rPr>
        <w:rFonts w:hint="default" w:ascii="Wingdings" w:hAnsi="Wingdings"/>
      </w:rPr>
    </w:lvl>
    <w:lvl w:ilvl="8" w:tentative="0">
      <w:start w:val="1"/>
      <w:numFmt w:val="bullet"/>
      <w:lvlText w:val=""/>
      <w:lvlJc w:val="left"/>
      <w:pPr>
        <w:ind w:left="5655" w:hanging="420"/>
      </w:pPr>
      <w:rPr>
        <w:rFonts w:hint="default" w:ascii="Wingdings" w:hAnsi="Wingdings"/>
      </w:rPr>
    </w:lvl>
  </w:abstractNum>
  <w:abstractNum w:abstractNumId="14">
    <w:nsid w:val="7A7104BD"/>
    <w:multiLevelType w:val="multilevel"/>
    <w:tmpl w:val="7A7104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14"/>
  </w:num>
  <w:num w:numId="4">
    <w:abstractNumId w:val="10"/>
  </w:num>
  <w:num w:numId="5">
    <w:abstractNumId w:val="8"/>
  </w:num>
  <w:num w:numId="6">
    <w:abstractNumId w:val="9"/>
  </w:num>
  <w:num w:numId="7">
    <w:abstractNumId w:val="13"/>
  </w:num>
  <w:num w:numId="8">
    <w:abstractNumId w:val="1"/>
  </w:num>
  <w:num w:numId="9">
    <w:abstractNumId w:val="0"/>
  </w:num>
  <w:num w:numId="10">
    <w:abstractNumId w:val="12"/>
  </w:num>
  <w:num w:numId="11">
    <w:abstractNumId w:val="7"/>
  </w:num>
  <w:num w:numId="12">
    <w:abstractNumId w:val="3"/>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B"/>
    <w:rsid w:val="00011D77"/>
    <w:rsid w:val="00043B0D"/>
    <w:rsid w:val="000458D9"/>
    <w:rsid w:val="0004604C"/>
    <w:rsid w:val="00046CFA"/>
    <w:rsid w:val="00056460"/>
    <w:rsid w:val="000653C2"/>
    <w:rsid w:val="00066107"/>
    <w:rsid w:val="00097B22"/>
    <w:rsid w:val="000A214A"/>
    <w:rsid w:val="000D1E61"/>
    <w:rsid w:val="000D6705"/>
    <w:rsid w:val="000E17CA"/>
    <w:rsid w:val="0010017F"/>
    <w:rsid w:val="001004C6"/>
    <w:rsid w:val="00115BFB"/>
    <w:rsid w:val="00125368"/>
    <w:rsid w:val="00130C5C"/>
    <w:rsid w:val="001757CB"/>
    <w:rsid w:val="001B02F3"/>
    <w:rsid w:val="001B1C08"/>
    <w:rsid w:val="001E3687"/>
    <w:rsid w:val="00210D68"/>
    <w:rsid w:val="00250A15"/>
    <w:rsid w:val="0025340C"/>
    <w:rsid w:val="00264374"/>
    <w:rsid w:val="002C393F"/>
    <w:rsid w:val="003270BB"/>
    <w:rsid w:val="003808EF"/>
    <w:rsid w:val="0038575B"/>
    <w:rsid w:val="003C6628"/>
    <w:rsid w:val="003C6B7E"/>
    <w:rsid w:val="003D05C9"/>
    <w:rsid w:val="003D0852"/>
    <w:rsid w:val="003F1829"/>
    <w:rsid w:val="004133AB"/>
    <w:rsid w:val="004259CE"/>
    <w:rsid w:val="00432BB9"/>
    <w:rsid w:val="004510DD"/>
    <w:rsid w:val="00480EDA"/>
    <w:rsid w:val="00486942"/>
    <w:rsid w:val="00487448"/>
    <w:rsid w:val="004B20D3"/>
    <w:rsid w:val="004E7F9C"/>
    <w:rsid w:val="004F3AB0"/>
    <w:rsid w:val="00502CE5"/>
    <w:rsid w:val="0050498F"/>
    <w:rsid w:val="00507609"/>
    <w:rsid w:val="005300C9"/>
    <w:rsid w:val="005476CA"/>
    <w:rsid w:val="0058376E"/>
    <w:rsid w:val="005A02D6"/>
    <w:rsid w:val="005A0546"/>
    <w:rsid w:val="005D43AB"/>
    <w:rsid w:val="005D69C1"/>
    <w:rsid w:val="005D7946"/>
    <w:rsid w:val="005E3456"/>
    <w:rsid w:val="005E509C"/>
    <w:rsid w:val="0061097E"/>
    <w:rsid w:val="00613AEC"/>
    <w:rsid w:val="0062566F"/>
    <w:rsid w:val="00644278"/>
    <w:rsid w:val="006537E6"/>
    <w:rsid w:val="00661386"/>
    <w:rsid w:val="006A2B91"/>
    <w:rsid w:val="006B3047"/>
    <w:rsid w:val="006C106C"/>
    <w:rsid w:val="006D1413"/>
    <w:rsid w:val="006E340A"/>
    <w:rsid w:val="007467CF"/>
    <w:rsid w:val="007500FF"/>
    <w:rsid w:val="007B7DE6"/>
    <w:rsid w:val="007C299A"/>
    <w:rsid w:val="007E4430"/>
    <w:rsid w:val="007F4D4D"/>
    <w:rsid w:val="00823D3E"/>
    <w:rsid w:val="00847FA5"/>
    <w:rsid w:val="00897202"/>
    <w:rsid w:val="008E0D10"/>
    <w:rsid w:val="008E1CB0"/>
    <w:rsid w:val="009019DE"/>
    <w:rsid w:val="009249DB"/>
    <w:rsid w:val="009339A9"/>
    <w:rsid w:val="00940794"/>
    <w:rsid w:val="009416D9"/>
    <w:rsid w:val="00960C7F"/>
    <w:rsid w:val="00965716"/>
    <w:rsid w:val="00993148"/>
    <w:rsid w:val="009A12E1"/>
    <w:rsid w:val="009D1AD2"/>
    <w:rsid w:val="009D776B"/>
    <w:rsid w:val="00A13545"/>
    <w:rsid w:val="00A15264"/>
    <w:rsid w:val="00A15667"/>
    <w:rsid w:val="00A570E8"/>
    <w:rsid w:val="00A72D23"/>
    <w:rsid w:val="00A7424D"/>
    <w:rsid w:val="00A833A1"/>
    <w:rsid w:val="00AC5F70"/>
    <w:rsid w:val="00AD21CE"/>
    <w:rsid w:val="00B0220E"/>
    <w:rsid w:val="00B120A4"/>
    <w:rsid w:val="00B32B52"/>
    <w:rsid w:val="00B442CF"/>
    <w:rsid w:val="00B679CC"/>
    <w:rsid w:val="00B73D55"/>
    <w:rsid w:val="00B86C0C"/>
    <w:rsid w:val="00BC3024"/>
    <w:rsid w:val="00BC6CEE"/>
    <w:rsid w:val="00BE49F9"/>
    <w:rsid w:val="00BE7E5E"/>
    <w:rsid w:val="00C07B91"/>
    <w:rsid w:val="00C525CD"/>
    <w:rsid w:val="00C573B1"/>
    <w:rsid w:val="00CB5B93"/>
    <w:rsid w:val="00CC3262"/>
    <w:rsid w:val="00CD2BBA"/>
    <w:rsid w:val="00CE0817"/>
    <w:rsid w:val="00CE0E82"/>
    <w:rsid w:val="00CF28AB"/>
    <w:rsid w:val="00D0287C"/>
    <w:rsid w:val="00D07246"/>
    <w:rsid w:val="00D3189B"/>
    <w:rsid w:val="00D45120"/>
    <w:rsid w:val="00D636E4"/>
    <w:rsid w:val="00D6482C"/>
    <w:rsid w:val="00D70D66"/>
    <w:rsid w:val="00D71161"/>
    <w:rsid w:val="00DB193D"/>
    <w:rsid w:val="00DD0C58"/>
    <w:rsid w:val="00DD77BF"/>
    <w:rsid w:val="00DE5B8F"/>
    <w:rsid w:val="00DE5D1F"/>
    <w:rsid w:val="00E0112D"/>
    <w:rsid w:val="00E16420"/>
    <w:rsid w:val="00E56CB6"/>
    <w:rsid w:val="00E66077"/>
    <w:rsid w:val="00E7107E"/>
    <w:rsid w:val="00E870B0"/>
    <w:rsid w:val="00EC44E7"/>
    <w:rsid w:val="00F02200"/>
    <w:rsid w:val="00F13C4E"/>
    <w:rsid w:val="00F209B9"/>
    <w:rsid w:val="00F45D9A"/>
    <w:rsid w:val="00F82EDB"/>
    <w:rsid w:val="00FC6C01"/>
    <w:rsid w:val="00FD42D8"/>
    <w:rsid w:val="00FE4427"/>
    <w:rsid w:val="07C231C6"/>
    <w:rsid w:val="1B3A2130"/>
    <w:rsid w:val="21B829B9"/>
    <w:rsid w:val="28902F36"/>
    <w:rsid w:val="2ADE1FAE"/>
    <w:rsid w:val="4455583F"/>
    <w:rsid w:val="464C55D6"/>
    <w:rsid w:val="517E18B3"/>
    <w:rsid w:val="52A33D82"/>
    <w:rsid w:val="5E3D3FAD"/>
    <w:rsid w:val="6ACE6B11"/>
    <w:rsid w:val="6E3E2B46"/>
    <w:rsid w:val="77382E23"/>
    <w:rsid w:val="7DE4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931</Words>
  <Characters>5309</Characters>
  <Lines>44</Lines>
  <Paragraphs>12</Paragraphs>
  <ScaleCrop>false</ScaleCrop>
  <LinksUpToDate>false</LinksUpToDate>
  <CharactersWithSpaces>6228</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2017-08-25T05:15:00Z</dcterms:created>
  <dc:creator>wjx</dc:creator>
  <cp:lastModifiedBy>think</cp:lastModifiedBy>
  <dcterms:modified xsi:type="dcterms:W3CDTF">2017-08-31T09:58:56Z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