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D3F48" w14:textId="305E6F06" w:rsidR="007254FD" w:rsidRPr="007254FD" w:rsidRDefault="007254FD" w:rsidP="007254FD">
      <w:pPr>
        <w:rPr>
          <w:b/>
          <w:bCs/>
          <w:lang w:val="en-CA"/>
        </w:rPr>
      </w:pPr>
      <w:r w:rsidRPr="007254FD">
        <w:rPr>
          <w:b/>
          <w:bCs/>
          <w:lang w:val="en-CA"/>
        </w:rPr>
        <w:t xml:space="preserve">1. </w:t>
      </w:r>
      <w:r w:rsidR="00BD0F3F">
        <w:rPr>
          <w:b/>
          <w:bCs/>
          <w:lang w:val="en-CA"/>
        </w:rPr>
        <w:t>Tribunal Comments from the Cineplex Decision</w:t>
      </w:r>
    </w:p>
    <w:p w14:paraId="07219D54" w14:textId="0E5B442A" w:rsidR="007254FD" w:rsidRDefault="007254FD" w:rsidP="007254FD">
      <w:pPr>
        <w:rPr>
          <w:lang w:val="en-CA"/>
        </w:rPr>
      </w:pPr>
      <w:r w:rsidRPr="007254FD">
        <w:rPr>
          <w:lang w:val="en-CA"/>
        </w:rPr>
        <w:t>Paragraph 446</w:t>
      </w:r>
      <w:r w:rsidR="00BD0F3F">
        <w:rPr>
          <w:lang w:val="en-CA"/>
        </w:rPr>
        <w:t xml:space="preserve"> of the Cineplex decision</w:t>
      </w:r>
      <w:r w:rsidRPr="007254FD">
        <w:rPr>
          <w:lang w:val="en-CA"/>
        </w:rPr>
        <w:t xml:space="preserve"> rejects </w:t>
      </w:r>
      <w:r w:rsidR="00BD0F3F">
        <w:rPr>
          <w:lang w:val="en-CA"/>
        </w:rPr>
        <w:t>the defense’s</w:t>
      </w:r>
      <w:r w:rsidRPr="007254FD">
        <w:rPr>
          <w:lang w:val="en-CA"/>
        </w:rPr>
        <w:t xml:space="preserve"> “</w:t>
      </w:r>
      <w:r w:rsidR="00BD0F3F">
        <w:rPr>
          <w:lang w:val="en-CA"/>
        </w:rPr>
        <w:t>customers</w:t>
      </w:r>
      <w:r w:rsidRPr="007254FD">
        <w:rPr>
          <w:lang w:val="en-CA"/>
        </w:rPr>
        <w:t xml:space="preserve"> got value” </w:t>
      </w:r>
      <w:r w:rsidR="00BD0F3F">
        <w:rPr>
          <w:lang w:val="en-CA"/>
        </w:rPr>
        <w:t>argument</w:t>
      </w:r>
      <w:r w:rsidRPr="007254FD">
        <w:rPr>
          <w:lang w:val="en-CA"/>
        </w:rPr>
        <w:t xml:space="preserve"> and notes that Cineplex presented no quantification of how much the fee </w:t>
      </w:r>
      <w:proofErr w:type="gramStart"/>
      <w:r w:rsidRPr="007254FD">
        <w:rPr>
          <w:lang w:val="en-CA"/>
        </w:rPr>
        <w:t>actually mattered</w:t>
      </w:r>
      <w:proofErr w:type="gramEnd"/>
      <w:r w:rsidRPr="007254FD">
        <w:rPr>
          <w:lang w:val="en-CA"/>
        </w:rPr>
        <w:t>. Because Cineplex offered neither evidence nor argument on any offsetting consumer benefit, the Tribunal gave its argument “little weight</w:t>
      </w:r>
      <w:r w:rsidR="00BD0F3F">
        <w:rPr>
          <w:lang w:val="en-CA"/>
        </w:rPr>
        <w:t>.</w:t>
      </w:r>
      <w:r w:rsidRPr="007254FD">
        <w:rPr>
          <w:lang w:val="en-CA"/>
        </w:rPr>
        <w:t>”</w:t>
      </w:r>
    </w:p>
    <w:p w14:paraId="576B65D7" w14:textId="400DD9B7" w:rsidR="007254FD" w:rsidRPr="007254FD" w:rsidRDefault="007254FD" w:rsidP="007254FD">
      <w:pPr>
        <w:rPr>
          <w:lang w:val="en-CA"/>
        </w:rPr>
      </w:pPr>
      <w:r>
        <w:rPr>
          <w:lang w:val="en-CA"/>
        </w:rPr>
        <w:t>“</w:t>
      </w:r>
      <w:r w:rsidRPr="007254FD">
        <w:rPr>
          <w:lang w:val="en-CA"/>
        </w:rPr>
        <w:t xml:space="preserve">If Cineplex’s argument seeks to prevent an order entirely under paragraph 74.1(1)(d), I am unable accept it. Receipt of some “value” does not excuse reviewable conduct. Nor should it preclude any possibility of such a remedy in a case in which the consumer </w:t>
      </w:r>
      <w:proofErr w:type="gramStart"/>
      <w:r w:rsidRPr="007254FD">
        <w:rPr>
          <w:lang w:val="en-CA"/>
        </w:rPr>
        <w:t>actually receives</w:t>
      </w:r>
      <w:proofErr w:type="gramEnd"/>
      <w:r w:rsidRPr="007254FD">
        <w:rPr>
          <w:lang w:val="en-CA"/>
        </w:rPr>
        <w:t xml:space="preserve"> the product or service but paid more than the represented price. Accepting such an argument would also appear to preclude a refund or similar remedy when a displayed price is unattainable due to only a small fixed obligatory charge or fee. Alternatively, </w:t>
      </w:r>
      <w:r w:rsidRPr="007254FD">
        <w:rPr>
          <w:b/>
          <w:bCs/>
          <w:lang w:val="en-CA"/>
        </w:rPr>
        <w:t>if Cineplex’s argument seeks not to prevent an order under paragraph 74.1(1)(d) but instead to mitigate the quantum payable, it cannot succeed in this case because Cineplex did not attempt to quantify its impact on the quantum to be ordered</w:t>
      </w:r>
      <w:r w:rsidRPr="007254FD">
        <w:rPr>
          <w:lang w:val="en-CA"/>
        </w:rPr>
        <w:t>, either in the evidence or in argument.</w:t>
      </w:r>
      <w:r>
        <w:rPr>
          <w:lang w:val="en-CA"/>
        </w:rPr>
        <w:t>”</w:t>
      </w:r>
    </w:p>
    <w:p w14:paraId="2F9D4FD9" w14:textId="0D7CF3F3" w:rsidR="007254FD" w:rsidRDefault="007254FD" w:rsidP="007254FD">
      <w:pPr>
        <w:rPr>
          <w:lang w:val="en-CA"/>
        </w:rPr>
      </w:pPr>
      <w:r w:rsidRPr="007254FD">
        <w:rPr>
          <w:lang w:val="en-CA"/>
        </w:rPr>
        <w:t>That</w:t>
      </w:r>
      <w:r w:rsidR="00730D5B">
        <w:rPr>
          <w:lang w:val="en-CA"/>
        </w:rPr>
        <w:t xml:space="preserve">, I think, can be interpreted as an </w:t>
      </w:r>
      <w:r w:rsidRPr="007254FD">
        <w:rPr>
          <w:lang w:val="en-CA"/>
        </w:rPr>
        <w:t>invitation</w:t>
      </w:r>
      <w:r w:rsidR="00730D5B">
        <w:rPr>
          <w:lang w:val="en-CA"/>
        </w:rPr>
        <w:t xml:space="preserve"> to determine the but-for world quantitatively.</w:t>
      </w:r>
    </w:p>
    <w:p w14:paraId="55F9481D" w14:textId="3201AA3B" w:rsidR="00205090" w:rsidRPr="007254FD" w:rsidRDefault="00205090" w:rsidP="007254FD">
      <w:pPr>
        <w:rPr>
          <w:lang w:val="en-CA"/>
        </w:rPr>
      </w:pPr>
      <w:r>
        <w:rPr>
          <w:lang w:val="en-CA"/>
        </w:rPr>
        <w:t xml:space="preserve">Below, I try to develop a basic framework and a toy model to show how one might argue to reduce the quantum payable. Such an argument would be made “in the alternative.” It should also be noted that depending on the but-for world chosen by the Tribunal and the elasticity of demand, it’s also possible that the quantum would </w:t>
      </w:r>
      <w:r>
        <w:rPr>
          <w:b/>
          <w:bCs/>
          <w:lang w:val="en-CA"/>
        </w:rPr>
        <w:t>increase</w:t>
      </w:r>
      <w:r>
        <w:rPr>
          <w:lang w:val="en-CA"/>
        </w:rPr>
        <w:t xml:space="preserve"> from the total revenue collected from the dripped fee (this is because Cineplex made sales it would not have made but for the conduct).</w:t>
      </w:r>
    </w:p>
    <w:p w14:paraId="410CF161" w14:textId="77777777" w:rsidR="007254FD" w:rsidRPr="007254FD" w:rsidRDefault="007254FD" w:rsidP="007254FD">
      <w:pPr>
        <w:rPr>
          <w:lang w:val="en-CA"/>
        </w:rPr>
      </w:pPr>
      <w:r w:rsidRPr="007254FD">
        <w:rPr>
          <w:lang w:val="en-CA"/>
        </w:rPr>
        <w:pict w14:anchorId="5DD3A14D">
          <v:rect id="_x0000_i1067" style="width:0;height:1.5pt" o:hralign="center" o:hrstd="t" o:hr="t" fillcolor="#a0a0a0" stroked="f"/>
        </w:pict>
      </w:r>
    </w:p>
    <w:p w14:paraId="2894DCE6" w14:textId="62D600B0" w:rsidR="007254FD" w:rsidRPr="007254FD" w:rsidRDefault="007254FD" w:rsidP="007254FD">
      <w:pPr>
        <w:rPr>
          <w:b/>
          <w:bCs/>
          <w:lang w:val="en-CA"/>
        </w:rPr>
      </w:pPr>
      <w:r w:rsidRPr="007254FD">
        <w:rPr>
          <w:b/>
          <w:bCs/>
          <w:lang w:val="en-CA"/>
        </w:rPr>
        <w:t xml:space="preserve">2. </w:t>
      </w:r>
      <w:r>
        <w:rPr>
          <w:b/>
          <w:bCs/>
          <w:lang w:val="en-CA"/>
        </w:rPr>
        <w:t>Basic</w:t>
      </w:r>
      <w:r w:rsidRPr="007254FD">
        <w:rPr>
          <w:b/>
          <w:bCs/>
          <w:lang w:val="en-CA"/>
        </w:rPr>
        <w:t xml:space="preserve"> framework</w:t>
      </w:r>
    </w:p>
    <w:p w14:paraId="71EB220B" w14:textId="77777777" w:rsidR="007254FD" w:rsidRPr="007254FD" w:rsidRDefault="007254FD" w:rsidP="007254FD">
      <w:pPr>
        <w:rPr>
          <w:lang w:val="en-CA"/>
        </w:rPr>
      </w:pPr>
      <w:r w:rsidRPr="007254FD">
        <w:rPr>
          <w:lang w:val="en-CA"/>
        </w:rPr>
        <w:t>Let</w:t>
      </w:r>
    </w:p>
    <w:p w14:paraId="6485EC91" w14:textId="07089041" w:rsidR="007254FD" w:rsidRPr="007254FD" w:rsidRDefault="007254FD" w:rsidP="007254FD">
      <w:pPr>
        <w:numPr>
          <w:ilvl w:val="0"/>
          <w:numId w:val="1"/>
        </w:numPr>
        <w:rPr>
          <w:lang w:val="en-CA"/>
        </w:rPr>
      </w:pPr>
      <m:oMath>
        <m:r>
          <w:rPr>
            <w:rFonts w:ascii="Cambria Math" w:hAnsi="Cambria Math"/>
            <w:lang w:val="en-CA"/>
          </w:rPr>
          <m:t>p=</m:t>
        </m:r>
      </m:oMath>
      <w:r>
        <w:rPr>
          <w:lang w:val="en-CA"/>
        </w:rPr>
        <w:t xml:space="preserve"> </w:t>
      </w:r>
      <w:r w:rsidRPr="007254FD">
        <w:rPr>
          <w:lang w:val="en-CA"/>
        </w:rPr>
        <w:t>advertised ticket price (the “base” price)</w:t>
      </w:r>
    </w:p>
    <w:p w14:paraId="00D15829" w14:textId="1AD42C59" w:rsidR="007254FD" w:rsidRPr="007254FD" w:rsidRDefault="007254FD" w:rsidP="007254FD">
      <w:pPr>
        <w:numPr>
          <w:ilvl w:val="0"/>
          <w:numId w:val="1"/>
        </w:numPr>
        <w:rPr>
          <w:lang w:val="en-CA"/>
        </w:rPr>
      </w:pPr>
      <m:oMath>
        <m:r>
          <w:rPr>
            <w:rFonts w:ascii="Cambria Math" w:hAnsi="Cambria Math"/>
            <w:lang w:val="en-CA"/>
          </w:rPr>
          <m:t xml:space="preserve">f= </m:t>
        </m:r>
      </m:oMath>
      <w:r w:rsidRPr="007254FD">
        <w:rPr>
          <w:lang w:val="en-CA"/>
        </w:rPr>
        <w:t>online booking fee (</w:t>
      </w:r>
      <w:r w:rsidR="00067CF9">
        <w:rPr>
          <w:lang w:val="en-CA"/>
        </w:rPr>
        <w:t xml:space="preserve">e.g., </w:t>
      </w:r>
      <w:r w:rsidRPr="007254FD">
        <w:rPr>
          <w:lang w:val="en-CA"/>
        </w:rPr>
        <w:t xml:space="preserve">$1.50, or $1.00 for Scene+; 0 for </w:t>
      </w:r>
      <w:proofErr w:type="spellStart"/>
      <w:r w:rsidRPr="007254FD">
        <w:rPr>
          <w:lang w:val="en-CA"/>
        </w:rPr>
        <w:t>CineClub</w:t>
      </w:r>
      <w:proofErr w:type="spellEnd"/>
      <w:r w:rsidRPr="007254FD">
        <w:rPr>
          <w:lang w:val="en-CA"/>
        </w:rPr>
        <w:t>)</w:t>
      </w:r>
      <w:r w:rsidR="0056370D">
        <w:rPr>
          <w:lang w:val="en-CA"/>
        </w:rPr>
        <w:t>. For this outline, we assume the fee is blanket $1.50 for all customers.</w:t>
      </w:r>
    </w:p>
    <w:p w14:paraId="7A2FDC6E" w14:textId="23E82BE9" w:rsidR="007254FD" w:rsidRPr="007254FD" w:rsidRDefault="007254FD" w:rsidP="007254FD">
      <w:pPr>
        <w:numPr>
          <w:ilvl w:val="0"/>
          <w:numId w:val="1"/>
        </w:numPr>
        <w:rPr>
          <w:lang w:val="en-CA"/>
        </w:rPr>
      </w:pPr>
      <m:oMath>
        <m:r>
          <w:rPr>
            <w:rFonts w:ascii="Cambria Math" w:hAnsi="Cambria Math"/>
            <w:lang w:val="en-CA"/>
          </w:rPr>
          <m:t xml:space="preserve">P=p+f= </m:t>
        </m:r>
      </m:oMath>
      <w:r w:rsidRPr="007254FD">
        <w:rPr>
          <w:lang w:val="en-CA"/>
        </w:rPr>
        <w:t>full price actually paid online</w:t>
      </w:r>
    </w:p>
    <w:p w14:paraId="1928695E" w14:textId="04C9840D" w:rsidR="007254FD" w:rsidRPr="007254FD" w:rsidRDefault="007254FD" w:rsidP="007254FD">
      <w:pPr>
        <w:numPr>
          <w:ilvl w:val="0"/>
          <w:numId w:val="1"/>
        </w:numPr>
        <w:rPr>
          <w:lang w:val="en-CA"/>
        </w:rPr>
      </w:pPr>
      <m:oMath>
        <m:r>
          <w:rPr>
            <w:rFonts w:ascii="Cambria Math" w:hAnsi="Cambria Math"/>
            <w:lang w:val="en-CA"/>
          </w:rPr>
          <m:t>Q</m:t>
        </m:r>
        <m:d>
          <m:dPr>
            <m:ctrlPr>
              <w:rPr>
                <w:rFonts w:ascii="Cambria Math" w:hAnsi="Cambria Math"/>
                <w:i/>
                <w:lang w:val="en-CA"/>
              </w:rPr>
            </m:ctrlPr>
          </m:dPr>
          <m:e>
            <m:r>
              <w:rPr>
                <w:rFonts w:ascii="Cambria Math" w:hAnsi="Cambria Math"/>
                <w:lang w:val="en-CA"/>
              </w:rPr>
              <m:t>P</m:t>
            </m:r>
          </m:e>
        </m:d>
        <m:r>
          <w:rPr>
            <w:rFonts w:ascii="Cambria Math" w:hAnsi="Cambria Math"/>
            <w:lang w:val="en-CA"/>
          </w:rPr>
          <m:t xml:space="preserve">= </m:t>
        </m:r>
      </m:oMath>
      <w:r w:rsidRPr="007254FD">
        <w:rPr>
          <w:lang w:val="en-CA"/>
        </w:rPr>
        <w:t xml:space="preserve">quantity of tickets demanded when consumers perceive the price </w:t>
      </w:r>
      <m:oMath>
        <m:r>
          <w:rPr>
            <w:rFonts w:ascii="Cambria Math" w:hAnsi="Cambria Math"/>
            <w:lang w:val="en-CA"/>
          </w:rPr>
          <m:t>P</m:t>
        </m:r>
      </m:oMath>
    </w:p>
    <w:p w14:paraId="3E5EEE7A" w14:textId="4602FE22" w:rsidR="007254FD" w:rsidRPr="007254FD" w:rsidRDefault="007254FD" w:rsidP="007254FD">
      <w:pPr>
        <w:numPr>
          <w:ilvl w:val="0"/>
          <w:numId w:val="1"/>
        </w:numPr>
        <w:rPr>
          <w:lang w:val="en-CA"/>
        </w:rPr>
      </w:pPr>
      <m:oMath>
        <m:r>
          <w:rPr>
            <w:rFonts w:ascii="Cambria Math" w:hAnsi="Cambria Math"/>
            <w:lang w:val="en-CA"/>
          </w:rPr>
          <m:t xml:space="preserve">ε= </m:t>
        </m:r>
      </m:oMath>
      <w:r w:rsidRPr="007254FD">
        <w:rPr>
          <w:lang w:val="en-CA"/>
        </w:rPr>
        <w:t>price elasticity of demand</w:t>
      </w:r>
    </w:p>
    <w:p w14:paraId="5AEF820E" w14:textId="528B68D2" w:rsidR="007254FD" w:rsidRPr="007254FD" w:rsidRDefault="007254FD" w:rsidP="007254FD">
      <w:pPr>
        <w:rPr>
          <w:lang w:val="en-CA"/>
        </w:rPr>
      </w:pPr>
      <w:r w:rsidRPr="007254FD">
        <w:rPr>
          <w:lang w:val="en-CA"/>
        </w:rPr>
        <w:t xml:space="preserve">Assume a </w:t>
      </w:r>
      <w:r w:rsidR="0070084B">
        <w:rPr>
          <w:lang w:val="en-CA"/>
        </w:rPr>
        <w:t>linear</w:t>
      </w:r>
      <w:r w:rsidRPr="007254FD">
        <w:rPr>
          <w:lang w:val="en-CA"/>
        </w:rPr>
        <w:t xml:space="preserve"> demand curve</w:t>
      </w:r>
    </w:p>
    <w:p w14:paraId="17B3B68F" w14:textId="4841A7A7" w:rsidR="007254FD" w:rsidRDefault="007254FD" w:rsidP="007254FD">
      <w:pPr>
        <w:rPr>
          <w:lang w:val="en-CA"/>
        </w:rPr>
      </w:pPr>
      <m:oMathPara>
        <m:oMath>
          <m:r>
            <w:rPr>
              <w:rFonts w:ascii="Cambria Math" w:hAnsi="Cambria Math"/>
              <w:lang w:val="en-CA"/>
            </w:rPr>
            <m:t>Q</m:t>
          </m:r>
          <m:d>
            <m:dPr>
              <m:ctrlPr>
                <w:rPr>
                  <w:rFonts w:ascii="Cambria Math" w:hAnsi="Cambria Math"/>
                  <w:i/>
                  <w:lang w:val="en-CA"/>
                </w:rPr>
              </m:ctrlPr>
            </m:dPr>
            <m:e>
              <m:r>
                <w:rPr>
                  <w:rFonts w:ascii="Cambria Math" w:hAnsi="Cambria Math"/>
                  <w:lang w:val="en-CA"/>
                </w:rPr>
                <m:t>P</m:t>
              </m:r>
            </m:e>
          </m:d>
          <m:r>
            <w:rPr>
              <w:rFonts w:ascii="Cambria Math" w:hAnsi="Cambria Math"/>
              <w:lang w:val="en-CA"/>
            </w:rPr>
            <m:t>=A</m:t>
          </m:r>
          <m:r>
            <w:rPr>
              <w:rFonts w:ascii="Cambria Math" w:hAnsi="Cambria Math"/>
              <w:lang w:val="en-CA"/>
            </w:rPr>
            <m:t>-BP</m:t>
          </m:r>
        </m:oMath>
      </m:oMathPara>
    </w:p>
    <w:p w14:paraId="5FBC4451" w14:textId="3D80F7EB" w:rsidR="007254FD" w:rsidRPr="007254FD" w:rsidRDefault="007254FD" w:rsidP="007254FD">
      <w:pPr>
        <w:rPr>
          <w:lang w:val="en-CA"/>
        </w:rPr>
      </w:pPr>
      <w:r w:rsidRPr="007254FD">
        <w:rPr>
          <w:lang w:val="en-CA"/>
        </w:rPr>
        <w:pict w14:anchorId="1AE0012F">
          <v:rect id="_x0000_i1068" style="width:0;height:1.5pt" o:hralign="center" o:hrstd="t" o:hr="t" fillcolor="#a0a0a0" stroked="f"/>
        </w:pict>
      </w:r>
    </w:p>
    <w:p w14:paraId="5495D095" w14:textId="77777777" w:rsidR="007254FD" w:rsidRPr="007254FD" w:rsidRDefault="007254FD" w:rsidP="007254FD">
      <w:pPr>
        <w:rPr>
          <w:b/>
          <w:bCs/>
          <w:lang w:val="en-CA"/>
        </w:rPr>
      </w:pPr>
      <w:r w:rsidRPr="007254FD">
        <w:rPr>
          <w:b/>
          <w:bCs/>
          <w:lang w:val="en-CA"/>
        </w:rPr>
        <w:t>3. Three plausible but-for scenarios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4"/>
        <w:gridCol w:w="1841"/>
        <w:gridCol w:w="2124"/>
        <w:gridCol w:w="1840"/>
        <w:gridCol w:w="1561"/>
      </w:tblGrid>
      <w:tr w:rsidR="00F6653C" w:rsidRPr="00DD2774" w14:paraId="11840DD8" w14:textId="77777777" w:rsidTr="00F6653C">
        <w:trPr>
          <w:tblHeader/>
          <w:tblCellSpacing w:w="15" w:type="dxa"/>
        </w:trPr>
        <w:tc>
          <w:tcPr>
            <w:tcW w:w="1939" w:type="dxa"/>
            <w:vAlign w:val="center"/>
            <w:hideMark/>
          </w:tcPr>
          <w:p w14:paraId="126FD952" w14:textId="77777777" w:rsidR="00DD2774" w:rsidRPr="007254FD" w:rsidRDefault="00DD2774" w:rsidP="007254FD">
            <w:pPr>
              <w:rPr>
                <w:b/>
                <w:bCs/>
                <w:sz w:val="20"/>
                <w:szCs w:val="20"/>
                <w:lang w:val="en-CA"/>
              </w:rPr>
            </w:pPr>
            <w:r w:rsidRPr="007254FD">
              <w:rPr>
                <w:b/>
                <w:bCs/>
                <w:sz w:val="20"/>
                <w:szCs w:val="20"/>
                <w:lang w:val="en-CA"/>
              </w:rPr>
              <w:lastRenderedPageBreak/>
              <w:t>Scenario</w:t>
            </w:r>
          </w:p>
        </w:tc>
        <w:tc>
          <w:tcPr>
            <w:tcW w:w="1811" w:type="dxa"/>
            <w:vAlign w:val="center"/>
            <w:hideMark/>
          </w:tcPr>
          <w:p w14:paraId="67F0D58F" w14:textId="77777777" w:rsidR="00DD2774" w:rsidRPr="007254FD" w:rsidRDefault="00DD2774" w:rsidP="007254FD">
            <w:pPr>
              <w:rPr>
                <w:b/>
                <w:bCs/>
                <w:sz w:val="20"/>
                <w:szCs w:val="20"/>
                <w:lang w:val="en-CA"/>
              </w:rPr>
            </w:pPr>
            <w:r w:rsidRPr="007254FD">
              <w:rPr>
                <w:b/>
                <w:bCs/>
                <w:sz w:val="20"/>
                <w:szCs w:val="20"/>
                <w:lang w:val="en-CA"/>
              </w:rPr>
              <w:t>What changes?</w:t>
            </w:r>
          </w:p>
        </w:tc>
        <w:tc>
          <w:tcPr>
            <w:tcW w:w="2094" w:type="dxa"/>
            <w:vAlign w:val="center"/>
            <w:hideMark/>
          </w:tcPr>
          <w:p w14:paraId="1D3DC6B0" w14:textId="77777777" w:rsidR="00DD2774" w:rsidRPr="007254FD" w:rsidRDefault="00DD2774" w:rsidP="007254FD">
            <w:pPr>
              <w:rPr>
                <w:b/>
                <w:bCs/>
                <w:sz w:val="20"/>
                <w:szCs w:val="20"/>
                <w:lang w:val="en-CA"/>
              </w:rPr>
            </w:pPr>
            <w:r w:rsidRPr="007254FD">
              <w:rPr>
                <w:b/>
                <w:bCs/>
                <w:sz w:val="20"/>
                <w:szCs w:val="20"/>
                <w:lang w:val="en-CA"/>
              </w:rPr>
              <w:t>Price consumers face</w:t>
            </w:r>
          </w:p>
        </w:tc>
        <w:tc>
          <w:tcPr>
            <w:tcW w:w="1810" w:type="dxa"/>
            <w:vAlign w:val="center"/>
            <w:hideMark/>
          </w:tcPr>
          <w:p w14:paraId="65FC0B74" w14:textId="77777777" w:rsidR="00DD2774" w:rsidRPr="007254FD" w:rsidRDefault="00DD2774" w:rsidP="007254FD">
            <w:pPr>
              <w:rPr>
                <w:b/>
                <w:bCs/>
                <w:sz w:val="20"/>
                <w:szCs w:val="20"/>
                <w:lang w:val="en-CA"/>
              </w:rPr>
            </w:pPr>
            <w:r w:rsidRPr="007254FD">
              <w:rPr>
                <w:b/>
                <w:bCs/>
                <w:sz w:val="20"/>
                <w:szCs w:val="20"/>
                <w:lang w:val="en-CA"/>
              </w:rPr>
              <w:t>Quantity</w:t>
            </w:r>
          </w:p>
        </w:tc>
        <w:tc>
          <w:tcPr>
            <w:tcW w:w="1516" w:type="dxa"/>
            <w:vAlign w:val="center"/>
            <w:hideMark/>
          </w:tcPr>
          <w:p w14:paraId="11503FDA" w14:textId="77777777" w:rsidR="00DD2774" w:rsidRPr="007254FD" w:rsidRDefault="00DD2774" w:rsidP="007254FD">
            <w:pPr>
              <w:rPr>
                <w:b/>
                <w:bCs/>
                <w:sz w:val="20"/>
                <w:szCs w:val="20"/>
                <w:lang w:val="en-CA"/>
              </w:rPr>
            </w:pPr>
            <w:r w:rsidRPr="007254FD">
              <w:rPr>
                <w:b/>
                <w:bCs/>
                <w:sz w:val="20"/>
                <w:szCs w:val="20"/>
                <w:lang w:val="en-CA"/>
              </w:rPr>
              <w:t>Online revenue</w:t>
            </w:r>
          </w:p>
        </w:tc>
      </w:tr>
      <w:tr w:rsidR="00F6653C" w:rsidRPr="00DD2774" w14:paraId="082AF403" w14:textId="77777777" w:rsidTr="00F6653C">
        <w:trPr>
          <w:tblCellSpacing w:w="15" w:type="dxa"/>
        </w:trPr>
        <w:tc>
          <w:tcPr>
            <w:tcW w:w="1939" w:type="dxa"/>
            <w:vAlign w:val="center"/>
            <w:hideMark/>
          </w:tcPr>
          <w:p w14:paraId="1213D7AF" w14:textId="19008F07" w:rsidR="00DD2774" w:rsidRPr="007254FD" w:rsidRDefault="00DD2774" w:rsidP="007254FD">
            <w:pPr>
              <w:rPr>
                <w:sz w:val="20"/>
                <w:szCs w:val="20"/>
                <w:lang w:val="en-CA"/>
              </w:rPr>
            </w:pPr>
            <w:r w:rsidRPr="007254FD">
              <w:rPr>
                <w:b/>
                <w:bCs/>
                <w:sz w:val="20"/>
                <w:szCs w:val="20"/>
                <w:lang w:val="en-CA"/>
              </w:rPr>
              <w:t>Status quo</w:t>
            </w:r>
          </w:p>
        </w:tc>
        <w:tc>
          <w:tcPr>
            <w:tcW w:w="1811" w:type="dxa"/>
            <w:vAlign w:val="center"/>
            <w:hideMark/>
          </w:tcPr>
          <w:p w14:paraId="1E46219A" w14:textId="0C0C5EC7" w:rsidR="00DD2774" w:rsidRPr="007254FD" w:rsidRDefault="00DD2774" w:rsidP="007254FD">
            <w:pPr>
              <w:rPr>
                <w:sz w:val="20"/>
                <w:szCs w:val="20"/>
                <w:lang w:val="en-CA"/>
              </w:rPr>
            </w:pPr>
          </w:p>
        </w:tc>
        <w:tc>
          <w:tcPr>
            <w:tcW w:w="2094" w:type="dxa"/>
            <w:vAlign w:val="center"/>
            <w:hideMark/>
          </w:tcPr>
          <w:p w14:paraId="0383E04C" w14:textId="2A4AEBFA" w:rsidR="00DD2774" w:rsidRPr="007254FD" w:rsidRDefault="00DD2774" w:rsidP="007254FD">
            <w:pPr>
              <w:rPr>
                <w:sz w:val="20"/>
                <w:szCs w:val="20"/>
                <w:lang w:val="en-CA"/>
              </w:rPr>
            </w:pPr>
            <m:oMath>
              <m:r>
                <w:rPr>
                  <w:rFonts w:ascii="Cambria Math" w:hAnsi="Cambria Math"/>
                  <w:sz w:val="20"/>
                  <w:szCs w:val="20"/>
                  <w:lang w:val="en-CA"/>
                </w:rPr>
                <m:t xml:space="preserve">P=p+f </m:t>
              </m:r>
            </m:oMath>
            <w:r w:rsidRPr="007254FD">
              <w:rPr>
                <w:sz w:val="20"/>
                <w:szCs w:val="20"/>
                <w:lang w:val="en-CA"/>
              </w:rPr>
              <w:t>but consumers anchor on the lower</w:t>
            </w:r>
            <w:r w:rsidRPr="00DD2774">
              <w:rPr>
                <w:sz w:val="20"/>
                <w:szCs w:val="20"/>
                <w:lang w:val="en-CA"/>
              </w:rPr>
              <w:t xml:space="preserve"> </w:t>
            </w:r>
            <m:oMath>
              <m:r>
                <w:rPr>
                  <w:rFonts w:ascii="Cambria Math" w:hAnsi="Cambria Math"/>
                  <w:sz w:val="20"/>
                  <w:szCs w:val="20"/>
                  <w:lang w:val="en-CA"/>
                </w:rPr>
                <m:t>p</m:t>
              </m:r>
            </m:oMath>
            <w:r w:rsidRPr="007254FD">
              <w:rPr>
                <w:sz w:val="20"/>
                <w:szCs w:val="20"/>
                <w:lang w:val="en-CA"/>
              </w:rPr>
              <w:t xml:space="preserve">. </w:t>
            </w:r>
          </w:p>
        </w:tc>
        <w:tc>
          <w:tcPr>
            <w:tcW w:w="1810" w:type="dxa"/>
            <w:vAlign w:val="center"/>
            <w:hideMark/>
          </w:tcPr>
          <w:p w14:paraId="754084CB" w14:textId="69853DD6" w:rsidR="00DD2774" w:rsidRPr="007254FD" w:rsidRDefault="00DD2774" w:rsidP="007254FD">
            <w:pPr>
              <w:rPr>
                <w:sz w:val="20"/>
                <w:szCs w:val="20"/>
                <w:lang w:val="en-CA"/>
              </w:rPr>
            </w:pPr>
            <m:oMathPara>
              <m:oMathParaPr>
                <m:jc m:val="left"/>
              </m:oMathParaPr>
              <m:oMath>
                <m:sSub>
                  <m:sSubPr>
                    <m:ctrlPr>
                      <w:rPr>
                        <w:rFonts w:ascii="Cambria Math" w:hAnsi="Cambria Math"/>
                        <w:i/>
                        <w:sz w:val="20"/>
                        <w:szCs w:val="20"/>
                        <w:lang w:val="en-CA"/>
                      </w:rPr>
                    </m:ctrlPr>
                  </m:sSubPr>
                  <m:e>
                    <m:r>
                      <w:rPr>
                        <w:rFonts w:ascii="Cambria Math" w:hAnsi="Cambria Math"/>
                        <w:sz w:val="20"/>
                        <w:szCs w:val="20"/>
                        <w:lang w:val="en-CA"/>
                      </w:rPr>
                      <m:t>Q</m:t>
                    </m:r>
                  </m:e>
                  <m:sub>
                    <m:r>
                      <w:rPr>
                        <w:rFonts w:ascii="Cambria Math" w:hAnsi="Cambria Math"/>
                        <w:sz w:val="20"/>
                        <w:szCs w:val="20"/>
                        <w:lang w:val="en-CA"/>
                      </w:rPr>
                      <m:t>0</m:t>
                    </m:r>
                  </m:sub>
                </m:sSub>
                <m:r>
                  <w:rPr>
                    <w:rFonts w:ascii="Cambria Math" w:hAnsi="Cambria Math"/>
                    <w:sz w:val="20"/>
                    <w:szCs w:val="20"/>
                    <w:lang w:val="en-CA"/>
                  </w:rPr>
                  <m:t>=A</m:t>
                </m:r>
                <m:r>
                  <w:rPr>
                    <w:rFonts w:ascii="Cambria Math" w:hAnsi="Cambria Math"/>
                    <w:sz w:val="20"/>
                    <w:szCs w:val="20"/>
                    <w:lang w:val="en-CA"/>
                  </w:rPr>
                  <m:t>-Bp</m:t>
                </m:r>
              </m:oMath>
            </m:oMathPara>
          </w:p>
        </w:tc>
        <w:tc>
          <w:tcPr>
            <w:tcW w:w="1516" w:type="dxa"/>
            <w:vAlign w:val="center"/>
            <w:hideMark/>
          </w:tcPr>
          <w:p w14:paraId="473360FF" w14:textId="524D831D" w:rsidR="00DD2774" w:rsidRPr="007254FD" w:rsidRDefault="00DD2774" w:rsidP="00DD2774">
            <w:pPr>
              <w:rPr>
                <w:sz w:val="20"/>
                <w:szCs w:val="20"/>
                <w:lang w:val="en-CA"/>
              </w:rPr>
            </w:pPr>
            <m:oMath>
              <m:sSub>
                <m:sSubPr>
                  <m:ctrlPr>
                    <w:rPr>
                      <w:rFonts w:ascii="Cambria Math" w:hAnsi="Cambria Math" w:cs="Arial"/>
                      <w:i/>
                      <w:sz w:val="20"/>
                      <w:szCs w:val="20"/>
                      <w:lang w:val="en-CA"/>
                    </w:rPr>
                  </m:ctrlPr>
                </m:sSubPr>
                <m:e>
                  <m:r>
                    <w:rPr>
                      <w:rFonts w:ascii="Cambria Math" w:hAnsi="Cambria Math" w:cs="Arial"/>
                      <w:sz w:val="20"/>
                      <w:szCs w:val="20"/>
                      <w:lang w:val="en-CA"/>
                    </w:rPr>
                    <m:t>R</m:t>
                  </m:r>
                </m:e>
                <m:sub>
                  <m:r>
                    <w:rPr>
                      <w:rFonts w:ascii="Cambria Math" w:hAnsi="Cambria Math" w:cs="Arial"/>
                      <w:sz w:val="20"/>
                      <w:szCs w:val="20"/>
                      <w:lang w:val="en-CA"/>
                    </w:rPr>
                    <m:t>0</m:t>
                  </m:r>
                </m:sub>
              </m:sSub>
              <m:r>
                <w:rPr>
                  <w:rFonts w:ascii="Cambria Math" w:hAnsi="Cambria Math" w:cs="Arial"/>
                  <w:sz w:val="20"/>
                  <w:szCs w:val="20"/>
                  <w:lang w:val="en-CA"/>
                </w:rPr>
                <m:t>=</m:t>
              </m:r>
              <m:d>
                <m:dPr>
                  <m:ctrlPr>
                    <w:rPr>
                      <w:rFonts w:ascii="Cambria Math" w:hAnsi="Cambria Math" w:cs="Arial"/>
                      <w:i/>
                      <w:sz w:val="20"/>
                      <w:szCs w:val="20"/>
                      <w:lang w:val="en-CA"/>
                    </w:rPr>
                  </m:ctrlPr>
                </m:dPr>
                <m:e>
                  <m:r>
                    <w:rPr>
                      <w:rFonts w:ascii="Cambria Math" w:hAnsi="Cambria Math" w:cs="Arial"/>
                      <w:sz w:val="20"/>
                      <w:szCs w:val="20"/>
                      <w:lang w:val="en-CA"/>
                    </w:rPr>
                    <m:t>p+f</m:t>
                  </m:r>
                </m:e>
              </m:d>
              <m:sSub>
                <m:sSubPr>
                  <m:ctrlPr>
                    <w:rPr>
                      <w:rFonts w:ascii="Cambria Math" w:hAnsi="Cambria Math" w:cs="Arial"/>
                      <w:i/>
                      <w:sz w:val="20"/>
                      <w:szCs w:val="20"/>
                      <w:lang w:val="en-CA"/>
                    </w:rPr>
                  </m:ctrlPr>
                </m:sSubPr>
                <m:e>
                  <m:r>
                    <w:rPr>
                      <w:rFonts w:ascii="Cambria Math" w:hAnsi="Cambria Math" w:cs="Arial"/>
                      <w:sz w:val="20"/>
                      <w:szCs w:val="20"/>
                      <w:lang w:val="en-CA"/>
                    </w:rPr>
                    <m:t>Q</m:t>
                  </m:r>
                </m:e>
                <m:sub>
                  <m:r>
                    <w:rPr>
                      <w:rFonts w:ascii="Cambria Math" w:hAnsi="Cambria Math" w:cs="Arial"/>
                      <w:sz w:val="20"/>
                      <w:szCs w:val="20"/>
                      <w:lang w:val="en-CA"/>
                    </w:rPr>
                    <m:t>0</m:t>
                  </m:r>
                </m:sub>
              </m:sSub>
            </m:oMath>
            <w:r w:rsidRPr="007254FD">
              <w:rPr>
                <w:rFonts w:ascii="Arial" w:hAnsi="Arial" w:cs="Arial"/>
                <w:sz w:val="20"/>
                <w:szCs w:val="20"/>
                <w:lang w:val="en-CA"/>
              </w:rPr>
              <w:t>​</w:t>
            </w:r>
          </w:p>
        </w:tc>
      </w:tr>
      <w:tr w:rsidR="00F6653C" w:rsidRPr="00DD2774" w14:paraId="3F813985" w14:textId="77777777" w:rsidTr="00F6653C">
        <w:trPr>
          <w:tblCellSpacing w:w="15" w:type="dxa"/>
        </w:trPr>
        <w:tc>
          <w:tcPr>
            <w:tcW w:w="1939" w:type="dxa"/>
            <w:vAlign w:val="center"/>
            <w:hideMark/>
          </w:tcPr>
          <w:p w14:paraId="72DFC013" w14:textId="0FA17EAA" w:rsidR="00DD2774" w:rsidRPr="007254FD" w:rsidRDefault="00DD2774" w:rsidP="007254FD">
            <w:pPr>
              <w:rPr>
                <w:sz w:val="20"/>
                <w:szCs w:val="20"/>
                <w:lang w:val="en-CA"/>
              </w:rPr>
            </w:pPr>
            <w:r w:rsidRPr="007254FD">
              <w:rPr>
                <w:b/>
                <w:bCs/>
                <w:sz w:val="20"/>
                <w:szCs w:val="20"/>
                <w:lang w:val="en-CA"/>
              </w:rPr>
              <w:t xml:space="preserve">A. </w:t>
            </w:r>
            <w:r w:rsidR="0056370D">
              <w:rPr>
                <w:b/>
                <w:bCs/>
                <w:sz w:val="20"/>
                <w:szCs w:val="20"/>
                <w:lang w:val="en-CA"/>
              </w:rPr>
              <w:t>All-in Pricing</w:t>
            </w:r>
          </w:p>
        </w:tc>
        <w:tc>
          <w:tcPr>
            <w:tcW w:w="1811" w:type="dxa"/>
            <w:vAlign w:val="center"/>
            <w:hideMark/>
          </w:tcPr>
          <w:p w14:paraId="0CD88075" w14:textId="77777777" w:rsidR="00DD2774" w:rsidRPr="007254FD" w:rsidRDefault="00DD2774" w:rsidP="007254FD">
            <w:pPr>
              <w:rPr>
                <w:sz w:val="20"/>
                <w:szCs w:val="20"/>
                <w:lang w:val="en-CA"/>
              </w:rPr>
            </w:pPr>
            <w:r w:rsidRPr="007254FD">
              <w:rPr>
                <w:sz w:val="20"/>
                <w:szCs w:val="20"/>
                <w:lang w:val="en-CA"/>
              </w:rPr>
              <w:t>Fee rolled into headline price</w:t>
            </w:r>
          </w:p>
        </w:tc>
        <w:tc>
          <w:tcPr>
            <w:tcW w:w="2094" w:type="dxa"/>
            <w:vAlign w:val="center"/>
            <w:hideMark/>
          </w:tcPr>
          <w:p w14:paraId="68C4BD2D" w14:textId="28563ADE" w:rsidR="00DD2774" w:rsidRPr="007254FD" w:rsidRDefault="00DD2774" w:rsidP="007254FD">
            <w:pPr>
              <w:rPr>
                <w:sz w:val="20"/>
                <w:szCs w:val="20"/>
                <w:lang w:val="en-CA"/>
              </w:rPr>
            </w:pPr>
            <m:oMath>
              <m:sSub>
                <m:sSubPr>
                  <m:ctrlPr>
                    <w:rPr>
                      <w:rFonts w:ascii="Cambria Math" w:hAnsi="Cambria Math"/>
                      <w:i/>
                      <w:sz w:val="20"/>
                      <w:szCs w:val="20"/>
                      <w:lang w:val="en-CA"/>
                    </w:rPr>
                  </m:ctrlPr>
                </m:sSubPr>
                <m:e>
                  <m:r>
                    <w:rPr>
                      <w:rFonts w:ascii="Cambria Math" w:hAnsi="Cambria Math"/>
                      <w:sz w:val="20"/>
                      <w:szCs w:val="20"/>
                      <w:lang w:val="en-CA"/>
                    </w:rPr>
                    <m:t>P</m:t>
                  </m:r>
                </m:e>
                <m:sub>
                  <m:r>
                    <w:rPr>
                      <w:rFonts w:ascii="Cambria Math" w:hAnsi="Cambria Math"/>
                      <w:sz w:val="20"/>
                      <w:szCs w:val="20"/>
                      <w:lang w:val="en-CA"/>
                    </w:rPr>
                    <m:t>A</m:t>
                  </m:r>
                </m:sub>
              </m:sSub>
              <m:r>
                <w:rPr>
                  <w:rFonts w:ascii="Cambria Math" w:hAnsi="Cambria Math"/>
                  <w:sz w:val="20"/>
                  <w:szCs w:val="20"/>
                  <w:lang w:val="en-CA"/>
                </w:rPr>
                <m:t>=p+f</m:t>
              </m:r>
            </m:oMath>
            <w:r w:rsidRPr="007254FD">
              <w:rPr>
                <w:sz w:val="20"/>
                <w:szCs w:val="20"/>
                <w:lang w:val="en-CA"/>
              </w:rPr>
              <w:t xml:space="preserve"> (no anchoring gap)</w:t>
            </w:r>
          </w:p>
        </w:tc>
        <w:tc>
          <w:tcPr>
            <w:tcW w:w="1810" w:type="dxa"/>
            <w:vAlign w:val="center"/>
            <w:hideMark/>
          </w:tcPr>
          <w:p w14:paraId="5E9A5BC9" w14:textId="2FD6E421" w:rsidR="00DD2774" w:rsidRPr="007254FD" w:rsidRDefault="00DD2774" w:rsidP="007254FD">
            <w:pPr>
              <w:rPr>
                <w:sz w:val="20"/>
                <w:szCs w:val="20"/>
                <w:lang w:val="en-CA"/>
              </w:rPr>
            </w:pPr>
            <m:oMathPara>
              <m:oMathParaPr>
                <m:jc m:val="left"/>
              </m:oMathParaPr>
              <m:oMath>
                <m:sSub>
                  <m:sSubPr>
                    <m:ctrlPr>
                      <w:rPr>
                        <w:rFonts w:ascii="Cambria Math" w:hAnsi="Cambria Math"/>
                        <w:i/>
                        <w:sz w:val="20"/>
                        <w:szCs w:val="20"/>
                        <w:lang w:val="en-CA"/>
                      </w:rPr>
                    </m:ctrlPr>
                  </m:sSubPr>
                  <m:e>
                    <m:r>
                      <w:rPr>
                        <w:rFonts w:ascii="Cambria Math" w:hAnsi="Cambria Math"/>
                        <w:sz w:val="20"/>
                        <w:szCs w:val="20"/>
                        <w:lang w:val="en-CA"/>
                      </w:rPr>
                      <m:t>Q</m:t>
                    </m:r>
                  </m:e>
                  <m:sub>
                    <m:r>
                      <w:rPr>
                        <w:rFonts w:ascii="Cambria Math" w:hAnsi="Cambria Math"/>
                        <w:sz w:val="20"/>
                        <w:szCs w:val="20"/>
                        <w:lang w:val="en-CA"/>
                      </w:rPr>
                      <m:t>A</m:t>
                    </m:r>
                  </m:sub>
                </m:sSub>
                <m:r>
                  <w:rPr>
                    <w:rFonts w:ascii="Cambria Math" w:hAnsi="Cambria Math"/>
                    <w:sz w:val="20"/>
                    <w:szCs w:val="20"/>
                    <w:lang w:val="en-CA"/>
                  </w:rPr>
                  <m:t>=A</m:t>
                </m:r>
                <m:r>
                  <w:rPr>
                    <w:rFonts w:ascii="Cambria Math" w:hAnsi="Cambria Math"/>
                    <w:sz w:val="20"/>
                    <w:szCs w:val="20"/>
                    <w:lang w:val="en-CA"/>
                  </w:rPr>
                  <m:t>-B(p+f)</m:t>
                </m:r>
              </m:oMath>
            </m:oMathPara>
          </w:p>
        </w:tc>
        <w:tc>
          <w:tcPr>
            <w:tcW w:w="1516" w:type="dxa"/>
            <w:vAlign w:val="center"/>
            <w:hideMark/>
          </w:tcPr>
          <w:p w14:paraId="62C01232" w14:textId="0E1C973D" w:rsidR="00DD2774" w:rsidRPr="007254FD" w:rsidRDefault="00DD2774" w:rsidP="00DD2774">
            <w:pPr>
              <w:jc w:val="both"/>
              <w:rPr>
                <w:sz w:val="20"/>
                <w:szCs w:val="20"/>
                <w:lang w:val="en-CA"/>
              </w:rPr>
            </w:pPr>
            <m:oMath>
              <m:sSub>
                <m:sSubPr>
                  <m:ctrlPr>
                    <w:rPr>
                      <w:rFonts w:ascii="Cambria Math" w:hAnsi="Cambria Math" w:cs="Arial"/>
                      <w:i/>
                      <w:sz w:val="20"/>
                      <w:szCs w:val="20"/>
                      <w:lang w:val="en-CA"/>
                    </w:rPr>
                  </m:ctrlPr>
                </m:sSubPr>
                <m:e>
                  <m:r>
                    <w:rPr>
                      <w:rFonts w:ascii="Cambria Math" w:hAnsi="Cambria Math" w:cs="Arial"/>
                      <w:sz w:val="20"/>
                      <w:szCs w:val="20"/>
                      <w:lang w:val="en-CA"/>
                    </w:rPr>
                    <m:t>R</m:t>
                  </m:r>
                </m:e>
                <m:sub>
                  <m:r>
                    <w:rPr>
                      <w:rFonts w:ascii="Cambria Math" w:hAnsi="Cambria Math" w:cs="Arial"/>
                      <w:sz w:val="20"/>
                      <w:szCs w:val="20"/>
                      <w:lang w:val="en-CA"/>
                    </w:rPr>
                    <m:t>A</m:t>
                  </m:r>
                </m:sub>
              </m:sSub>
              <m:r>
                <w:rPr>
                  <w:rFonts w:ascii="Cambria Math" w:hAnsi="Cambria Math" w:cs="Arial"/>
                  <w:sz w:val="20"/>
                  <w:szCs w:val="20"/>
                  <w:lang w:val="en-CA"/>
                </w:rPr>
                <m:t>=</m:t>
              </m:r>
              <m:d>
                <m:dPr>
                  <m:ctrlPr>
                    <w:rPr>
                      <w:rFonts w:ascii="Cambria Math" w:hAnsi="Cambria Math" w:cs="Arial"/>
                      <w:i/>
                      <w:sz w:val="20"/>
                      <w:szCs w:val="20"/>
                      <w:lang w:val="en-CA"/>
                    </w:rPr>
                  </m:ctrlPr>
                </m:dPr>
                <m:e>
                  <m:r>
                    <w:rPr>
                      <w:rFonts w:ascii="Cambria Math" w:hAnsi="Cambria Math" w:cs="Arial"/>
                      <w:sz w:val="20"/>
                      <w:szCs w:val="20"/>
                      <w:lang w:val="en-CA"/>
                    </w:rPr>
                    <m:t>p+f</m:t>
                  </m:r>
                </m:e>
              </m:d>
              <m:sSub>
                <m:sSubPr>
                  <m:ctrlPr>
                    <w:rPr>
                      <w:rFonts w:ascii="Cambria Math" w:hAnsi="Cambria Math" w:cs="Arial"/>
                      <w:i/>
                      <w:sz w:val="20"/>
                      <w:szCs w:val="20"/>
                      <w:lang w:val="en-CA"/>
                    </w:rPr>
                  </m:ctrlPr>
                </m:sSubPr>
                <m:e>
                  <m:r>
                    <w:rPr>
                      <w:rFonts w:ascii="Cambria Math" w:hAnsi="Cambria Math" w:cs="Arial"/>
                      <w:sz w:val="20"/>
                      <w:szCs w:val="20"/>
                      <w:lang w:val="en-CA"/>
                    </w:rPr>
                    <m:t>Q</m:t>
                  </m:r>
                </m:e>
                <m:sub>
                  <m:r>
                    <w:rPr>
                      <w:rFonts w:ascii="Cambria Math" w:hAnsi="Cambria Math" w:cs="Arial"/>
                      <w:sz w:val="20"/>
                      <w:szCs w:val="20"/>
                      <w:lang w:val="en-CA"/>
                    </w:rPr>
                    <m:t>A</m:t>
                  </m:r>
                </m:sub>
              </m:sSub>
            </m:oMath>
            <w:r w:rsidRPr="007254FD">
              <w:rPr>
                <w:rFonts w:ascii="Arial" w:hAnsi="Arial" w:cs="Arial"/>
                <w:sz w:val="20"/>
                <w:szCs w:val="20"/>
                <w:lang w:val="en-CA"/>
              </w:rPr>
              <w:t>​</w:t>
            </w:r>
          </w:p>
        </w:tc>
      </w:tr>
      <w:tr w:rsidR="00F6653C" w:rsidRPr="00DD2774" w14:paraId="7191C4DB" w14:textId="77777777" w:rsidTr="00F6653C">
        <w:trPr>
          <w:tblCellSpacing w:w="15" w:type="dxa"/>
        </w:trPr>
        <w:tc>
          <w:tcPr>
            <w:tcW w:w="1939" w:type="dxa"/>
            <w:vAlign w:val="center"/>
            <w:hideMark/>
          </w:tcPr>
          <w:p w14:paraId="5B887EF4" w14:textId="13B70355" w:rsidR="00DD2774" w:rsidRPr="007254FD" w:rsidRDefault="00DD2774" w:rsidP="007254FD">
            <w:pPr>
              <w:rPr>
                <w:sz w:val="20"/>
                <w:szCs w:val="20"/>
                <w:lang w:val="en-CA"/>
              </w:rPr>
            </w:pPr>
            <w:r w:rsidRPr="007254FD">
              <w:rPr>
                <w:b/>
                <w:bCs/>
                <w:sz w:val="20"/>
                <w:szCs w:val="20"/>
                <w:lang w:val="en-CA"/>
              </w:rPr>
              <w:t xml:space="preserve">B. Fee </w:t>
            </w:r>
            <w:r w:rsidR="00CF1FF3" w:rsidRPr="007254FD">
              <w:rPr>
                <w:b/>
                <w:bCs/>
                <w:sz w:val="20"/>
                <w:szCs w:val="20"/>
                <w:lang w:val="en-CA"/>
              </w:rPr>
              <w:t>removed;</w:t>
            </w:r>
            <w:r w:rsidRPr="007254FD">
              <w:rPr>
                <w:b/>
                <w:bCs/>
                <w:sz w:val="20"/>
                <w:szCs w:val="20"/>
                <w:lang w:val="en-CA"/>
              </w:rPr>
              <w:t xml:space="preserve"> base price unchanged</w:t>
            </w:r>
          </w:p>
        </w:tc>
        <w:tc>
          <w:tcPr>
            <w:tcW w:w="1811" w:type="dxa"/>
            <w:vAlign w:val="center"/>
            <w:hideMark/>
          </w:tcPr>
          <w:p w14:paraId="1E7B361A" w14:textId="77777777" w:rsidR="00DD2774" w:rsidRPr="007254FD" w:rsidRDefault="00DD2774" w:rsidP="007254FD">
            <w:pPr>
              <w:rPr>
                <w:sz w:val="20"/>
                <w:szCs w:val="20"/>
                <w:lang w:val="en-CA"/>
              </w:rPr>
            </w:pPr>
            <w:r w:rsidRPr="007254FD">
              <w:rPr>
                <w:sz w:val="20"/>
                <w:szCs w:val="20"/>
                <w:lang w:val="en-CA"/>
              </w:rPr>
              <w:t>Online price truly equals advertised price</w:t>
            </w:r>
          </w:p>
        </w:tc>
        <w:tc>
          <w:tcPr>
            <w:tcW w:w="2094" w:type="dxa"/>
            <w:vAlign w:val="center"/>
            <w:hideMark/>
          </w:tcPr>
          <w:p w14:paraId="77D746A7" w14:textId="750C2754" w:rsidR="00DD2774" w:rsidRPr="007254FD" w:rsidRDefault="00DD2774" w:rsidP="007254FD">
            <w:pPr>
              <w:rPr>
                <w:sz w:val="20"/>
                <w:szCs w:val="20"/>
                <w:lang w:val="en-CA"/>
              </w:rPr>
            </w:pPr>
            <m:oMathPara>
              <m:oMathParaPr>
                <m:jc m:val="left"/>
              </m:oMathParaPr>
              <m:oMath>
                <m:sSub>
                  <m:sSubPr>
                    <m:ctrlPr>
                      <w:rPr>
                        <w:rFonts w:ascii="Cambria Math" w:hAnsi="Cambria Math"/>
                        <w:i/>
                        <w:sz w:val="20"/>
                        <w:szCs w:val="20"/>
                        <w:lang w:val="en-CA"/>
                      </w:rPr>
                    </m:ctrlPr>
                  </m:sSubPr>
                  <m:e>
                    <m:r>
                      <w:rPr>
                        <w:rFonts w:ascii="Cambria Math" w:hAnsi="Cambria Math"/>
                        <w:sz w:val="20"/>
                        <w:szCs w:val="20"/>
                        <w:lang w:val="en-CA"/>
                      </w:rPr>
                      <m:t>P</m:t>
                    </m:r>
                  </m:e>
                  <m:sub>
                    <m:r>
                      <w:rPr>
                        <w:rFonts w:ascii="Cambria Math" w:hAnsi="Cambria Math"/>
                        <w:sz w:val="20"/>
                        <w:szCs w:val="20"/>
                        <w:lang w:val="en-CA"/>
                      </w:rPr>
                      <m:t>B</m:t>
                    </m:r>
                  </m:sub>
                </m:sSub>
                <m:r>
                  <w:rPr>
                    <w:rFonts w:ascii="Cambria Math" w:hAnsi="Cambria Math"/>
                    <w:sz w:val="20"/>
                    <w:szCs w:val="20"/>
                    <w:lang w:val="en-CA"/>
                  </w:rPr>
                  <m:t>=p</m:t>
                </m:r>
              </m:oMath>
            </m:oMathPara>
          </w:p>
        </w:tc>
        <w:tc>
          <w:tcPr>
            <w:tcW w:w="1810" w:type="dxa"/>
            <w:vAlign w:val="center"/>
            <w:hideMark/>
          </w:tcPr>
          <w:p w14:paraId="18BE7240" w14:textId="4EDB2A5C" w:rsidR="00DD2774" w:rsidRPr="007254FD" w:rsidRDefault="00DD2774" w:rsidP="007254FD">
            <w:pPr>
              <w:rPr>
                <w:sz w:val="20"/>
                <w:szCs w:val="20"/>
                <w:lang w:val="en-CA"/>
              </w:rPr>
            </w:pPr>
            <m:oMathPara>
              <m:oMathParaPr>
                <m:jc m:val="left"/>
              </m:oMathParaPr>
              <m:oMath>
                <m:sSub>
                  <m:sSubPr>
                    <m:ctrlPr>
                      <w:rPr>
                        <w:rFonts w:ascii="Cambria Math" w:hAnsi="Cambria Math"/>
                        <w:i/>
                        <w:sz w:val="20"/>
                        <w:szCs w:val="20"/>
                        <w:lang w:val="en-CA"/>
                      </w:rPr>
                    </m:ctrlPr>
                  </m:sSubPr>
                  <m:e>
                    <m:r>
                      <w:rPr>
                        <w:rFonts w:ascii="Cambria Math" w:hAnsi="Cambria Math"/>
                        <w:sz w:val="20"/>
                        <w:szCs w:val="20"/>
                        <w:lang w:val="en-CA"/>
                      </w:rPr>
                      <m:t>Q</m:t>
                    </m:r>
                  </m:e>
                  <m:sub>
                    <m:r>
                      <w:rPr>
                        <w:rFonts w:ascii="Cambria Math" w:hAnsi="Cambria Math"/>
                        <w:sz w:val="20"/>
                        <w:szCs w:val="20"/>
                        <w:lang w:val="en-CA"/>
                      </w:rPr>
                      <m:t>B</m:t>
                    </m:r>
                  </m:sub>
                </m:sSub>
                <m:r>
                  <w:rPr>
                    <w:rFonts w:ascii="Cambria Math" w:hAnsi="Cambria Math"/>
                    <w:sz w:val="20"/>
                    <w:szCs w:val="20"/>
                    <w:lang w:val="en-CA"/>
                  </w:rPr>
                  <m:t>=</m:t>
                </m:r>
                <m:sSub>
                  <m:sSubPr>
                    <m:ctrlPr>
                      <w:rPr>
                        <w:rFonts w:ascii="Cambria Math" w:hAnsi="Cambria Math"/>
                        <w:i/>
                        <w:sz w:val="20"/>
                        <w:szCs w:val="20"/>
                        <w:lang w:val="en-CA"/>
                      </w:rPr>
                    </m:ctrlPr>
                  </m:sSubPr>
                  <m:e>
                    <m:r>
                      <w:rPr>
                        <w:rFonts w:ascii="Cambria Math" w:hAnsi="Cambria Math"/>
                        <w:sz w:val="20"/>
                        <w:szCs w:val="20"/>
                        <w:lang w:val="en-CA"/>
                      </w:rPr>
                      <m:t>Q</m:t>
                    </m:r>
                  </m:e>
                  <m:sub>
                    <m:r>
                      <w:rPr>
                        <w:rFonts w:ascii="Cambria Math" w:hAnsi="Cambria Math"/>
                        <w:sz w:val="20"/>
                        <w:szCs w:val="20"/>
                        <w:lang w:val="en-CA"/>
                      </w:rPr>
                      <m:t>0</m:t>
                    </m:r>
                  </m:sub>
                </m:sSub>
              </m:oMath>
            </m:oMathPara>
          </w:p>
        </w:tc>
        <w:tc>
          <w:tcPr>
            <w:tcW w:w="1516" w:type="dxa"/>
            <w:vAlign w:val="center"/>
            <w:hideMark/>
          </w:tcPr>
          <w:p w14:paraId="5D31C535" w14:textId="637F013B" w:rsidR="00DD2774" w:rsidRPr="007254FD" w:rsidRDefault="00DD2774" w:rsidP="00DD2774">
            <w:pPr>
              <w:rPr>
                <w:sz w:val="20"/>
                <w:szCs w:val="20"/>
                <w:lang w:val="en-CA"/>
              </w:rPr>
            </w:pPr>
            <m:oMath>
              <m:sSub>
                <m:sSubPr>
                  <m:ctrlPr>
                    <w:rPr>
                      <w:rFonts w:ascii="Cambria Math" w:hAnsi="Cambria Math" w:cs="Arial"/>
                      <w:i/>
                      <w:sz w:val="20"/>
                      <w:szCs w:val="20"/>
                      <w:lang w:val="en-CA"/>
                    </w:rPr>
                  </m:ctrlPr>
                </m:sSubPr>
                <m:e>
                  <m:r>
                    <w:rPr>
                      <w:rFonts w:ascii="Cambria Math" w:hAnsi="Cambria Math" w:cs="Arial"/>
                      <w:sz w:val="20"/>
                      <w:szCs w:val="20"/>
                      <w:lang w:val="en-CA"/>
                    </w:rPr>
                    <m:t>R</m:t>
                  </m:r>
                </m:e>
                <m:sub>
                  <m:r>
                    <w:rPr>
                      <w:rFonts w:ascii="Cambria Math" w:hAnsi="Cambria Math" w:cs="Arial"/>
                      <w:sz w:val="20"/>
                      <w:szCs w:val="20"/>
                      <w:lang w:val="en-CA"/>
                    </w:rPr>
                    <m:t>B</m:t>
                  </m:r>
                </m:sub>
              </m:sSub>
              <m:r>
                <w:rPr>
                  <w:rFonts w:ascii="Cambria Math" w:hAnsi="Cambria Math" w:cs="Arial"/>
                  <w:sz w:val="20"/>
                  <w:szCs w:val="20"/>
                  <w:lang w:val="en-CA"/>
                </w:rPr>
                <m:t>=(p)(</m:t>
              </m:r>
              <m:sSub>
                <m:sSubPr>
                  <m:ctrlPr>
                    <w:rPr>
                      <w:rFonts w:ascii="Cambria Math" w:hAnsi="Cambria Math" w:cs="Arial"/>
                      <w:i/>
                      <w:sz w:val="20"/>
                      <w:szCs w:val="20"/>
                      <w:lang w:val="en-CA"/>
                    </w:rPr>
                  </m:ctrlPr>
                </m:sSubPr>
                <m:e>
                  <m:r>
                    <w:rPr>
                      <w:rFonts w:ascii="Cambria Math" w:hAnsi="Cambria Math" w:cs="Arial"/>
                      <w:sz w:val="20"/>
                      <w:szCs w:val="20"/>
                      <w:lang w:val="en-CA"/>
                    </w:rPr>
                    <m:t>Q</m:t>
                  </m:r>
                </m:e>
                <m:sub>
                  <m:r>
                    <w:rPr>
                      <w:rFonts w:ascii="Cambria Math" w:hAnsi="Cambria Math" w:cs="Arial"/>
                      <w:sz w:val="20"/>
                      <w:szCs w:val="20"/>
                      <w:lang w:val="en-CA"/>
                    </w:rPr>
                    <m:t>0</m:t>
                  </m:r>
                </m:sub>
              </m:sSub>
              <m:r>
                <w:rPr>
                  <w:rFonts w:ascii="Cambria Math" w:hAnsi="Cambria Math" w:cs="Arial"/>
                  <w:sz w:val="20"/>
                  <w:szCs w:val="20"/>
                  <w:lang w:val="en-CA"/>
                </w:rPr>
                <m:t>)</m:t>
              </m:r>
            </m:oMath>
            <w:r w:rsidRPr="007254FD">
              <w:rPr>
                <w:rFonts w:ascii="Arial" w:hAnsi="Arial" w:cs="Arial"/>
                <w:sz w:val="20"/>
                <w:szCs w:val="20"/>
                <w:lang w:val="en-CA"/>
              </w:rPr>
              <w:t>​</w:t>
            </w:r>
          </w:p>
        </w:tc>
      </w:tr>
      <w:tr w:rsidR="00F6653C" w:rsidRPr="00DD2774" w14:paraId="24964CE9" w14:textId="77777777" w:rsidTr="00F6653C">
        <w:trPr>
          <w:tblCellSpacing w:w="15" w:type="dxa"/>
        </w:trPr>
        <w:tc>
          <w:tcPr>
            <w:tcW w:w="1939" w:type="dxa"/>
            <w:vAlign w:val="center"/>
            <w:hideMark/>
          </w:tcPr>
          <w:p w14:paraId="0039FFD9" w14:textId="050EFB50" w:rsidR="00DD2774" w:rsidRPr="007254FD" w:rsidRDefault="00DD2774" w:rsidP="007254FD">
            <w:pPr>
              <w:rPr>
                <w:sz w:val="20"/>
                <w:szCs w:val="20"/>
                <w:highlight w:val="yellow"/>
                <w:lang w:val="en-CA"/>
              </w:rPr>
            </w:pPr>
            <w:r w:rsidRPr="007254FD">
              <w:rPr>
                <w:b/>
                <w:bCs/>
                <w:sz w:val="20"/>
                <w:szCs w:val="20"/>
                <w:lang w:val="en-CA"/>
              </w:rPr>
              <w:t xml:space="preserve">C. Fee </w:t>
            </w:r>
            <w:r w:rsidR="00CF1FF3" w:rsidRPr="00F172B9">
              <w:rPr>
                <w:b/>
                <w:bCs/>
                <w:sz w:val="20"/>
                <w:szCs w:val="20"/>
                <w:lang w:val="en-CA"/>
              </w:rPr>
              <w:t>scrapped;</w:t>
            </w:r>
            <w:r w:rsidRPr="007254FD">
              <w:rPr>
                <w:b/>
                <w:bCs/>
                <w:sz w:val="20"/>
                <w:szCs w:val="20"/>
                <w:lang w:val="en-CA"/>
              </w:rPr>
              <w:t xml:space="preserve"> Cineplex raises </w:t>
            </w:r>
            <m:oMath>
              <m:r>
                <m:rPr>
                  <m:sty m:val="bi"/>
                </m:rPr>
                <w:rPr>
                  <w:rFonts w:ascii="Cambria Math" w:hAnsi="Cambria Math"/>
                  <w:sz w:val="20"/>
                  <w:szCs w:val="20"/>
                  <w:lang w:val="en-CA"/>
                </w:rPr>
                <m:t xml:space="preserve">p </m:t>
              </m:r>
            </m:oMath>
            <w:r w:rsidRPr="007254FD">
              <w:rPr>
                <w:b/>
                <w:bCs/>
                <w:sz w:val="20"/>
                <w:szCs w:val="20"/>
                <w:lang w:val="en-CA"/>
              </w:rPr>
              <w:t xml:space="preserve">to </w:t>
            </w:r>
            <w:r w:rsidR="0094180C" w:rsidRPr="00F172B9">
              <w:rPr>
                <w:b/>
                <w:bCs/>
                <w:sz w:val="20"/>
                <w:szCs w:val="20"/>
                <w:lang w:val="en-CA"/>
              </w:rPr>
              <w:t>maximize</w:t>
            </w:r>
            <w:r w:rsidRPr="007254FD">
              <w:rPr>
                <w:b/>
                <w:bCs/>
                <w:sz w:val="20"/>
                <w:szCs w:val="20"/>
                <w:lang w:val="en-CA"/>
              </w:rPr>
              <w:t xml:space="preserve"> revenue</w:t>
            </w:r>
          </w:p>
        </w:tc>
        <w:tc>
          <w:tcPr>
            <w:tcW w:w="1811" w:type="dxa"/>
            <w:vAlign w:val="center"/>
            <w:hideMark/>
          </w:tcPr>
          <w:p w14:paraId="4C18C5BA" w14:textId="58B11E19" w:rsidR="00DD2774" w:rsidRPr="007254FD" w:rsidRDefault="001B78B7" w:rsidP="007254FD">
            <w:pPr>
              <w:rPr>
                <w:sz w:val="20"/>
                <w:szCs w:val="20"/>
                <w:lang w:val="en-CA"/>
              </w:rPr>
            </w:pPr>
            <w:r>
              <w:rPr>
                <w:sz w:val="20"/>
                <w:szCs w:val="20"/>
                <w:lang w:val="en-CA"/>
              </w:rPr>
              <w:t xml:space="preserve">Price set to an optimal </w:t>
            </w:r>
            <m:oMath>
              <m:sSup>
                <m:sSupPr>
                  <m:ctrlPr>
                    <w:rPr>
                      <w:rFonts w:ascii="Cambria Math" w:hAnsi="Cambria Math"/>
                      <w:i/>
                      <w:sz w:val="20"/>
                      <w:szCs w:val="20"/>
                      <w:lang w:val="en-CA"/>
                    </w:rPr>
                  </m:ctrlPr>
                </m:sSupPr>
                <m:e>
                  <m:r>
                    <w:rPr>
                      <w:rFonts w:ascii="Cambria Math" w:hAnsi="Cambria Math"/>
                      <w:sz w:val="20"/>
                      <w:szCs w:val="20"/>
                      <w:lang w:val="en-CA"/>
                    </w:rPr>
                    <m:t>p</m:t>
                  </m:r>
                </m:e>
                <m:sup>
                  <m:r>
                    <w:rPr>
                      <w:rFonts w:ascii="Cambria Math" w:hAnsi="Cambria Math"/>
                      <w:sz w:val="20"/>
                      <w:szCs w:val="20"/>
                      <w:lang w:val="en-CA"/>
                    </w:rPr>
                    <m:t>*</m:t>
                  </m:r>
                </m:sup>
              </m:sSup>
            </m:oMath>
          </w:p>
        </w:tc>
        <w:tc>
          <w:tcPr>
            <w:tcW w:w="2094" w:type="dxa"/>
            <w:vAlign w:val="center"/>
            <w:hideMark/>
          </w:tcPr>
          <w:p w14:paraId="6D665C9E" w14:textId="2E209F5E" w:rsidR="00DD2774" w:rsidRPr="007254FD" w:rsidRDefault="0094180C" w:rsidP="007254FD">
            <w:pPr>
              <w:rPr>
                <w:sz w:val="20"/>
                <w:szCs w:val="20"/>
                <w:lang w:val="en-CA"/>
              </w:rPr>
            </w:pPr>
            <m:oMathPara>
              <m:oMathParaPr>
                <m:jc m:val="left"/>
              </m:oMathParaPr>
              <m:oMath>
                <m:sSub>
                  <m:sSubPr>
                    <m:ctrlPr>
                      <w:rPr>
                        <w:rFonts w:ascii="Cambria Math" w:hAnsi="Cambria Math"/>
                        <w:i/>
                        <w:sz w:val="20"/>
                        <w:szCs w:val="20"/>
                        <w:lang w:val="en-CA"/>
                      </w:rPr>
                    </m:ctrlPr>
                  </m:sSubPr>
                  <m:e>
                    <m:r>
                      <w:rPr>
                        <w:rFonts w:ascii="Cambria Math" w:hAnsi="Cambria Math"/>
                        <w:sz w:val="20"/>
                        <w:szCs w:val="20"/>
                        <w:lang w:val="en-CA"/>
                      </w:rPr>
                      <m:t>P</m:t>
                    </m:r>
                  </m:e>
                  <m:sub>
                    <m:r>
                      <w:rPr>
                        <w:rFonts w:ascii="Cambria Math" w:hAnsi="Cambria Math"/>
                        <w:sz w:val="20"/>
                        <w:szCs w:val="20"/>
                        <w:lang w:val="en-CA"/>
                      </w:rPr>
                      <m:t>C</m:t>
                    </m:r>
                  </m:sub>
                </m:sSub>
                <m:r>
                  <w:rPr>
                    <w:rFonts w:ascii="Cambria Math" w:hAnsi="Cambria Math"/>
                    <w:sz w:val="20"/>
                    <w:szCs w:val="20"/>
                    <w:lang w:val="en-CA"/>
                  </w:rPr>
                  <m:t>=</m:t>
                </m:r>
                <m:sSup>
                  <m:sSupPr>
                    <m:ctrlPr>
                      <w:rPr>
                        <w:rFonts w:ascii="Cambria Math" w:hAnsi="Cambria Math"/>
                        <w:i/>
                        <w:sz w:val="20"/>
                        <w:szCs w:val="20"/>
                        <w:lang w:val="en-CA"/>
                      </w:rPr>
                    </m:ctrlPr>
                  </m:sSupPr>
                  <m:e>
                    <m:r>
                      <w:rPr>
                        <w:rFonts w:ascii="Cambria Math" w:hAnsi="Cambria Math"/>
                        <w:sz w:val="20"/>
                        <w:szCs w:val="20"/>
                        <w:lang w:val="en-CA"/>
                      </w:rPr>
                      <m:t>p</m:t>
                    </m:r>
                  </m:e>
                  <m:sup>
                    <m:r>
                      <w:rPr>
                        <w:rFonts w:ascii="Cambria Math" w:hAnsi="Cambria Math"/>
                        <w:sz w:val="20"/>
                        <w:szCs w:val="20"/>
                        <w:lang w:val="en-CA"/>
                      </w:rPr>
                      <m:t>*</m:t>
                    </m:r>
                  </m:sup>
                </m:sSup>
                <m:r>
                  <w:rPr>
                    <w:rFonts w:ascii="Cambria Math" w:hAnsi="Cambria Math"/>
                    <w:sz w:val="20"/>
                    <w:szCs w:val="20"/>
                    <w:lang w:val="en-CA"/>
                  </w:rPr>
                  <m:t xml:space="preserve"> </m:t>
                </m:r>
              </m:oMath>
            </m:oMathPara>
          </w:p>
        </w:tc>
        <w:tc>
          <w:tcPr>
            <w:tcW w:w="1810" w:type="dxa"/>
            <w:vAlign w:val="center"/>
            <w:hideMark/>
          </w:tcPr>
          <w:p w14:paraId="0AFBFEC8" w14:textId="73623A47" w:rsidR="00DD2774" w:rsidRPr="007254FD" w:rsidRDefault="001B78B7" w:rsidP="007254FD">
            <w:pPr>
              <w:rPr>
                <w:sz w:val="20"/>
                <w:szCs w:val="20"/>
                <w:lang w:val="en-CA"/>
              </w:rPr>
            </w:pPr>
            <m:oMathPara>
              <m:oMathParaPr>
                <m:jc m:val="left"/>
              </m:oMathParaPr>
              <m:oMath>
                <m:sSub>
                  <m:sSubPr>
                    <m:ctrlPr>
                      <w:rPr>
                        <w:rFonts w:ascii="Cambria Math" w:hAnsi="Cambria Math"/>
                        <w:i/>
                        <w:sz w:val="20"/>
                        <w:szCs w:val="20"/>
                        <w:lang w:val="en-CA"/>
                      </w:rPr>
                    </m:ctrlPr>
                  </m:sSubPr>
                  <m:e>
                    <m:r>
                      <w:rPr>
                        <w:rFonts w:ascii="Cambria Math" w:hAnsi="Cambria Math"/>
                        <w:sz w:val="20"/>
                        <w:szCs w:val="20"/>
                        <w:lang w:val="en-CA"/>
                      </w:rPr>
                      <m:t>Q</m:t>
                    </m:r>
                  </m:e>
                  <m:sub>
                    <m:r>
                      <w:rPr>
                        <w:rFonts w:ascii="Cambria Math" w:hAnsi="Cambria Math"/>
                        <w:sz w:val="20"/>
                        <w:szCs w:val="20"/>
                        <w:lang w:val="en-CA"/>
                      </w:rPr>
                      <m:t>C</m:t>
                    </m:r>
                  </m:sub>
                </m:sSub>
                <m:r>
                  <w:rPr>
                    <w:rFonts w:ascii="Cambria Math" w:hAnsi="Cambria Math"/>
                    <w:sz w:val="20"/>
                    <w:szCs w:val="20"/>
                    <w:lang w:val="en-CA"/>
                  </w:rPr>
                  <m:t>=A-B</m:t>
                </m:r>
                <m:sSup>
                  <m:sSupPr>
                    <m:ctrlPr>
                      <w:rPr>
                        <w:rFonts w:ascii="Cambria Math" w:hAnsi="Cambria Math"/>
                        <w:i/>
                        <w:sz w:val="20"/>
                        <w:szCs w:val="20"/>
                        <w:lang w:val="en-CA"/>
                      </w:rPr>
                    </m:ctrlPr>
                  </m:sSupPr>
                  <m:e>
                    <m:r>
                      <w:rPr>
                        <w:rFonts w:ascii="Cambria Math" w:hAnsi="Cambria Math"/>
                        <w:sz w:val="20"/>
                        <w:szCs w:val="20"/>
                        <w:lang w:val="en-CA"/>
                      </w:rPr>
                      <m:t>p</m:t>
                    </m:r>
                  </m:e>
                  <m:sup>
                    <m:r>
                      <w:rPr>
                        <w:rFonts w:ascii="Cambria Math" w:hAnsi="Cambria Math"/>
                        <w:sz w:val="20"/>
                        <w:szCs w:val="20"/>
                        <w:lang w:val="en-CA"/>
                      </w:rPr>
                      <m:t>*</m:t>
                    </m:r>
                  </m:sup>
                </m:sSup>
              </m:oMath>
            </m:oMathPara>
          </w:p>
        </w:tc>
        <w:tc>
          <w:tcPr>
            <w:tcW w:w="1516" w:type="dxa"/>
            <w:vAlign w:val="center"/>
          </w:tcPr>
          <w:p w14:paraId="0069E8FF" w14:textId="3CA043E3" w:rsidR="00DD2774" w:rsidRPr="007254FD" w:rsidRDefault="00B25489" w:rsidP="00DD2774">
            <w:pPr>
              <w:jc w:val="both"/>
              <w:rPr>
                <w:sz w:val="20"/>
                <w:szCs w:val="20"/>
                <w:lang w:val="en-CA"/>
              </w:rPr>
            </w:pPr>
            <m:oMathPara>
              <m:oMathParaPr>
                <m:jc m:val="left"/>
              </m:oMathParaPr>
              <m:oMath>
                <m:sSub>
                  <m:sSubPr>
                    <m:ctrlPr>
                      <w:rPr>
                        <w:rFonts w:ascii="Cambria Math" w:hAnsi="Cambria Math"/>
                        <w:i/>
                        <w:sz w:val="20"/>
                        <w:szCs w:val="20"/>
                        <w:lang w:val="en-CA"/>
                      </w:rPr>
                    </m:ctrlPr>
                  </m:sSubPr>
                  <m:e>
                    <m:r>
                      <w:rPr>
                        <w:rFonts w:ascii="Cambria Math" w:hAnsi="Cambria Math"/>
                        <w:sz w:val="20"/>
                        <w:szCs w:val="20"/>
                        <w:lang w:val="en-CA"/>
                      </w:rPr>
                      <m:t>R</m:t>
                    </m:r>
                  </m:e>
                  <m:sub>
                    <m:r>
                      <w:rPr>
                        <w:rFonts w:ascii="Cambria Math" w:hAnsi="Cambria Math"/>
                        <w:sz w:val="20"/>
                        <w:szCs w:val="20"/>
                        <w:lang w:val="en-CA"/>
                      </w:rPr>
                      <m:t>C</m:t>
                    </m:r>
                  </m:sub>
                </m:sSub>
                <m:r>
                  <w:rPr>
                    <w:rFonts w:ascii="Cambria Math" w:hAnsi="Cambria Math"/>
                    <w:sz w:val="20"/>
                    <w:szCs w:val="20"/>
                    <w:lang w:val="en-CA"/>
                  </w:rPr>
                  <m:t>=</m:t>
                </m:r>
                <m:sSup>
                  <m:sSupPr>
                    <m:ctrlPr>
                      <w:rPr>
                        <w:rFonts w:ascii="Cambria Math" w:hAnsi="Cambria Math"/>
                        <w:i/>
                        <w:sz w:val="20"/>
                        <w:szCs w:val="20"/>
                        <w:lang w:val="en-CA"/>
                      </w:rPr>
                    </m:ctrlPr>
                  </m:sSupPr>
                  <m:e>
                    <m:r>
                      <w:rPr>
                        <w:rFonts w:ascii="Cambria Math" w:hAnsi="Cambria Math"/>
                        <w:sz w:val="20"/>
                        <w:szCs w:val="20"/>
                        <w:lang w:val="en-CA"/>
                      </w:rPr>
                      <m:t>p</m:t>
                    </m:r>
                  </m:e>
                  <m:sup>
                    <m:r>
                      <w:rPr>
                        <w:rFonts w:ascii="Cambria Math" w:hAnsi="Cambria Math"/>
                        <w:sz w:val="20"/>
                        <w:szCs w:val="20"/>
                        <w:lang w:val="en-CA"/>
                      </w:rPr>
                      <m:t>*</m:t>
                    </m:r>
                  </m:sup>
                </m:sSup>
                <m:sSub>
                  <m:sSubPr>
                    <m:ctrlPr>
                      <w:rPr>
                        <w:rFonts w:ascii="Cambria Math" w:hAnsi="Cambria Math"/>
                        <w:i/>
                        <w:sz w:val="20"/>
                        <w:szCs w:val="20"/>
                        <w:lang w:val="en-CA"/>
                      </w:rPr>
                    </m:ctrlPr>
                  </m:sSubPr>
                  <m:e>
                    <m:r>
                      <w:rPr>
                        <w:rFonts w:ascii="Cambria Math" w:hAnsi="Cambria Math"/>
                        <w:sz w:val="20"/>
                        <w:szCs w:val="20"/>
                        <w:lang w:val="en-CA"/>
                      </w:rPr>
                      <m:t>Q</m:t>
                    </m:r>
                  </m:e>
                  <m:sub>
                    <m:r>
                      <w:rPr>
                        <w:rFonts w:ascii="Cambria Math" w:hAnsi="Cambria Math"/>
                        <w:sz w:val="20"/>
                        <w:szCs w:val="20"/>
                        <w:lang w:val="en-CA"/>
                      </w:rPr>
                      <m:t>C</m:t>
                    </m:r>
                  </m:sub>
                </m:sSub>
              </m:oMath>
            </m:oMathPara>
          </w:p>
        </w:tc>
      </w:tr>
    </w:tbl>
    <w:p w14:paraId="2EB22683" w14:textId="77777777" w:rsidR="00867C24" w:rsidRDefault="00867C24" w:rsidP="007254FD">
      <w:pPr>
        <w:rPr>
          <w:b/>
          <w:bCs/>
          <w:lang w:val="en-CA"/>
        </w:rPr>
      </w:pPr>
    </w:p>
    <w:p w14:paraId="35115BFD" w14:textId="40F5BF21" w:rsidR="007254FD" w:rsidRPr="007254FD" w:rsidRDefault="007254FD" w:rsidP="007254FD">
      <w:pPr>
        <w:rPr>
          <w:b/>
          <w:bCs/>
          <w:lang w:val="en-CA"/>
        </w:rPr>
      </w:pPr>
      <w:r w:rsidRPr="007254FD">
        <w:rPr>
          <w:b/>
          <w:bCs/>
          <w:lang w:val="en-CA"/>
        </w:rPr>
        <w:t>3.1 Closed-form expressions</w:t>
      </w:r>
    </w:p>
    <w:p w14:paraId="7602CE7A" w14:textId="77777777" w:rsidR="007254FD" w:rsidRPr="007254FD" w:rsidRDefault="007254FD" w:rsidP="007254FD">
      <w:pPr>
        <w:numPr>
          <w:ilvl w:val="0"/>
          <w:numId w:val="2"/>
        </w:numPr>
        <w:rPr>
          <w:lang w:val="en-CA"/>
        </w:rPr>
      </w:pPr>
      <w:r w:rsidRPr="007254FD">
        <w:rPr>
          <w:b/>
          <w:bCs/>
          <w:lang w:val="en-CA"/>
        </w:rPr>
        <w:t>Volume effect in scenario A</w:t>
      </w:r>
    </w:p>
    <w:p w14:paraId="22D9B3DE" w14:textId="336EDEAA" w:rsidR="001B78B7" w:rsidRPr="001B78B7" w:rsidRDefault="001B78B7" w:rsidP="007254FD">
      <w:pPr>
        <w:rPr>
          <w:rFonts w:eastAsiaTheme="minorEastAsia"/>
          <w:lang w:val="en-CA"/>
        </w:rPr>
      </w:pPr>
      <m:oMathPara>
        <m:oMath>
          <m:r>
            <w:rPr>
              <w:rFonts w:ascii="Cambria Math" w:eastAsiaTheme="minorEastAsia" w:hAnsi="Cambria Math"/>
              <w:lang w:val="en-CA"/>
            </w:rPr>
            <m:t>∆</m:t>
          </m:r>
          <m:sSub>
            <m:sSubPr>
              <m:ctrlPr>
                <w:rPr>
                  <w:rFonts w:ascii="Cambria Math" w:eastAsiaTheme="minorEastAsia" w:hAnsi="Cambria Math"/>
                  <w:i/>
                  <w:lang w:val="en-CA"/>
                </w:rPr>
              </m:ctrlPr>
            </m:sSubPr>
            <m:e>
              <m:r>
                <w:rPr>
                  <w:rFonts w:ascii="Cambria Math" w:eastAsiaTheme="minorEastAsia" w:hAnsi="Cambria Math"/>
                  <w:lang w:val="en-CA"/>
                </w:rPr>
                <m:t>Q</m:t>
              </m:r>
            </m:e>
            <m:sub>
              <m:r>
                <w:rPr>
                  <w:rFonts w:ascii="Cambria Math" w:eastAsiaTheme="minorEastAsia" w:hAnsi="Cambria Math"/>
                  <w:lang w:val="en-CA"/>
                </w:rPr>
                <m:t>A</m:t>
              </m:r>
            </m:sub>
          </m:sSub>
          <m:r>
            <w:rPr>
              <w:rFonts w:ascii="Cambria Math" w:eastAsiaTheme="minorEastAsia" w:hAnsi="Cambria Math"/>
              <w:lang w:val="en-CA"/>
            </w:rPr>
            <m:t>=</m:t>
          </m:r>
          <m:sSub>
            <m:sSubPr>
              <m:ctrlPr>
                <w:rPr>
                  <w:rFonts w:ascii="Cambria Math" w:eastAsiaTheme="minorEastAsia" w:hAnsi="Cambria Math"/>
                  <w:i/>
                  <w:lang w:val="en-CA"/>
                </w:rPr>
              </m:ctrlPr>
            </m:sSubPr>
            <m:e>
              <m:r>
                <w:rPr>
                  <w:rFonts w:ascii="Cambria Math" w:eastAsiaTheme="minorEastAsia" w:hAnsi="Cambria Math"/>
                  <w:lang w:val="en-CA"/>
                </w:rPr>
                <m:t>Q</m:t>
              </m:r>
            </m:e>
            <m:sub>
              <m:r>
                <w:rPr>
                  <w:rFonts w:ascii="Cambria Math" w:eastAsiaTheme="minorEastAsia" w:hAnsi="Cambria Math"/>
                  <w:lang w:val="en-CA"/>
                </w:rPr>
                <m:t>A</m:t>
              </m:r>
            </m:sub>
          </m:sSub>
          <m:r>
            <w:rPr>
              <w:rFonts w:ascii="Cambria Math" w:eastAsiaTheme="minorEastAsia" w:hAnsi="Cambria Math"/>
              <w:lang w:val="en-CA"/>
            </w:rPr>
            <m:t>-</m:t>
          </m:r>
          <m:sSub>
            <m:sSubPr>
              <m:ctrlPr>
                <w:rPr>
                  <w:rFonts w:ascii="Cambria Math" w:eastAsiaTheme="minorEastAsia" w:hAnsi="Cambria Math"/>
                  <w:i/>
                  <w:lang w:val="en-CA"/>
                </w:rPr>
              </m:ctrlPr>
            </m:sSubPr>
            <m:e>
              <m:r>
                <w:rPr>
                  <w:rFonts w:ascii="Cambria Math" w:eastAsiaTheme="minorEastAsia" w:hAnsi="Cambria Math"/>
                  <w:lang w:val="en-CA"/>
                </w:rPr>
                <m:t>Q</m:t>
              </m:r>
            </m:e>
            <m:sub>
              <m:r>
                <w:rPr>
                  <w:rFonts w:ascii="Cambria Math" w:eastAsiaTheme="minorEastAsia" w:hAnsi="Cambria Math"/>
                  <w:lang w:val="en-CA"/>
                </w:rPr>
                <m:t>0</m:t>
              </m:r>
            </m:sub>
          </m:sSub>
          <m:r>
            <w:rPr>
              <w:rFonts w:ascii="Cambria Math" w:eastAsiaTheme="minorEastAsia" w:hAnsi="Cambria Math"/>
              <w:lang w:val="en-CA"/>
            </w:rPr>
            <m:t>= -Bf</m:t>
          </m:r>
        </m:oMath>
      </m:oMathPara>
    </w:p>
    <w:p w14:paraId="47E4134F" w14:textId="77777777" w:rsidR="007254FD" w:rsidRPr="007254FD" w:rsidRDefault="007254FD" w:rsidP="007254FD">
      <w:pPr>
        <w:numPr>
          <w:ilvl w:val="0"/>
          <w:numId w:val="3"/>
        </w:numPr>
        <w:rPr>
          <w:lang w:val="en-CA"/>
        </w:rPr>
      </w:pPr>
      <w:r w:rsidRPr="007254FD">
        <w:rPr>
          <w:b/>
          <w:bCs/>
          <w:lang w:val="en-CA"/>
        </w:rPr>
        <w:t>Revenue gain from drip pricing relative to A</w:t>
      </w:r>
    </w:p>
    <w:p w14:paraId="38B1F724" w14:textId="46B0924A" w:rsidR="005C24BB" w:rsidRDefault="005C24BB" w:rsidP="007254FD">
      <w:pPr>
        <w:rPr>
          <w:lang w:val="en-CA"/>
        </w:rPr>
      </w:pPr>
      <m:oMathPara>
        <m:oMath>
          <m:r>
            <w:rPr>
              <w:rFonts w:ascii="Cambria Math" w:hAnsi="Cambria Math"/>
              <w:lang w:val="en-CA"/>
            </w:rPr>
            <m:t>∆</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0</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0</m:t>
              </m:r>
            </m:sub>
          </m:sSub>
          <m:r>
            <w:rPr>
              <w:rFonts w:ascii="Cambria Math" w:hAnsi="Cambria Math"/>
              <w:lang w:val="en-CA"/>
            </w:rPr>
            <m:t>-</m:t>
          </m:r>
          <m:d>
            <m:dPr>
              <m:ctrlPr>
                <w:rPr>
                  <w:rFonts w:ascii="Cambria Math" w:hAnsi="Cambria Math"/>
                  <w:i/>
                  <w:lang w:val="en-CA"/>
                </w:rPr>
              </m:ctrlPr>
            </m:dPr>
            <m:e>
              <m:r>
                <w:rPr>
                  <w:rFonts w:ascii="Cambria Math" w:hAnsi="Cambria Math"/>
                  <w:lang w:val="en-CA"/>
                </w:rPr>
                <m:t>p+f</m:t>
              </m:r>
            </m:e>
          </m:d>
          <m:sSub>
            <m:sSubPr>
              <m:ctrlPr>
                <w:rPr>
                  <w:rFonts w:ascii="Cambria Math" w:hAnsi="Cambria Math"/>
                  <w:i/>
                  <w:lang w:val="en-CA"/>
                </w:rPr>
              </m:ctrlPr>
            </m:sSubPr>
            <m:e>
              <m:r>
                <w:rPr>
                  <w:rFonts w:ascii="Cambria Math" w:hAnsi="Cambria Math"/>
                  <w:lang w:val="en-CA"/>
                </w:rPr>
                <m:t>Q</m:t>
              </m:r>
            </m:e>
            <m:sub>
              <m:r>
                <w:rPr>
                  <w:rFonts w:ascii="Cambria Math" w:hAnsi="Cambria Math"/>
                  <w:lang w:val="en-CA"/>
                </w:rPr>
                <m:t>A</m:t>
              </m:r>
            </m:sub>
          </m:sSub>
          <m:r>
            <w:rPr>
              <w:rFonts w:ascii="Cambria Math" w:hAnsi="Cambria Math"/>
              <w:lang w:val="en-CA"/>
            </w:rPr>
            <m:t>=f</m:t>
          </m:r>
          <m:sSub>
            <m:sSubPr>
              <m:ctrlPr>
                <w:rPr>
                  <w:rFonts w:ascii="Cambria Math" w:hAnsi="Cambria Math"/>
                  <w:i/>
                  <w:lang w:val="en-CA"/>
                </w:rPr>
              </m:ctrlPr>
            </m:sSubPr>
            <m:e>
              <m:r>
                <w:rPr>
                  <w:rFonts w:ascii="Cambria Math" w:hAnsi="Cambria Math"/>
                  <w:lang w:val="en-CA"/>
                </w:rPr>
                <m:t>Q</m:t>
              </m:r>
            </m:e>
            <m:sub>
              <m:r>
                <w:rPr>
                  <w:rFonts w:ascii="Cambria Math" w:hAnsi="Cambria Math"/>
                  <w:lang w:val="en-CA"/>
                </w:rPr>
                <m:t>0</m:t>
              </m:r>
            </m:sub>
          </m:sSub>
          <m:r>
            <w:rPr>
              <w:rFonts w:ascii="Cambria Math" w:hAnsi="Cambria Math"/>
              <w:lang w:val="en-CA"/>
            </w:rPr>
            <m:t>+pBf</m:t>
          </m:r>
        </m:oMath>
      </m:oMathPara>
    </w:p>
    <w:p w14:paraId="0F4D131B" w14:textId="77777777" w:rsidR="007254FD" w:rsidRPr="007254FD" w:rsidRDefault="007254FD" w:rsidP="007254FD">
      <w:pPr>
        <w:numPr>
          <w:ilvl w:val="0"/>
          <w:numId w:val="4"/>
        </w:numPr>
        <w:rPr>
          <w:lang w:val="en-CA"/>
        </w:rPr>
      </w:pPr>
      <w:r w:rsidRPr="007254FD">
        <w:rPr>
          <w:b/>
          <w:bCs/>
          <w:lang w:val="en-CA"/>
        </w:rPr>
        <w:t>Revenue gain relative to B (simple refund case)</w:t>
      </w:r>
    </w:p>
    <w:p w14:paraId="1AE2A889" w14:textId="6086EB53" w:rsidR="007254FD" w:rsidRPr="007254FD" w:rsidRDefault="005C24BB" w:rsidP="005C24BB">
      <w:pPr>
        <w:jc w:val="center"/>
        <w:rPr>
          <w:lang w:val="en-CA"/>
        </w:rPr>
      </w:pPr>
      <m:oMathPara>
        <m:oMath>
          <m:r>
            <w:rPr>
              <w:rFonts w:ascii="Cambria Math" w:hAnsi="Cambria Math"/>
              <w:lang w:val="en-CA"/>
            </w:rPr>
            <m:t>Δ</m:t>
          </m:r>
          <m:sSub>
            <m:sSubPr>
              <m:ctrlPr>
                <w:rPr>
                  <w:rFonts w:ascii="Cambria Math" w:hAnsi="Cambria Math"/>
                  <w:i/>
                  <w:iCs/>
                  <w:lang w:val="en-CA"/>
                </w:rPr>
              </m:ctrlPr>
            </m:sSubPr>
            <m:e>
              <m:r>
                <w:rPr>
                  <w:rFonts w:ascii="Cambria Math" w:hAnsi="Cambria Math"/>
                  <w:lang w:val="en-CA"/>
                </w:rPr>
                <m:t>R</m:t>
              </m:r>
            </m:e>
            <m:sub>
              <m:r>
                <w:rPr>
                  <w:rFonts w:ascii="Cambria Math" w:hAnsi="Cambria Math"/>
                  <w:lang w:val="en-CA"/>
                </w:rPr>
                <m:t>0B</m:t>
              </m:r>
            </m:sub>
          </m:sSub>
          <m:r>
            <w:rPr>
              <w:rFonts w:ascii="Cambria Math" w:hAnsi="Cambria Math"/>
              <w:lang w:val="en-CA"/>
            </w:rPr>
            <m:t>=</m:t>
          </m:r>
          <m:sSub>
            <m:sSubPr>
              <m:ctrlPr>
                <w:rPr>
                  <w:rFonts w:ascii="Cambria Math" w:hAnsi="Cambria Math"/>
                  <w:i/>
                  <w:iCs/>
                  <w:lang w:val="en-CA"/>
                </w:rPr>
              </m:ctrlPr>
            </m:sSubPr>
            <m:e>
              <m:r>
                <w:rPr>
                  <w:rFonts w:ascii="Cambria Math" w:hAnsi="Cambria Math"/>
                  <w:lang w:val="en-CA"/>
                </w:rPr>
                <m:t>R</m:t>
              </m:r>
            </m:e>
            <m:sub>
              <m:r>
                <w:rPr>
                  <w:rFonts w:ascii="Cambria Math" w:hAnsi="Cambria Math"/>
                  <w:lang w:val="en-CA"/>
                </w:rPr>
                <m:t>0</m:t>
              </m:r>
            </m:sub>
          </m:sSub>
          <m:r>
            <w:rPr>
              <w:rFonts w:ascii="Cambria Math" w:hAnsi="Cambria Math"/>
              <w:lang w:val="en-CA"/>
            </w:rPr>
            <m:t>-</m:t>
          </m:r>
          <m:sSub>
            <m:sSubPr>
              <m:ctrlPr>
                <w:rPr>
                  <w:rFonts w:ascii="Cambria Math" w:hAnsi="Cambria Math"/>
                  <w:i/>
                  <w:iCs/>
                  <w:lang w:val="en-CA"/>
                </w:rPr>
              </m:ctrlPr>
            </m:sSubPr>
            <m:e>
              <m:r>
                <w:rPr>
                  <w:rFonts w:ascii="Cambria Math" w:hAnsi="Cambria Math"/>
                  <w:lang w:val="en-CA"/>
                </w:rPr>
                <m:t>R</m:t>
              </m:r>
            </m:e>
            <m:sub>
              <m:r>
                <w:rPr>
                  <w:rFonts w:ascii="Cambria Math" w:hAnsi="Cambria Math"/>
                  <w:lang w:val="en-CA"/>
                </w:rPr>
                <m:t>B</m:t>
              </m:r>
            </m:sub>
          </m:sSub>
          <m:r>
            <w:rPr>
              <w:rFonts w:ascii="Cambria Math" w:hAnsi="Cambria Math"/>
              <w:lang w:val="en-CA"/>
            </w:rPr>
            <m:t>=</m:t>
          </m:r>
          <m:sSub>
            <m:sSubPr>
              <m:ctrlPr>
                <w:rPr>
                  <w:rFonts w:ascii="Cambria Math" w:hAnsi="Cambria Math"/>
                  <w:i/>
                  <w:iCs/>
                  <w:lang w:val="en-CA"/>
                </w:rPr>
              </m:ctrlPr>
            </m:sSubPr>
            <m:e>
              <m:r>
                <w:rPr>
                  <w:rFonts w:ascii="Cambria Math" w:hAnsi="Cambria Math"/>
                  <w:lang w:val="en-CA"/>
                </w:rPr>
                <m:t>R</m:t>
              </m:r>
            </m:e>
            <m:sub>
              <m:r>
                <w:rPr>
                  <w:rFonts w:ascii="Cambria Math" w:hAnsi="Cambria Math"/>
                  <w:lang w:val="en-CA"/>
                </w:rPr>
                <m:t>0</m:t>
              </m:r>
            </m:sub>
          </m:sSub>
          <m:r>
            <w:rPr>
              <w:rFonts w:ascii="Cambria Math" w:hAnsi="Cambria Math"/>
              <w:lang w:val="en-CA"/>
            </w:rPr>
            <m:t>-p</m:t>
          </m:r>
          <m:sSub>
            <m:sSubPr>
              <m:ctrlPr>
                <w:rPr>
                  <w:rFonts w:ascii="Cambria Math" w:hAnsi="Cambria Math"/>
                  <w:i/>
                  <w:iCs/>
                  <w:lang w:val="en-CA"/>
                </w:rPr>
              </m:ctrlPr>
            </m:sSubPr>
            <m:e>
              <m:r>
                <w:rPr>
                  <w:rFonts w:ascii="Cambria Math" w:hAnsi="Cambria Math"/>
                  <w:lang w:val="en-CA"/>
                </w:rPr>
                <m:t>Q</m:t>
              </m:r>
            </m:e>
            <m:sub>
              <m:r>
                <w:rPr>
                  <w:rFonts w:ascii="Cambria Math" w:hAnsi="Cambria Math"/>
                  <w:lang w:val="en-CA"/>
                </w:rPr>
                <m:t>B</m:t>
              </m:r>
            </m:sub>
          </m:sSub>
          <m:r>
            <w:rPr>
              <w:rFonts w:ascii="Cambria Math" w:hAnsi="Cambria Math"/>
              <w:lang w:val="en-CA"/>
            </w:rPr>
            <m:t>=f</m:t>
          </m:r>
          <m:sSub>
            <m:sSubPr>
              <m:ctrlPr>
                <w:rPr>
                  <w:rFonts w:ascii="Cambria Math" w:hAnsi="Cambria Math"/>
                  <w:i/>
                  <w:iCs/>
                  <w:lang w:val="en-CA"/>
                </w:rPr>
              </m:ctrlPr>
            </m:sSubPr>
            <m:e>
              <m:r>
                <w:rPr>
                  <w:rFonts w:ascii="Cambria Math" w:hAnsi="Cambria Math"/>
                  <w:lang w:val="en-CA"/>
                </w:rPr>
                <m:t>Q</m:t>
              </m:r>
            </m:e>
            <m:sub>
              <m:r>
                <w:rPr>
                  <w:rFonts w:ascii="Cambria Math" w:hAnsi="Cambria Math"/>
                  <w:lang w:val="en-CA"/>
                </w:rPr>
                <m:t>0</m:t>
              </m:r>
            </m:sub>
          </m:sSub>
        </m:oMath>
      </m:oMathPara>
    </w:p>
    <w:p w14:paraId="04684C51" w14:textId="0C37A732" w:rsidR="007254FD" w:rsidRPr="00B25489" w:rsidRDefault="007254FD" w:rsidP="007254FD">
      <w:pPr>
        <w:numPr>
          <w:ilvl w:val="0"/>
          <w:numId w:val="5"/>
        </w:numPr>
        <w:rPr>
          <w:lang w:val="en-CA"/>
        </w:rPr>
      </w:pPr>
      <w:r w:rsidRPr="007254FD">
        <w:rPr>
          <w:b/>
          <w:bCs/>
          <w:lang w:val="en-CA"/>
        </w:rPr>
        <w:t>Revenue gain relative to C (</w:t>
      </w:r>
      <w:r w:rsidR="00B25489">
        <w:rPr>
          <w:b/>
          <w:bCs/>
          <w:lang w:val="en-CA"/>
        </w:rPr>
        <w:t>honest profit-maximizer</w:t>
      </w:r>
      <w:r w:rsidRPr="007254FD">
        <w:rPr>
          <w:b/>
          <w:bCs/>
          <w:lang w:val="en-CA"/>
        </w:rPr>
        <w:t>)</w:t>
      </w:r>
    </w:p>
    <w:p w14:paraId="2F644D2D" w14:textId="74D65E46" w:rsidR="0051162D" w:rsidRDefault="001B78B7" w:rsidP="00B25489">
      <w:pPr>
        <w:rPr>
          <w:lang w:val="en-CA"/>
        </w:rPr>
      </w:pPr>
      <w:r>
        <w:rPr>
          <w:lang w:val="en-CA"/>
        </w:rPr>
        <w:t>FOC:</w:t>
      </w:r>
    </w:p>
    <w:p w14:paraId="1141CBFB" w14:textId="2C1AB3CD" w:rsidR="001B78B7" w:rsidRPr="001B78B7" w:rsidRDefault="001B78B7" w:rsidP="00B25489">
      <w:pPr>
        <w:rPr>
          <w:rFonts w:eastAsiaTheme="minorEastAsia"/>
          <w:lang w:val="en-CA"/>
        </w:rPr>
      </w:pPr>
      <m:oMathPara>
        <m:oMath>
          <m:f>
            <m:fPr>
              <m:ctrlPr>
                <w:rPr>
                  <w:rFonts w:ascii="Cambria Math" w:hAnsi="Cambria Math"/>
                  <w:i/>
                  <w:lang w:val="en-CA"/>
                </w:rPr>
              </m:ctrlPr>
            </m:fPr>
            <m:num>
              <m:r>
                <w:rPr>
                  <w:rFonts w:ascii="Cambria Math" w:hAnsi="Cambria Math"/>
                </w:rPr>
                <m:t>d</m:t>
              </m:r>
              <m:r>
                <w:rPr>
                  <w:rFonts w:ascii="Cambria Math" w:hAnsi="Cambria Math"/>
                </w:rPr>
                <m:t>π</m:t>
              </m:r>
            </m:num>
            <m:den>
              <m:r>
                <w:rPr>
                  <w:rFonts w:ascii="Cambria Math" w:hAnsi="Cambria Math"/>
                </w:rPr>
                <m:t>d</m:t>
              </m:r>
              <m:r>
                <w:rPr>
                  <w:rFonts w:ascii="Cambria Math" w:hAnsi="Cambria Math"/>
                </w:rPr>
                <m:t>p</m:t>
              </m:r>
            </m:den>
          </m:f>
          <m:r>
            <w:rPr>
              <w:rFonts w:ascii="Cambria Math" w:hAnsi="Cambria Math"/>
              <w:lang w:val="en-CA"/>
            </w:rPr>
            <m:t>=A-2Bp+Bc=0 →</m:t>
          </m:r>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c</m:t>
              </m:r>
            </m:sub>
          </m:sSub>
          <m:r>
            <w:rPr>
              <w:rFonts w:ascii="Cambria Math" w:hAnsi="Cambria Math"/>
              <w:lang w:val="en-CA"/>
            </w:rPr>
            <m:t xml:space="preserve">= </m:t>
          </m:r>
          <m:f>
            <m:fPr>
              <m:ctrlPr>
                <w:rPr>
                  <w:rFonts w:ascii="Cambria Math" w:hAnsi="Cambria Math"/>
                  <w:i/>
                  <w:lang w:val="en-CA"/>
                </w:rPr>
              </m:ctrlPr>
            </m:fPr>
            <m:num>
              <m:r>
                <w:rPr>
                  <w:rFonts w:ascii="Cambria Math" w:hAnsi="Cambria Math"/>
                  <w:lang w:val="en-CA"/>
                </w:rPr>
                <m:t>A+Bc</m:t>
              </m:r>
            </m:num>
            <m:den>
              <m:r>
                <w:rPr>
                  <w:rFonts w:ascii="Cambria Math" w:hAnsi="Cambria Math"/>
                  <w:lang w:val="en-CA"/>
                </w:rPr>
                <m:t>2B</m:t>
              </m:r>
            </m:den>
          </m:f>
          <m:r>
            <w:rPr>
              <w:rFonts w:ascii="Cambria Math" w:hAnsi="Cambria Math"/>
              <w:lang w:val="en-CA"/>
            </w:rPr>
            <m:t xml:space="preserve">, </m:t>
          </m:r>
          <m:sSub>
            <m:sSubPr>
              <m:ctrlPr>
                <w:rPr>
                  <w:rFonts w:ascii="Cambria Math" w:hAnsi="Cambria Math"/>
                  <w:i/>
                  <w:lang w:val="en-CA"/>
                </w:rPr>
              </m:ctrlPr>
            </m:sSubPr>
            <m:e>
              <m:r>
                <w:rPr>
                  <w:rFonts w:ascii="Cambria Math" w:hAnsi="Cambria Math"/>
                  <w:lang w:val="en-CA"/>
                </w:rPr>
                <m:t>q</m:t>
              </m:r>
            </m:e>
            <m:sub>
              <m:r>
                <w:rPr>
                  <w:rFonts w:ascii="Cambria Math" w:hAnsi="Cambria Math"/>
                  <w:lang w:val="en-CA"/>
                </w:rPr>
                <m:t>C</m:t>
              </m:r>
            </m:sub>
          </m:sSub>
          <m:r>
            <w:rPr>
              <w:rFonts w:ascii="Cambria Math" w:hAnsi="Cambria Math"/>
              <w:lang w:val="en-CA"/>
            </w:rPr>
            <m:t>=</m:t>
          </m:r>
          <m:f>
            <m:fPr>
              <m:ctrlPr>
                <w:rPr>
                  <w:rFonts w:ascii="Cambria Math" w:hAnsi="Cambria Math"/>
                  <w:i/>
                  <w:lang w:val="en-CA"/>
                </w:rPr>
              </m:ctrlPr>
            </m:fPr>
            <m:num>
              <m:r>
                <w:rPr>
                  <w:rFonts w:ascii="Cambria Math" w:hAnsi="Cambria Math"/>
                  <w:lang w:val="en-CA"/>
                </w:rPr>
                <m:t>A-Bc</m:t>
              </m:r>
            </m:num>
            <m:den>
              <m:r>
                <w:rPr>
                  <w:rFonts w:ascii="Cambria Math" w:hAnsi="Cambria Math"/>
                  <w:lang w:val="en-CA"/>
                </w:rPr>
                <m:t>2</m:t>
              </m:r>
            </m:den>
          </m:f>
        </m:oMath>
      </m:oMathPara>
    </w:p>
    <w:p w14:paraId="40CCFE3C" w14:textId="4005AF2C" w:rsidR="001B78B7" w:rsidRDefault="001B78B7" w:rsidP="00B25489">
      <w:pPr>
        <w:rPr>
          <w:rFonts w:eastAsiaTheme="minorEastAsia"/>
          <w:lang w:val="en-CA"/>
        </w:rPr>
      </w:pPr>
      <w:r>
        <w:rPr>
          <w:rFonts w:eastAsiaTheme="minorEastAsia"/>
          <w:lang w:val="en-CA"/>
        </w:rPr>
        <w:t>Gain from drip pricing over Scenario C is</w:t>
      </w:r>
    </w:p>
    <w:p w14:paraId="5D5B10ED" w14:textId="1B39FD98" w:rsidR="001B78B7" w:rsidRPr="007254FD" w:rsidRDefault="001B78B7" w:rsidP="00B25489">
      <w:pPr>
        <w:rPr>
          <w:lang w:val="en-CA"/>
        </w:rPr>
      </w:pPr>
      <m:oMathPara>
        <m:oMath>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0</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C</m:t>
              </m:r>
            </m:sub>
          </m:sSub>
          <m:sSub>
            <m:sSubPr>
              <m:ctrlPr>
                <w:rPr>
                  <w:rFonts w:ascii="Cambria Math" w:hAnsi="Cambria Math"/>
                  <w:i/>
                  <w:lang w:val="en-CA"/>
                </w:rPr>
              </m:ctrlPr>
            </m:sSubPr>
            <m:e>
              <m:r>
                <w:rPr>
                  <w:rFonts w:ascii="Cambria Math" w:hAnsi="Cambria Math"/>
                  <w:lang w:val="en-CA"/>
                </w:rPr>
                <m:t>Q</m:t>
              </m:r>
            </m:e>
            <m:sub>
              <m:r>
                <w:rPr>
                  <w:rFonts w:ascii="Cambria Math" w:hAnsi="Cambria Math"/>
                  <w:lang w:val="en-CA"/>
                </w:rPr>
                <m:t>C</m:t>
              </m:r>
            </m:sub>
          </m:sSub>
          <m:r>
            <w:rPr>
              <w:rFonts w:ascii="Cambria Math" w:hAnsi="Cambria Math"/>
              <w:lang w:val="en-CA"/>
            </w:rPr>
            <m:t>=</m:t>
          </m:r>
          <m:d>
            <m:dPr>
              <m:ctrlPr>
                <w:rPr>
                  <w:rFonts w:ascii="Cambria Math" w:hAnsi="Cambria Math"/>
                  <w:i/>
                  <w:lang w:val="en-CA"/>
                </w:rPr>
              </m:ctrlPr>
            </m:dPr>
            <m:e>
              <m:r>
                <w:rPr>
                  <w:rFonts w:ascii="Cambria Math" w:hAnsi="Cambria Math"/>
                  <w:lang w:val="en-CA"/>
                </w:rPr>
                <m:t>p+f</m:t>
              </m:r>
              <m:ctrlPr>
                <w:rPr>
                  <w:rFonts w:ascii="Cambria Math" w:eastAsiaTheme="minorEastAsia" w:hAnsi="Cambria Math"/>
                  <w:i/>
                  <w:lang w:val="en-CA"/>
                </w:rPr>
              </m:ctrlPr>
            </m:e>
          </m:d>
          <m:sSub>
            <m:sSubPr>
              <m:ctrlPr>
                <w:rPr>
                  <w:rFonts w:ascii="Cambria Math" w:eastAsiaTheme="minorEastAsia" w:hAnsi="Cambria Math"/>
                  <w:i/>
                  <w:lang w:val="en-CA"/>
                </w:rPr>
              </m:ctrlPr>
            </m:sSubPr>
            <m:e>
              <m:r>
                <w:rPr>
                  <w:rFonts w:ascii="Cambria Math" w:eastAsiaTheme="minorEastAsia" w:hAnsi="Cambria Math"/>
                  <w:lang w:val="en-CA"/>
                </w:rPr>
                <m:t>Q</m:t>
              </m:r>
            </m:e>
            <m:sub>
              <m:r>
                <w:rPr>
                  <w:rFonts w:ascii="Cambria Math" w:eastAsiaTheme="minorEastAsia" w:hAnsi="Cambria Math"/>
                  <w:lang w:val="en-CA"/>
                </w:rPr>
                <m:t>0</m:t>
              </m:r>
            </m:sub>
          </m:sSub>
          <m:r>
            <w:rPr>
              <w:rFonts w:ascii="Cambria Math" w:eastAsiaTheme="minorEastAsia" w:hAnsi="Cambria Math"/>
              <w:lang w:val="en-CA"/>
            </w:rPr>
            <m:t>-</m:t>
          </m:r>
          <m:f>
            <m:fPr>
              <m:ctrlPr>
                <w:rPr>
                  <w:rFonts w:ascii="Cambria Math" w:eastAsiaTheme="minorEastAsia" w:hAnsi="Cambria Math"/>
                  <w:i/>
                  <w:lang w:val="en-CA"/>
                </w:rPr>
              </m:ctrlPr>
            </m:fPr>
            <m:num>
              <m:r>
                <w:rPr>
                  <w:rFonts w:ascii="Cambria Math" w:eastAsiaTheme="minorEastAsia" w:hAnsi="Cambria Math"/>
                  <w:lang w:val="en-CA"/>
                </w:rPr>
                <m:t>A</m:t>
              </m:r>
            </m:num>
            <m:den>
              <m:r>
                <w:rPr>
                  <w:rFonts w:ascii="Cambria Math" w:eastAsiaTheme="minorEastAsia" w:hAnsi="Cambria Math"/>
                  <w:lang w:val="en-CA"/>
                </w:rPr>
                <m:t>2B</m:t>
              </m:r>
            </m:den>
          </m:f>
          <m:f>
            <m:fPr>
              <m:ctrlPr>
                <w:rPr>
                  <w:rFonts w:ascii="Cambria Math" w:eastAsiaTheme="minorEastAsia" w:hAnsi="Cambria Math"/>
                  <w:i/>
                  <w:lang w:val="en-CA"/>
                </w:rPr>
              </m:ctrlPr>
            </m:fPr>
            <m:num>
              <m:r>
                <w:rPr>
                  <w:rFonts w:ascii="Cambria Math" w:eastAsiaTheme="minorEastAsia" w:hAnsi="Cambria Math"/>
                  <w:lang w:val="en-CA"/>
                </w:rPr>
                <m:t>A</m:t>
              </m:r>
            </m:num>
            <m:den>
              <m:r>
                <w:rPr>
                  <w:rFonts w:ascii="Cambria Math" w:eastAsiaTheme="minorEastAsia" w:hAnsi="Cambria Math"/>
                  <w:lang w:val="en-CA"/>
                </w:rPr>
                <m:t>2</m:t>
              </m:r>
            </m:den>
          </m:f>
          <m:r>
            <w:rPr>
              <w:rFonts w:ascii="Cambria Math" w:eastAsiaTheme="minorEastAsia" w:hAnsi="Cambria Math"/>
              <w:lang w:val="en-CA"/>
            </w:rPr>
            <m:t xml:space="preserve"> </m:t>
          </m:r>
        </m:oMath>
      </m:oMathPara>
    </w:p>
    <w:p w14:paraId="6F6C1A01" w14:textId="77777777" w:rsidR="007254FD" w:rsidRPr="007254FD" w:rsidRDefault="007254FD" w:rsidP="007254FD">
      <w:pPr>
        <w:rPr>
          <w:lang w:val="en-CA"/>
        </w:rPr>
      </w:pPr>
      <w:r w:rsidRPr="007254FD">
        <w:rPr>
          <w:lang w:val="en-CA"/>
        </w:rPr>
        <w:pict w14:anchorId="1E9A255E">
          <v:rect id="_x0000_i1069" style="width:0;height:1.5pt" o:hralign="center" o:hrstd="t" o:hr="t" fillcolor="#a0a0a0" stroked="f"/>
        </w:pict>
      </w:r>
    </w:p>
    <w:p w14:paraId="212E9C17" w14:textId="77777777" w:rsidR="007254FD" w:rsidRPr="007254FD" w:rsidRDefault="007254FD" w:rsidP="007254FD">
      <w:pPr>
        <w:rPr>
          <w:b/>
          <w:bCs/>
          <w:lang w:val="en-CA"/>
        </w:rPr>
      </w:pPr>
      <w:r w:rsidRPr="007254FD">
        <w:rPr>
          <w:b/>
          <w:bCs/>
          <w:lang w:val="en-CA"/>
        </w:rPr>
        <w:t>4. What elasticity matters?</w:t>
      </w:r>
    </w:p>
    <w:p w14:paraId="6A20ABD1" w14:textId="2A666B14" w:rsidR="00F172B9" w:rsidRDefault="001B78B7" w:rsidP="0070084B">
      <w:pPr>
        <w:numPr>
          <w:ilvl w:val="0"/>
          <w:numId w:val="6"/>
        </w:numPr>
        <w:rPr>
          <w:lang w:val="en-CA"/>
        </w:rPr>
      </w:pPr>
      <w:r>
        <w:rPr>
          <w:lang w:val="en-CA"/>
        </w:rPr>
        <w:t xml:space="preserve">At status-quo price </w:t>
      </w:r>
      <m:oMath>
        <m:r>
          <w:rPr>
            <w:rFonts w:ascii="Cambria Math" w:hAnsi="Cambria Math"/>
            <w:lang w:val="en-CA"/>
          </w:rPr>
          <m:t>p</m:t>
        </m:r>
      </m:oMath>
      <w:r>
        <w:rPr>
          <w:rFonts w:eastAsiaTheme="minorEastAsia"/>
          <w:lang w:val="en-CA"/>
        </w:rPr>
        <w:t xml:space="preserve">, the elasticity is </w:t>
      </w:r>
      <m:oMath>
        <m:f>
          <m:fPr>
            <m:ctrlPr>
              <w:rPr>
                <w:rFonts w:ascii="Cambria Math" w:eastAsiaTheme="minorEastAsia" w:hAnsi="Cambria Math"/>
                <w:i/>
                <w:lang w:val="en-CA"/>
              </w:rPr>
            </m:ctrlPr>
          </m:fPr>
          <m:num>
            <m:r>
              <w:rPr>
                <w:rFonts w:ascii="Cambria Math" w:eastAsiaTheme="minorEastAsia" w:hAnsi="Cambria Math"/>
                <w:lang w:val="en-CA"/>
              </w:rPr>
              <m:t>Bp</m:t>
            </m:r>
          </m:num>
          <m:den>
            <m:sSub>
              <m:sSubPr>
                <m:ctrlPr>
                  <w:rPr>
                    <w:rFonts w:ascii="Cambria Math" w:eastAsiaTheme="minorEastAsia" w:hAnsi="Cambria Math"/>
                    <w:i/>
                    <w:lang w:val="en-CA"/>
                  </w:rPr>
                </m:ctrlPr>
              </m:sSubPr>
              <m:e>
                <m:r>
                  <w:rPr>
                    <w:rFonts w:ascii="Cambria Math" w:eastAsiaTheme="minorEastAsia" w:hAnsi="Cambria Math"/>
                    <w:lang w:val="en-CA"/>
                  </w:rPr>
                  <m:t>Q</m:t>
                </m:r>
              </m:e>
              <m:sub>
                <m:r>
                  <w:rPr>
                    <w:rFonts w:ascii="Cambria Math" w:eastAsiaTheme="minorEastAsia" w:hAnsi="Cambria Math"/>
                    <w:lang w:val="en-CA"/>
                  </w:rPr>
                  <m:t>0</m:t>
                </m:r>
              </m:sub>
            </m:sSub>
          </m:den>
        </m:f>
      </m:oMath>
    </w:p>
    <w:p w14:paraId="2DD00DA7" w14:textId="67A4D01F" w:rsidR="0070084B" w:rsidRPr="0070084B" w:rsidRDefault="0070084B" w:rsidP="0070084B">
      <w:pPr>
        <w:numPr>
          <w:ilvl w:val="0"/>
          <w:numId w:val="6"/>
        </w:numPr>
        <w:rPr>
          <w:lang w:val="en-CA"/>
        </w:rPr>
      </w:pPr>
      <w:r>
        <w:rPr>
          <w:lang w:val="en-CA"/>
        </w:rPr>
        <w:t xml:space="preserve">Drip pricing will always </w:t>
      </w:r>
      <w:r w:rsidR="00E232EF">
        <w:rPr>
          <w:lang w:val="en-CA"/>
        </w:rPr>
        <w:t>be a superior strategy for Cineplex to</w:t>
      </w:r>
      <w:r>
        <w:rPr>
          <w:lang w:val="en-CA"/>
        </w:rPr>
        <w:t xml:space="preserve"> Scenario A. </w:t>
      </w:r>
      <w:r w:rsidR="00E232EF">
        <w:rPr>
          <w:lang w:val="en-CA"/>
        </w:rPr>
        <w:t xml:space="preserve">That is, the quantum in Scenario A will always be positive. </w:t>
      </w:r>
      <w:r>
        <w:rPr>
          <w:lang w:val="en-CA"/>
        </w:rPr>
        <w:t xml:space="preserve">However, once consumers become elastic </w:t>
      </w:r>
      <w:r>
        <w:rPr>
          <w:lang w:val="en-CA"/>
        </w:rPr>
        <w:lastRenderedPageBreak/>
        <w:t xml:space="preserve">enough, though, the quantum in Scenario A will </w:t>
      </w:r>
      <w:proofErr w:type="gramStart"/>
      <w:r w:rsidR="00E232EF">
        <w:rPr>
          <w:lang w:val="en-CA"/>
        </w:rPr>
        <w:t xml:space="preserve">actually </w:t>
      </w:r>
      <w:r>
        <w:rPr>
          <w:lang w:val="en-CA"/>
        </w:rPr>
        <w:t>be</w:t>
      </w:r>
      <w:proofErr w:type="gramEnd"/>
      <w:r>
        <w:rPr>
          <w:lang w:val="en-CA"/>
        </w:rPr>
        <w:t xml:space="preserve"> greater than the quantum in Scenario B</w:t>
      </w:r>
      <w:r w:rsidR="00E232EF">
        <w:rPr>
          <w:lang w:val="en-CA"/>
        </w:rPr>
        <w:t>. This is because Cineplex makes many more sales due to the conduct.</w:t>
      </w:r>
    </w:p>
    <w:p w14:paraId="26515193" w14:textId="77777777" w:rsidR="00E232EF" w:rsidRPr="00E232EF" w:rsidRDefault="005454C5" w:rsidP="0070084B">
      <w:pPr>
        <w:numPr>
          <w:ilvl w:val="0"/>
          <w:numId w:val="6"/>
        </w:numPr>
        <w:rPr>
          <w:lang w:val="en-CA"/>
        </w:rPr>
      </w:pPr>
      <w:r>
        <w:rPr>
          <w:rFonts w:eastAsiaTheme="minorEastAsia"/>
          <w:lang w:val="en-CA"/>
        </w:rPr>
        <w:t xml:space="preserve">Scenario C </w:t>
      </w:r>
      <w:r w:rsidR="00E232EF">
        <w:rPr>
          <w:rFonts w:eastAsiaTheme="minorEastAsia"/>
          <w:lang w:val="en-CA"/>
        </w:rPr>
        <w:t>will always result in a reduction of the quantum relative to Scenario B</w:t>
      </w:r>
      <w:r>
        <w:rPr>
          <w:rFonts w:eastAsiaTheme="minorEastAsia"/>
          <w:lang w:val="en-CA"/>
        </w:rPr>
        <w:t xml:space="preserve">. </w:t>
      </w:r>
    </w:p>
    <w:p w14:paraId="4796461C" w14:textId="293CF231" w:rsidR="00E232EF" w:rsidRPr="00E232EF" w:rsidRDefault="00E232EF" w:rsidP="00E232EF">
      <w:pPr>
        <w:numPr>
          <w:ilvl w:val="1"/>
          <w:numId w:val="6"/>
        </w:numPr>
        <w:rPr>
          <w:lang w:val="en-CA"/>
        </w:rPr>
      </w:pPr>
      <w:r>
        <w:rPr>
          <w:lang w:val="en-CA"/>
        </w:rPr>
        <w:t>This is because Scenario C is a superset of Scenario B. Further:</w:t>
      </w:r>
    </w:p>
    <w:p w14:paraId="31157A79" w14:textId="38D1116D" w:rsidR="00E232EF" w:rsidRPr="00E232EF" w:rsidRDefault="005454C5" w:rsidP="00E232EF">
      <w:pPr>
        <w:numPr>
          <w:ilvl w:val="2"/>
          <w:numId w:val="6"/>
        </w:numPr>
        <w:rPr>
          <w:lang w:val="en-CA"/>
        </w:rPr>
      </w:pPr>
      <w:r>
        <w:rPr>
          <w:rFonts w:eastAsiaTheme="minorEastAsia"/>
          <w:lang w:val="en-CA"/>
        </w:rPr>
        <w:t xml:space="preserve">If consumers are very inelastic, Cineplex can raise price and not lose much volume. Drip pricing actually is </w:t>
      </w:r>
      <w:proofErr w:type="gramStart"/>
      <w:r>
        <w:rPr>
          <w:rFonts w:eastAsiaTheme="minorEastAsia"/>
          <w:lang w:val="en-CA"/>
        </w:rPr>
        <w:t>suboptimal</w:t>
      </w:r>
      <w:proofErr w:type="gramEnd"/>
      <w:r w:rsidR="00BA4300">
        <w:rPr>
          <w:rFonts w:eastAsiaTheme="minorEastAsia"/>
          <w:lang w:val="en-CA"/>
        </w:rPr>
        <w:t xml:space="preserve"> and the </w:t>
      </w:r>
      <w:r w:rsidR="00D52B2C">
        <w:rPr>
          <w:rFonts w:eastAsiaTheme="minorEastAsia"/>
          <w:lang w:val="en-CA"/>
        </w:rPr>
        <w:t>benefit Cineplex derived from the conduct</w:t>
      </w:r>
      <w:r w:rsidR="00BA4300">
        <w:rPr>
          <w:rFonts w:eastAsiaTheme="minorEastAsia"/>
          <w:lang w:val="en-CA"/>
        </w:rPr>
        <w:t xml:space="preserve"> actually be $0</w:t>
      </w:r>
      <w:r>
        <w:rPr>
          <w:rFonts w:eastAsiaTheme="minorEastAsia"/>
          <w:lang w:val="en-CA"/>
        </w:rPr>
        <w:t xml:space="preserve"> </w:t>
      </w:r>
    </w:p>
    <w:p w14:paraId="7D79AF5C" w14:textId="77777777" w:rsidR="00E232EF" w:rsidRPr="00E232EF" w:rsidRDefault="005454C5" w:rsidP="00E232EF">
      <w:pPr>
        <w:numPr>
          <w:ilvl w:val="2"/>
          <w:numId w:val="6"/>
        </w:numPr>
        <w:rPr>
          <w:lang w:val="en-CA"/>
        </w:rPr>
      </w:pPr>
      <w:r>
        <w:rPr>
          <w:rFonts w:eastAsiaTheme="minorEastAsia"/>
          <w:lang w:val="en-CA"/>
        </w:rPr>
        <w:t>If consumers are very elastic, then cineplex can slash prices significantly and sell many more tickets and increase revenue.</w:t>
      </w:r>
      <w:r w:rsidR="00BA4300">
        <w:rPr>
          <w:rFonts w:eastAsiaTheme="minorEastAsia"/>
          <w:lang w:val="en-CA"/>
        </w:rPr>
        <w:t xml:space="preserve"> Again</w:t>
      </w:r>
      <w:r w:rsidR="00D52B2C">
        <w:rPr>
          <w:rFonts w:eastAsiaTheme="minorEastAsia"/>
          <w:lang w:val="en-CA"/>
        </w:rPr>
        <w:t>,</w:t>
      </w:r>
      <w:r w:rsidR="00BA4300">
        <w:rPr>
          <w:rFonts w:eastAsiaTheme="minorEastAsia"/>
          <w:lang w:val="en-CA"/>
        </w:rPr>
        <w:t xml:space="preserve"> drip pricing is suboptimal and the </w:t>
      </w:r>
      <w:r w:rsidR="00D52B2C">
        <w:rPr>
          <w:rFonts w:eastAsiaTheme="minorEastAsia"/>
          <w:lang w:val="en-CA"/>
        </w:rPr>
        <w:t>benefit from the conduct to Cineplex</w:t>
      </w:r>
      <w:r w:rsidR="00BA4300">
        <w:rPr>
          <w:rFonts w:eastAsiaTheme="minorEastAsia"/>
          <w:lang w:val="en-CA"/>
        </w:rPr>
        <w:t xml:space="preserve"> would be $0.</w:t>
      </w:r>
      <w:r>
        <w:rPr>
          <w:rFonts w:eastAsiaTheme="minorEastAsia"/>
          <w:lang w:val="en-CA"/>
        </w:rPr>
        <w:t xml:space="preserve"> </w:t>
      </w:r>
    </w:p>
    <w:p w14:paraId="4DBD1E6B" w14:textId="22CCD159" w:rsidR="00B43D85" w:rsidRPr="00BA4300" w:rsidRDefault="005454C5" w:rsidP="00E232EF">
      <w:pPr>
        <w:numPr>
          <w:ilvl w:val="2"/>
          <w:numId w:val="6"/>
        </w:numPr>
        <w:rPr>
          <w:lang w:val="en-CA"/>
        </w:rPr>
      </w:pPr>
      <w:r>
        <w:rPr>
          <w:rFonts w:eastAsiaTheme="minorEastAsia"/>
          <w:lang w:val="en-CA"/>
        </w:rPr>
        <w:t xml:space="preserve">Anything in-between suggests dripping is the optimal </w:t>
      </w:r>
      <w:r w:rsidR="00E232EF">
        <w:rPr>
          <w:rFonts w:eastAsiaTheme="minorEastAsia"/>
          <w:lang w:val="en-CA"/>
        </w:rPr>
        <w:t>strategy for Cineplex</w:t>
      </w:r>
      <w:r w:rsidR="00BA4300">
        <w:rPr>
          <w:rFonts w:eastAsiaTheme="minorEastAsia"/>
          <w:lang w:val="en-CA"/>
        </w:rPr>
        <w:t xml:space="preserve">, but </w:t>
      </w:r>
      <w:r w:rsidR="00E232EF">
        <w:rPr>
          <w:rFonts w:eastAsiaTheme="minorEastAsia"/>
          <w:lang w:val="en-CA"/>
        </w:rPr>
        <w:t>the benefit derived relative to Cineplex picking the optimal solution is less the quantum in Scenario B</w:t>
      </w:r>
    </w:p>
    <w:p w14:paraId="0800CA0A" w14:textId="49E8EB4D" w:rsidR="00BA4300" w:rsidRPr="007254FD" w:rsidRDefault="00BA4300" w:rsidP="00E232EF">
      <w:pPr>
        <w:numPr>
          <w:ilvl w:val="2"/>
          <w:numId w:val="6"/>
        </w:numPr>
        <w:rPr>
          <w:lang w:val="en-CA"/>
        </w:rPr>
      </w:pPr>
      <w:r>
        <w:rPr>
          <w:rFonts w:eastAsiaTheme="minorEastAsia"/>
          <w:lang w:val="en-CA"/>
        </w:rPr>
        <w:t xml:space="preserve">If elasticity is unit elastic, the gain from drip pricing would max out and reach the AMP in </w:t>
      </w:r>
      <w:r w:rsidR="00E232EF">
        <w:rPr>
          <w:rFonts w:eastAsiaTheme="minorEastAsia"/>
          <w:lang w:val="en-CA"/>
        </w:rPr>
        <w:t>S</w:t>
      </w:r>
      <w:r>
        <w:rPr>
          <w:rFonts w:eastAsiaTheme="minorEastAsia"/>
          <w:lang w:val="en-CA"/>
        </w:rPr>
        <w:t>cenario B</w:t>
      </w:r>
    </w:p>
    <w:p w14:paraId="665A0BBE" w14:textId="77777777" w:rsidR="007254FD" w:rsidRPr="007254FD" w:rsidRDefault="007254FD" w:rsidP="007254FD">
      <w:pPr>
        <w:rPr>
          <w:lang w:val="en-CA"/>
        </w:rPr>
      </w:pPr>
      <w:r w:rsidRPr="007254FD">
        <w:rPr>
          <w:lang w:val="en-CA"/>
        </w:rPr>
        <w:pict w14:anchorId="1A9850F5">
          <v:rect id="_x0000_i1070" style="width:0;height:1.5pt" o:hralign="center" o:hrstd="t" o:hr="t" fillcolor="#a0a0a0" stroked="f"/>
        </w:pict>
      </w:r>
    </w:p>
    <w:p w14:paraId="27815ED4" w14:textId="77777777" w:rsidR="007254FD" w:rsidRPr="007254FD" w:rsidRDefault="007254FD" w:rsidP="007254FD">
      <w:pPr>
        <w:rPr>
          <w:b/>
          <w:bCs/>
          <w:lang w:val="en-CA"/>
        </w:rPr>
      </w:pPr>
      <w:r w:rsidRPr="007254FD">
        <w:rPr>
          <w:b/>
          <w:bCs/>
          <w:lang w:val="en-CA"/>
        </w:rPr>
        <w:t>5. Empirical work required</w:t>
      </w:r>
    </w:p>
    <w:p w14:paraId="291FA696" w14:textId="292CDDE4" w:rsidR="007254FD" w:rsidRPr="007254FD" w:rsidRDefault="007254FD" w:rsidP="007254FD">
      <w:pPr>
        <w:numPr>
          <w:ilvl w:val="0"/>
          <w:numId w:val="7"/>
        </w:numPr>
        <w:rPr>
          <w:lang w:val="en-CA"/>
        </w:rPr>
      </w:pPr>
      <w:r w:rsidRPr="007254FD">
        <w:rPr>
          <w:b/>
          <w:bCs/>
          <w:lang w:val="en-CA"/>
        </w:rPr>
        <w:t>Estimate ε</w:t>
      </w:r>
      <w:r w:rsidR="006C23B2">
        <w:rPr>
          <w:b/>
          <w:bCs/>
          <w:lang w:val="en-CA"/>
        </w:rPr>
        <w:t>, A, and B</w:t>
      </w:r>
    </w:p>
    <w:p w14:paraId="3E468B7A" w14:textId="6452F4A5" w:rsidR="007254FD" w:rsidRDefault="007254FD" w:rsidP="007254FD">
      <w:pPr>
        <w:numPr>
          <w:ilvl w:val="1"/>
          <w:numId w:val="7"/>
        </w:numPr>
        <w:rPr>
          <w:lang w:val="en-CA"/>
        </w:rPr>
      </w:pPr>
      <w:r w:rsidRPr="007254FD">
        <w:rPr>
          <w:lang w:val="en-CA"/>
        </w:rPr>
        <w:t>Use ticket-level data</w:t>
      </w:r>
      <w:r w:rsidR="00E232EF">
        <w:rPr>
          <w:lang w:val="en-CA"/>
        </w:rPr>
        <w:t>?</w:t>
      </w:r>
    </w:p>
    <w:p w14:paraId="6ACE718C" w14:textId="5D805800" w:rsidR="007254FD" w:rsidRPr="007254FD" w:rsidRDefault="00B67AE9" w:rsidP="00E232EF">
      <w:pPr>
        <w:numPr>
          <w:ilvl w:val="0"/>
          <w:numId w:val="7"/>
        </w:numPr>
        <w:rPr>
          <w:lang w:val="en-CA"/>
        </w:rPr>
      </w:pPr>
      <w:r>
        <w:rPr>
          <w:b/>
          <w:bCs/>
          <w:lang w:val="en-CA"/>
        </w:rPr>
        <w:t>Assume</w:t>
      </w:r>
      <w:r w:rsidR="007254FD" w:rsidRPr="007254FD">
        <w:rPr>
          <w:b/>
          <w:bCs/>
          <w:lang w:val="en-CA"/>
        </w:rPr>
        <w:t xml:space="preserve"> anchoring behaviour</w:t>
      </w:r>
      <w:r>
        <w:rPr>
          <w:b/>
          <w:bCs/>
          <w:lang w:val="en-CA"/>
        </w:rPr>
        <w:t>?</w:t>
      </w:r>
    </w:p>
    <w:p w14:paraId="0CE6F33C" w14:textId="1FBCCDB8" w:rsidR="007254FD" w:rsidRPr="007254FD" w:rsidRDefault="007254FD" w:rsidP="007254FD">
      <w:pPr>
        <w:numPr>
          <w:ilvl w:val="0"/>
          <w:numId w:val="7"/>
        </w:numPr>
        <w:rPr>
          <w:lang w:val="en-CA"/>
        </w:rPr>
      </w:pPr>
      <w:r w:rsidRPr="007254FD">
        <w:rPr>
          <w:b/>
          <w:bCs/>
          <w:lang w:val="en-CA"/>
        </w:rPr>
        <w:t>Quantify consumer harm</w:t>
      </w:r>
    </w:p>
    <w:p w14:paraId="130E0384" w14:textId="6232B388" w:rsidR="007254FD" w:rsidRPr="007254FD" w:rsidRDefault="007254FD" w:rsidP="007254FD">
      <w:pPr>
        <w:numPr>
          <w:ilvl w:val="1"/>
          <w:numId w:val="7"/>
        </w:numPr>
        <w:rPr>
          <w:lang w:val="en-CA"/>
        </w:rPr>
      </w:pPr>
      <w:r w:rsidRPr="007254FD">
        <w:rPr>
          <w:lang w:val="en-CA"/>
        </w:rPr>
        <w:t>Overcharge per ticket in Scenario B is exactly</w:t>
      </w:r>
      <w:r w:rsidR="00B67AE9">
        <w:rPr>
          <w:lang w:val="en-CA"/>
        </w:rPr>
        <w:t xml:space="preserve"> </w:t>
      </w:r>
      <m:oMath>
        <m:r>
          <w:rPr>
            <w:rFonts w:ascii="Cambria Math" w:hAnsi="Cambria Math"/>
            <w:lang w:val="en-CA"/>
          </w:rPr>
          <m:t>f</m:t>
        </m:r>
      </m:oMath>
    </w:p>
    <w:p w14:paraId="77D2C361" w14:textId="37A2EAB1" w:rsidR="007254FD" w:rsidRPr="007254FD" w:rsidRDefault="007254FD" w:rsidP="00365F3B">
      <w:pPr>
        <w:numPr>
          <w:ilvl w:val="1"/>
          <w:numId w:val="7"/>
        </w:numPr>
        <w:rPr>
          <w:lang w:val="en-CA"/>
        </w:rPr>
      </w:pPr>
      <w:r w:rsidRPr="007254FD">
        <w:rPr>
          <w:lang w:val="en-CA"/>
        </w:rPr>
        <w:t xml:space="preserve">In Scenario A or C, harm </w:t>
      </w:r>
      <w:r w:rsidR="006C23B2">
        <w:rPr>
          <w:lang w:val="en-CA"/>
        </w:rPr>
        <w:t>requires calculating revenues in but-for worlds</w:t>
      </w:r>
    </w:p>
    <w:p w14:paraId="6B9E5B31" w14:textId="77777777" w:rsidR="007254FD" w:rsidRPr="007254FD" w:rsidRDefault="007254FD" w:rsidP="007254FD">
      <w:pPr>
        <w:rPr>
          <w:lang w:val="en-CA"/>
        </w:rPr>
      </w:pPr>
      <w:r w:rsidRPr="007254FD">
        <w:rPr>
          <w:lang w:val="en-CA"/>
        </w:rPr>
        <w:pict w14:anchorId="60667742">
          <v:rect id="_x0000_i1071" style="width:0;height:1.5pt" o:hralign="center" o:hrstd="t" o:hr="t" fillcolor="#a0a0a0" stroked="f"/>
        </w:pict>
      </w:r>
    </w:p>
    <w:p w14:paraId="351D69DA" w14:textId="0F962AB1" w:rsidR="007254FD" w:rsidRPr="00604396" w:rsidRDefault="007254FD" w:rsidP="00604396">
      <w:pPr>
        <w:pStyle w:val="ListParagraph"/>
        <w:numPr>
          <w:ilvl w:val="1"/>
          <w:numId w:val="4"/>
        </w:numPr>
        <w:rPr>
          <w:b/>
          <w:bCs/>
          <w:lang w:val="en-CA"/>
        </w:rPr>
      </w:pPr>
      <w:r w:rsidRPr="00604396">
        <w:rPr>
          <w:b/>
          <w:bCs/>
          <w:lang w:val="en-CA"/>
        </w:rPr>
        <w:t>Illustration</w:t>
      </w:r>
    </w:p>
    <w:p w14:paraId="44729E32" w14:textId="77777777" w:rsidR="007254FD" w:rsidRPr="007254FD" w:rsidRDefault="007254FD" w:rsidP="007254FD">
      <w:pPr>
        <w:rPr>
          <w:lang w:val="en-CA"/>
        </w:rPr>
      </w:pPr>
      <w:r w:rsidRPr="007254FD">
        <w:rPr>
          <w:lang w:val="en-CA"/>
        </w:rPr>
        <w:t>Suppose</w:t>
      </w:r>
    </w:p>
    <w:p w14:paraId="7C2BC15F" w14:textId="37B96E4E" w:rsidR="007254FD" w:rsidRPr="007254FD" w:rsidRDefault="00B67AE9" w:rsidP="007254FD">
      <w:pPr>
        <w:numPr>
          <w:ilvl w:val="0"/>
          <w:numId w:val="8"/>
        </w:numPr>
        <w:rPr>
          <w:lang w:val="en-CA"/>
        </w:rPr>
      </w:pPr>
      <m:oMath>
        <m:r>
          <w:rPr>
            <w:rFonts w:ascii="Cambria Math" w:hAnsi="Cambria Math"/>
            <w:lang w:val="en-CA"/>
          </w:rPr>
          <m:t>p</m:t>
        </m:r>
        <m:r>
          <w:rPr>
            <w:rFonts w:ascii="Cambria Math" w:eastAsiaTheme="minorEastAsia" w:hAnsi="Cambria Math"/>
            <w:lang w:val="en-CA"/>
          </w:rPr>
          <m:t>=$14, f=$1.50</m:t>
        </m:r>
        <m:r>
          <w:rPr>
            <w:rFonts w:ascii="Cambria Math" w:eastAsiaTheme="minorEastAsia" w:hAnsi="Cambria Math"/>
            <w:lang w:val="en-CA"/>
          </w:rPr>
          <m:t xml:space="preserve"> </m:t>
        </m:r>
        <m:d>
          <m:dPr>
            <m:ctrlPr>
              <w:rPr>
                <w:rFonts w:ascii="Cambria Math" w:eastAsiaTheme="minorEastAsia" w:hAnsi="Cambria Math"/>
                <w:i/>
                <w:iCs/>
                <w:lang w:val="en-CA"/>
              </w:rPr>
            </m:ctrlPr>
          </m:dPr>
          <m:e>
            <m:r>
              <w:rPr>
                <w:rFonts w:ascii="Cambria Math" w:eastAsiaTheme="minorEastAsia" w:hAnsi="Cambria Math"/>
                <w:lang w:val="en-CA"/>
              </w:rPr>
              <m:t>10.7% Drip</m:t>
            </m:r>
          </m:e>
        </m:d>
        <m:r>
          <w:rPr>
            <w:rFonts w:ascii="Cambria Math" w:eastAsiaTheme="minorEastAsia" w:hAnsi="Cambria Math"/>
            <w:lang w:val="en-CA"/>
          </w:rPr>
          <m:t>,</m:t>
        </m:r>
        <m:r>
          <w:rPr>
            <w:rFonts w:ascii="Cambria Math" w:eastAsiaTheme="minorEastAsia" w:hAnsi="Cambria Math"/>
            <w:lang w:val="en-CA"/>
          </w:rPr>
          <m:t xml:space="preserve"> </m:t>
        </m:r>
        <m:r>
          <w:rPr>
            <w:rFonts w:ascii="Cambria Math" w:eastAsiaTheme="minorEastAsia" w:hAnsi="Cambria Math"/>
            <w:lang w:val="en-CA"/>
          </w:rPr>
          <m:t>Assume</m:t>
        </m:r>
        <m:r>
          <w:rPr>
            <w:rFonts w:ascii="Cambria Math" w:eastAsiaTheme="minorEastAsia" w:hAnsi="Cambria Math"/>
            <w:lang w:val="en-CA"/>
          </w:rPr>
          <m:t xml:space="preserve"> B=</m:t>
        </m:r>
        <m:r>
          <w:rPr>
            <w:rFonts w:ascii="Cambria Math" w:eastAsiaTheme="minorEastAsia" w:hAnsi="Cambria Math"/>
            <w:lang w:val="en-CA"/>
          </w:rPr>
          <m:t>1.3</m:t>
        </m:r>
        <m:r>
          <w:rPr>
            <w:rFonts w:ascii="Cambria Math" w:eastAsiaTheme="minorEastAsia" w:hAnsi="Cambria Math"/>
            <w:lang w:val="en-CA"/>
          </w:rPr>
          <m:t>M</m:t>
        </m:r>
      </m:oMath>
    </w:p>
    <w:p w14:paraId="32C6EF30" w14:textId="77958E61" w:rsidR="00331E7D" w:rsidRPr="009F41A6" w:rsidRDefault="00331E7D" w:rsidP="007254FD">
      <w:pPr>
        <w:numPr>
          <w:ilvl w:val="0"/>
          <w:numId w:val="8"/>
        </w:numPr>
        <w:rPr>
          <w:lang w:val="en-CA"/>
        </w:rPr>
      </w:pPr>
      <w:r>
        <w:rPr>
          <w:lang w:val="en-CA"/>
        </w:rPr>
        <w:t xml:space="preserve">A price of $14 implies </w:t>
      </w:r>
      <m:oMath>
        <m:sSub>
          <m:sSubPr>
            <m:ctrlPr>
              <w:rPr>
                <w:rFonts w:ascii="Cambria Math" w:hAnsi="Cambria Math"/>
                <w:i/>
                <w:lang w:val="en-CA"/>
              </w:rPr>
            </m:ctrlPr>
          </m:sSubPr>
          <m:e>
            <m:r>
              <w:rPr>
                <w:rFonts w:ascii="Cambria Math" w:hAnsi="Cambria Math"/>
                <w:lang w:val="en-CA"/>
              </w:rPr>
              <m:t>Q</m:t>
            </m:r>
          </m:e>
          <m:sub>
            <m:r>
              <w:rPr>
                <w:rFonts w:ascii="Cambria Math" w:hAnsi="Cambria Math"/>
                <w:lang w:val="en-CA"/>
              </w:rPr>
              <m:t>0</m:t>
            </m:r>
          </m:sub>
        </m:sSub>
        <m:r>
          <w:rPr>
            <w:rFonts w:ascii="Cambria Math" w:hAnsi="Cambria Math"/>
            <w:lang w:val="en-CA"/>
          </w:rPr>
          <m:t>=</m:t>
        </m:r>
        <m:f>
          <m:fPr>
            <m:ctrlPr>
              <w:rPr>
                <w:rFonts w:ascii="Cambria Math" w:hAnsi="Cambria Math"/>
                <w:i/>
                <w:lang w:val="en-CA"/>
              </w:rPr>
            </m:ctrlPr>
          </m:fPr>
          <m:num>
            <m:r>
              <w:rPr>
                <w:rFonts w:ascii="Cambria Math" w:hAnsi="Cambria Math"/>
                <w:lang w:val="en-CA"/>
              </w:rPr>
              <m:t>$38.978M</m:t>
            </m:r>
          </m:num>
          <m:den>
            <m:r>
              <w:rPr>
                <w:rFonts w:ascii="Cambria Math" w:hAnsi="Cambria Math"/>
                <w:lang w:val="en-CA"/>
              </w:rPr>
              <m:t>$1</m:t>
            </m:r>
            <m:r>
              <w:rPr>
                <w:rFonts w:ascii="Cambria Math" w:hAnsi="Cambria Math"/>
                <w:lang w:val="en-CA"/>
              </w:rPr>
              <m:t>.50</m:t>
            </m:r>
          </m:den>
        </m:f>
        <m:r>
          <w:rPr>
            <w:rFonts w:ascii="Cambria Math" w:hAnsi="Cambria Math"/>
            <w:lang w:val="en-CA"/>
          </w:rPr>
          <m:t>=2</m:t>
        </m:r>
        <m:r>
          <w:rPr>
            <w:rFonts w:ascii="Cambria Math" w:hAnsi="Cambria Math"/>
            <w:lang w:val="en-CA"/>
          </w:rPr>
          <m:t>5</m:t>
        </m:r>
        <m:r>
          <w:rPr>
            <w:rFonts w:ascii="Cambria Math" w:hAnsi="Cambria Math"/>
            <w:lang w:val="en-CA"/>
          </w:rPr>
          <m:t>,</m:t>
        </m:r>
        <m:r>
          <w:rPr>
            <w:rFonts w:ascii="Cambria Math" w:hAnsi="Cambria Math"/>
            <w:lang w:val="en-CA"/>
          </w:rPr>
          <m:t>985</m:t>
        </m:r>
        <m:r>
          <w:rPr>
            <w:rFonts w:ascii="Cambria Math" w:hAnsi="Cambria Math"/>
            <w:lang w:val="en-CA"/>
          </w:rPr>
          <m:t>,</m:t>
        </m:r>
        <m:r>
          <w:rPr>
            <w:rFonts w:ascii="Cambria Math" w:hAnsi="Cambria Math"/>
            <w:lang w:val="en-CA"/>
          </w:rPr>
          <m:t>333</m:t>
        </m:r>
        <m:r>
          <w:rPr>
            <w:rFonts w:ascii="Cambria Math" w:eastAsiaTheme="minorEastAsia" w:hAnsi="Cambria Math"/>
            <w:lang w:val="en-CA"/>
          </w:rPr>
          <m:t xml:space="preserve"> tickets sold</m:t>
        </m:r>
      </m:oMath>
      <w:r w:rsidR="0029152B">
        <w:rPr>
          <w:rFonts w:eastAsiaTheme="minorEastAsia"/>
          <w:lang w:val="en-CA"/>
        </w:rPr>
        <w:t>. Normally we would observe this</w:t>
      </w:r>
    </w:p>
    <w:p w14:paraId="180812DA" w14:textId="0DE2609F" w:rsidR="009F41A6" w:rsidRPr="0029152B" w:rsidRDefault="009F41A6" w:rsidP="007254FD">
      <w:pPr>
        <w:numPr>
          <w:ilvl w:val="0"/>
          <w:numId w:val="8"/>
        </w:numPr>
        <w:rPr>
          <w:lang w:val="en-CA"/>
        </w:rPr>
      </w:pPr>
      <w:r>
        <w:rPr>
          <w:lang w:val="en-CA"/>
        </w:rPr>
        <w:t xml:space="preserve">This implies </w:t>
      </w:r>
      <m:oMath>
        <m:r>
          <w:rPr>
            <w:rFonts w:ascii="Cambria Math" w:hAnsi="Cambria Math"/>
            <w:lang w:val="en-CA"/>
          </w:rPr>
          <m:t>A=</m:t>
        </m:r>
        <m:sSub>
          <m:sSubPr>
            <m:ctrlPr>
              <w:rPr>
                <w:rFonts w:ascii="Cambria Math" w:hAnsi="Cambria Math"/>
                <w:i/>
                <w:lang w:val="en-CA"/>
              </w:rPr>
            </m:ctrlPr>
          </m:sSubPr>
          <m:e>
            <m:r>
              <w:rPr>
                <w:rFonts w:ascii="Cambria Math" w:hAnsi="Cambria Math"/>
                <w:lang w:val="en-CA"/>
              </w:rPr>
              <m:t>Q</m:t>
            </m:r>
          </m:e>
          <m:sub>
            <m:r>
              <w:rPr>
                <w:rFonts w:ascii="Cambria Math" w:hAnsi="Cambria Math"/>
                <w:lang w:val="en-CA"/>
              </w:rPr>
              <m:t>0</m:t>
            </m:r>
          </m:sub>
        </m:sSub>
        <m:r>
          <w:rPr>
            <w:rFonts w:ascii="Cambria Math" w:hAnsi="Cambria Math"/>
            <w:lang w:val="en-CA"/>
          </w:rPr>
          <m:t>+Bp=</m:t>
        </m:r>
        <m:d>
          <m:dPr>
            <m:ctrlPr>
              <w:rPr>
                <w:rFonts w:ascii="Cambria Math" w:hAnsi="Cambria Math"/>
                <w:i/>
                <w:lang w:val="en-CA"/>
              </w:rPr>
            </m:ctrlPr>
          </m:dPr>
          <m:e>
            <m:r>
              <w:rPr>
                <w:rFonts w:ascii="Cambria Math" w:hAnsi="Cambria Math"/>
                <w:lang w:val="en-CA"/>
              </w:rPr>
              <m:t>25.985M</m:t>
            </m:r>
          </m:e>
        </m:d>
        <m:r>
          <w:rPr>
            <w:rFonts w:ascii="Cambria Math" w:hAnsi="Cambria Math"/>
            <w:lang w:val="en-CA"/>
          </w:rPr>
          <m:t>+</m:t>
        </m:r>
        <m:d>
          <m:dPr>
            <m:ctrlPr>
              <w:rPr>
                <w:rFonts w:ascii="Cambria Math" w:hAnsi="Cambria Math"/>
                <w:i/>
                <w:lang w:val="en-CA"/>
              </w:rPr>
            </m:ctrlPr>
          </m:dPr>
          <m:e>
            <m:r>
              <w:rPr>
                <w:rFonts w:ascii="Cambria Math" w:hAnsi="Cambria Math"/>
                <w:lang w:val="en-CA"/>
              </w:rPr>
              <m:t>1.3M</m:t>
            </m:r>
          </m:e>
        </m:d>
        <m:d>
          <m:dPr>
            <m:ctrlPr>
              <w:rPr>
                <w:rFonts w:ascii="Cambria Math" w:hAnsi="Cambria Math"/>
                <w:i/>
                <w:lang w:val="en-CA"/>
              </w:rPr>
            </m:ctrlPr>
          </m:dPr>
          <m:e>
            <m:r>
              <w:rPr>
                <w:rFonts w:ascii="Cambria Math" w:hAnsi="Cambria Math"/>
                <w:lang w:val="en-CA"/>
              </w:rPr>
              <m:t>$14</m:t>
            </m:r>
          </m:e>
        </m:d>
        <m:r>
          <w:rPr>
            <w:rFonts w:ascii="Cambria Math" w:hAnsi="Cambria Math"/>
            <w:lang w:val="en-CA"/>
          </w:rPr>
          <m:t>=44.185</m:t>
        </m:r>
      </m:oMath>
      <w:r>
        <w:rPr>
          <w:rFonts w:eastAsiaTheme="minorEastAsia"/>
          <w:lang w:val="en-CA"/>
        </w:rPr>
        <w:t>M</w:t>
      </w:r>
    </w:p>
    <w:p w14:paraId="6F7C0781" w14:textId="2A3507A6" w:rsidR="0029152B" w:rsidRPr="007254FD" w:rsidRDefault="0029152B" w:rsidP="0029152B">
      <w:pPr>
        <w:numPr>
          <w:ilvl w:val="0"/>
          <w:numId w:val="8"/>
        </w:numPr>
        <w:rPr>
          <w:lang w:val="en-CA"/>
        </w:rPr>
      </w:pPr>
      <m:oMath>
        <m:r>
          <w:rPr>
            <w:rFonts w:ascii="Cambria Math" w:hAnsi="Cambria Math"/>
            <w:lang w:val="en-CA"/>
          </w:rPr>
          <w:lastRenderedPageBreak/>
          <m:t>ε</m:t>
        </m:r>
        <m:r>
          <w:rPr>
            <w:rFonts w:ascii="Cambria Math" w:hAnsi="Cambria Math"/>
            <w:lang w:val="en-CA"/>
          </w:rPr>
          <m:t xml:space="preserve"> </m:t>
        </m:r>
        <m:r>
          <w:rPr>
            <w:rFonts w:ascii="Cambria Math" w:hAnsi="Cambria Math"/>
            <w:lang w:val="en-CA"/>
          </w:rPr>
          <m:t>=</m:t>
        </m:r>
        <m:f>
          <m:fPr>
            <m:ctrlPr>
              <w:rPr>
                <w:rFonts w:ascii="Cambria Math" w:hAnsi="Cambria Math"/>
                <w:i/>
                <w:iCs/>
                <w:lang w:val="en-CA"/>
              </w:rPr>
            </m:ctrlPr>
          </m:fPr>
          <m:num>
            <m:r>
              <w:rPr>
                <w:rFonts w:ascii="Cambria Math" w:hAnsi="Cambria Math"/>
                <w:lang w:val="en-CA"/>
              </w:rPr>
              <m:t>Bp</m:t>
            </m:r>
            <m:ctrlPr>
              <w:rPr>
                <w:rFonts w:ascii="Cambria Math" w:hAnsi="Cambria Math"/>
                <w:i/>
                <w:lang w:val="en-CA"/>
              </w:rPr>
            </m:ctrlPr>
          </m:num>
          <m:den>
            <m:sSub>
              <m:sSubPr>
                <m:ctrlPr>
                  <w:rPr>
                    <w:rFonts w:ascii="Cambria Math" w:hAnsi="Cambria Math"/>
                    <w:i/>
                    <w:iCs/>
                    <w:lang w:val="en-CA"/>
                  </w:rPr>
                </m:ctrlPr>
              </m:sSubPr>
              <m:e>
                <m:r>
                  <w:rPr>
                    <w:rFonts w:ascii="Cambria Math" w:hAnsi="Cambria Math"/>
                    <w:lang w:val="en-CA"/>
                  </w:rPr>
                  <m:t>Q</m:t>
                </m:r>
              </m:e>
              <m:sub>
                <m:r>
                  <w:rPr>
                    <w:rFonts w:ascii="Cambria Math" w:hAnsi="Cambria Math"/>
                    <w:lang w:val="en-CA"/>
                  </w:rPr>
                  <m:t>0</m:t>
                </m:r>
              </m:sub>
            </m:sSub>
          </m:den>
        </m:f>
        <m:r>
          <w:rPr>
            <w:rFonts w:ascii="Cambria Math" w:eastAsiaTheme="minorEastAsia" w:hAnsi="Cambria Math"/>
            <w:lang w:val="en-CA"/>
          </w:rPr>
          <m:t>=</m:t>
        </m:r>
        <m:f>
          <m:fPr>
            <m:ctrlPr>
              <w:rPr>
                <w:rFonts w:ascii="Cambria Math" w:eastAsiaTheme="minorEastAsia" w:hAnsi="Cambria Math"/>
                <w:i/>
                <w:iCs/>
                <w:lang w:val="en-CA"/>
              </w:rPr>
            </m:ctrlPr>
          </m:fPr>
          <m:num>
            <m:r>
              <w:rPr>
                <w:rFonts w:ascii="Cambria Math" w:eastAsiaTheme="minorEastAsia" w:hAnsi="Cambria Math"/>
                <w:lang w:val="en-CA"/>
              </w:rPr>
              <m:t>(</m:t>
            </m:r>
            <m:r>
              <w:rPr>
                <w:rFonts w:ascii="Cambria Math" w:eastAsiaTheme="minorEastAsia" w:hAnsi="Cambria Math"/>
                <w:lang w:val="en-CA"/>
              </w:rPr>
              <m:t>1.3</m:t>
            </m:r>
            <m:r>
              <w:rPr>
                <w:rFonts w:ascii="Cambria Math" w:eastAsiaTheme="minorEastAsia" w:hAnsi="Cambria Math"/>
                <w:lang w:val="en-CA"/>
              </w:rPr>
              <m:t>M</m:t>
            </m:r>
            <m:r>
              <w:rPr>
                <w:rFonts w:ascii="Cambria Math" w:eastAsiaTheme="minorEastAsia" w:hAnsi="Cambria Math"/>
                <w:lang w:val="en-CA"/>
              </w:rPr>
              <m:t>)(14)</m:t>
            </m:r>
          </m:num>
          <m:den>
            <m:r>
              <w:rPr>
                <w:rFonts w:ascii="Cambria Math" w:eastAsiaTheme="minorEastAsia" w:hAnsi="Cambria Math"/>
                <w:lang w:val="en-CA"/>
              </w:rPr>
              <m:t>2</m:t>
            </m:r>
            <m:r>
              <w:rPr>
                <w:rFonts w:ascii="Cambria Math" w:eastAsiaTheme="minorEastAsia" w:hAnsi="Cambria Math"/>
                <w:lang w:val="en-CA"/>
              </w:rPr>
              <m:t>5</m:t>
            </m:r>
            <m:r>
              <w:rPr>
                <w:rFonts w:ascii="Cambria Math" w:eastAsiaTheme="minorEastAsia" w:hAnsi="Cambria Math"/>
                <w:lang w:val="en-CA"/>
              </w:rPr>
              <m:t>.</m:t>
            </m:r>
            <m:r>
              <w:rPr>
                <w:rFonts w:ascii="Cambria Math" w:eastAsiaTheme="minorEastAsia" w:hAnsi="Cambria Math"/>
                <w:lang w:val="en-CA"/>
              </w:rPr>
              <m:t>985</m:t>
            </m:r>
            <m:r>
              <w:rPr>
                <w:rFonts w:ascii="Cambria Math" w:eastAsiaTheme="minorEastAsia" w:hAnsi="Cambria Math"/>
                <w:lang w:val="en-CA"/>
              </w:rPr>
              <m:t>M</m:t>
            </m:r>
          </m:den>
        </m:f>
        <m:r>
          <w:rPr>
            <w:rFonts w:ascii="Cambria Math" w:eastAsiaTheme="minorEastAsia" w:hAnsi="Cambria Math"/>
            <w:lang w:val="en-CA"/>
          </w:rPr>
          <m:t>≈0.</m:t>
        </m:r>
        <m:r>
          <w:rPr>
            <w:rFonts w:ascii="Cambria Math" w:eastAsiaTheme="minorEastAsia" w:hAnsi="Cambria Math"/>
            <w:lang w:val="en-CA"/>
          </w:rPr>
          <m:t>70</m:t>
        </m:r>
      </m:oMath>
      <w:r>
        <w:rPr>
          <w:rFonts w:eastAsiaTheme="minorEastAsia"/>
          <w:iCs/>
          <w:lang w:val="en-CA"/>
        </w:rPr>
        <w:t xml:space="preserve"> </w:t>
      </w:r>
      <w:r w:rsidRPr="007254FD">
        <w:rPr>
          <w:lang w:val="en-CA"/>
        </w:rPr>
        <w:t xml:space="preserve"> (</w:t>
      </w:r>
      <w:r>
        <w:rPr>
          <w:lang w:val="en-CA"/>
        </w:rPr>
        <w:t xml:space="preserve">example </w:t>
      </w:r>
      <w:r w:rsidR="00491643">
        <w:rPr>
          <w:lang w:val="en-CA"/>
        </w:rPr>
        <w:t>in</w:t>
      </w:r>
      <w:r>
        <w:rPr>
          <w:lang w:val="en-CA"/>
        </w:rPr>
        <w:t>elastic</w:t>
      </w:r>
      <w:r>
        <w:rPr>
          <w:lang w:val="en-CA"/>
        </w:rPr>
        <w:t xml:space="preserve"> demand</w:t>
      </w:r>
      <w:r w:rsidRPr="007254FD">
        <w:rPr>
          <w:lang w:val="en-CA"/>
        </w:rPr>
        <w:t>)</w:t>
      </w:r>
      <w:r>
        <w:rPr>
          <w:rStyle w:val="FootnoteReference"/>
          <w:lang w:val="en-CA"/>
        </w:rPr>
        <w:footnoteReference w:id="1"/>
      </w:r>
    </w:p>
    <w:p w14:paraId="499315D0" w14:textId="77777777" w:rsidR="007254FD" w:rsidRDefault="007254FD" w:rsidP="007254FD">
      <w:pPr>
        <w:rPr>
          <w:lang w:val="en-CA"/>
        </w:rPr>
      </w:pPr>
      <w:r w:rsidRPr="007254FD">
        <w:rPr>
          <w:lang w:val="en-CA"/>
        </w:rPr>
        <w:t>Then</w:t>
      </w:r>
    </w:p>
    <w:p w14:paraId="6C1037CD" w14:textId="0225A110" w:rsidR="006C23B2" w:rsidRPr="006C23B2" w:rsidRDefault="006C23B2" w:rsidP="007254FD">
      <w:pPr>
        <w:rPr>
          <w:b/>
          <w:bCs/>
          <w:lang w:val="en-CA"/>
        </w:rPr>
      </w:pPr>
      <w:r w:rsidRPr="006C23B2">
        <w:rPr>
          <w:b/>
          <w:bCs/>
          <w:lang w:val="en-CA"/>
        </w:rPr>
        <w:t>Scenario A:</w:t>
      </w:r>
    </w:p>
    <w:p w14:paraId="426215B0" w14:textId="0EC7AF46" w:rsidR="006C23B2" w:rsidRDefault="006C23B2" w:rsidP="007254FD">
      <w:pPr>
        <w:rPr>
          <w:rFonts w:eastAsiaTheme="minorEastAsia"/>
          <w:lang w:val="en-CA"/>
        </w:rPr>
      </w:pPr>
      <w:r>
        <w:rPr>
          <w:lang w:val="en-CA"/>
        </w:rPr>
        <w:t xml:space="preserve">Volume falls by </w:t>
      </w:r>
      <m:oMath>
        <m:d>
          <m:dPr>
            <m:ctrlPr>
              <w:rPr>
                <w:rFonts w:ascii="Cambria Math" w:hAnsi="Cambria Math"/>
                <w:i/>
                <w:lang w:val="en-CA"/>
              </w:rPr>
            </m:ctrlPr>
          </m:dPr>
          <m:e>
            <m:r>
              <w:rPr>
                <w:rFonts w:ascii="Cambria Math" w:hAnsi="Cambria Math"/>
                <w:lang w:val="en-CA"/>
              </w:rPr>
              <m:t>B</m:t>
            </m:r>
          </m:e>
        </m:d>
        <m:d>
          <m:dPr>
            <m:ctrlPr>
              <w:rPr>
                <w:rFonts w:ascii="Cambria Math" w:hAnsi="Cambria Math"/>
                <w:i/>
                <w:lang w:val="en-CA"/>
              </w:rPr>
            </m:ctrlPr>
          </m:dPr>
          <m:e>
            <m:r>
              <w:rPr>
                <w:rFonts w:ascii="Cambria Math" w:hAnsi="Cambria Math"/>
                <w:lang w:val="en-CA"/>
              </w:rPr>
              <m:t>f</m:t>
            </m:r>
          </m:e>
        </m:d>
        <m:r>
          <w:rPr>
            <w:rFonts w:ascii="Cambria Math" w:hAnsi="Cambria Math"/>
            <w:lang w:val="en-CA"/>
          </w:rPr>
          <m:t>=</m:t>
        </m:r>
        <m:d>
          <m:dPr>
            <m:ctrlPr>
              <w:rPr>
                <w:rFonts w:ascii="Cambria Math" w:hAnsi="Cambria Math"/>
                <w:i/>
                <w:lang w:val="en-CA"/>
              </w:rPr>
            </m:ctrlPr>
          </m:dPr>
          <m:e>
            <m:r>
              <w:rPr>
                <w:rFonts w:ascii="Cambria Math" w:hAnsi="Cambria Math"/>
                <w:lang w:val="en-CA"/>
              </w:rPr>
              <m:t>1.3M</m:t>
            </m:r>
          </m:e>
        </m:d>
        <m:d>
          <m:dPr>
            <m:ctrlPr>
              <w:rPr>
                <w:rFonts w:ascii="Cambria Math" w:hAnsi="Cambria Math"/>
                <w:i/>
                <w:lang w:val="en-CA"/>
              </w:rPr>
            </m:ctrlPr>
          </m:dPr>
          <m:e>
            <m:r>
              <w:rPr>
                <w:rFonts w:ascii="Cambria Math" w:hAnsi="Cambria Math"/>
                <w:lang w:val="en-CA"/>
              </w:rPr>
              <m:t>1.5</m:t>
            </m:r>
          </m:e>
        </m:d>
        <m:r>
          <w:rPr>
            <w:rFonts w:ascii="Cambria Math" w:hAnsi="Cambria Math"/>
            <w:lang w:val="en-CA"/>
          </w:rPr>
          <m:t>≈1.</m:t>
        </m:r>
        <m:r>
          <w:rPr>
            <w:rFonts w:ascii="Cambria Math" w:hAnsi="Cambria Math"/>
            <w:lang w:val="en-CA"/>
          </w:rPr>
          <m:t>95</m:t>
        </m:r>
        <m:r>
          <w:rPr>
            <w:rFonts w:ascii="Cambria Math" w:hAnsi="Cambria Math"/>
            <w:lang w:val="en-CA"/>
          </w:rPr>
          <m:t xml:space="preserve"> Million Tickets</m:t>
        </m:r>
      </m:oMath>
    </w:p>
    <w:p w14:paraId="0E6A0305" w14:textId="2EE97C0F" w:rsidR="00982151" w:rsidRDefault="006C23B2" w:rsidP="007254FD">
      <w:pPr>
        <w:rPr>
          <w:rFonts w:eastAsiaTheme="minorEastAsia"/>
          <w:lang w:val="en-CA"/>
        </w:rPr>
      </w:pPr>
      <w:r>
        <w:rPr>
          <w:rFonts w:eastAsiaTheme="minorEastAsia"/>
          <w:lang w:val="en-CA"/>
        </w:rPr>
        <w:t>Incremental revenue</w:t>
      </w:r>
      <w:r w:rsidR="0029152B">
        <w:rPr>
          <w:rFonts w:eastAsiaTheme="minorEastAsia"/>
          <w:lang w:val="en-CA"/>
        </w:rPr>
        <w:t xml:space="preserve"> increase from conduct</w:t>
      </w:r>
      <w:r>
        <w:rPr>
          <w:rFonts w:eastAsiaTheme="minorEastAsia"/>
          <w:lang w:val="en-CA"/>
        </w:rPr>
        <w:t xml:space="preserve"> </w:t>
      </w:r>
      <w:r w:rsidR="00982151">
        <w:rPr>
          <w:rFonts w:eastAsiaTheme="minorEastAsia"/>
          <w:lang w:val="en-CA"/>
        </w:rPr>
        <w:t>relative to</w:t>
      </w:r>
      <w:r>
        <w:rPr>
          <w:rFonts w:eastAsiaTheme="minorEastAsia"/>
          <w:lang w:val="en-CA"/>
        </w:rPr>
        <w:t xml:space="preserve"> </w:t>
      </w:r>
      <w:r w:rsidR="0029152B">
        <w:rPr>
          <w:rFonts w:eastAsiaTheme="minorEastAsia"/>
          <w:lang w:val="en-CA"/>
        </w:rPr>
        <w:t xml:space="preserve">Scenario </w:t>
      </w:r>
      <w:r>
        <w:rPr>
          <w:rFonts w:eastAsiaTheme="minorEastAsia"/>
          <w:lang w:val="en-CA"/>
        </w:rPr>
        <w:t>A</w:t>
      </w:r>
      <w:r w:rsidR="00982151">
        <w:rPr>
          <w:rFonts w:eastAsiaTheme="minorEastAsia"/>
          <w:lang w:val="en-CA"/>
        </w:rPr>
        <w:t xml:space="preserve"> is:</w:t>
      </w:r>
    </w:p>
    <w:p w14:paraId="2F78F889" w14:textId="019276C4" w:rsidR="006C23B2" w:rsidRPr="00491643" w:rsidRDefault="0029152B" w:rsidP="007254FD">
      <w:pPr>
        <w:rPr>
          <w:rFonts w:eastAsiaTheme="minorEastAsia"/>
          <w:lang w:val="en-CA"/>
        </w:rPr>
      </w:pPr>
      <m:oMathPara>
        <m:oMath>
          <m:d>
            <m:dPr>
              <m:ctrlPr>
                <w:rPr>
                  <w:rFonts w:ascii="Cambria Math" w:hAnsi="Cambria Math"/>
                  <w:i/>
                  <w:lang w:val="en-CA"/>
                </w:rPr>
              </m:ctrlPr>
            </m:dPr>
            <m:e>
              <m:r>
                <w:rPr>
                  <w:rFonts w:ascii="Cambria Math" w:hAnsi="Cambria Math"/>
                  <w:lang w:val="en-CA"/>
                </w:rPr>
                <m:t>p+f</m:t>
              </m:r>
            </m:e>
          </m:d>
          <m:r>
            <w:rPr>
              <w:rFonts w:ascii="Cambria Math" w:hAnsi="Cambria Math"/>
              <w:lang w:val="en-CA"/>
            </w:rPr>
            <m:t>Bf</m:t>
          </m:r>
          <m:r>
            <w:rPr>
              <w:rFonts w:ascii="Cambria Math" w:hAnsi="Cambria Math"/>
              <w:lang w:val="en-CA"/>
            </w:rPr>
            <m:t>=</m:t>
          </m:r>
          <m:d>
            <m:dPr>
              <m:ctrlPr>
                <w:rPr>
                  <w:rFonts w:ascii="Cambria Math" w:hAnsi="Cambria Math"/>
                  <w:i/>
                  <w:lang w:val="en-CA"/>
                </w:rPr>
              </m:ctrlPr>
            </m:dPr>
            <m:e>
              <m:r>
                <w:rPr>
                  <w:rFonts w:ascii="Cambria Math" w:hAnsi="Cambria Math"/>
                  <w:lang w:val="en-CA"/>
                </w:rPr>
                <m:t>$14+$1.50</m:t>
              </m:r>
            </m:e>
          </m:d>
          <m:d>
            <m:dPr>
              <m:ctrlPr>
                <w:rPr>
                  <w:rFonts w:ascii="Cambria Math" w:hAnsi="Cambria Math"/>
                  <w:i/>
                  <w:lang w:val="en-CA"/>
                </w:rPr>
              </m:ctrlPr>
            </m:dPr>
            <m:e>
              <m:r>
                <w:rPr>
                  <w:rFonts w:ascii="Cambria Math" w:hAnsi="Cambria Math"/>
                  <w:lang w:val="en-CA"/>
                </w:rPr>
                <m:t>1.3M</m:t>
              </m:r>
            </m:e>
          </m:d>
          <m:d>
            <m:dPr>
              <m:ctrlPr>
                <w:rPr>
                  <w:rFonts w:ascii="Cambria Math" w:hAnsi="Cambria Math"/>
                  <w:i/>
                  <w:lang w:val="en-CA"/>
                </w:rPr>
              </m:ctrlPr>
            </m:dPr>
            <m:e>
              <m:r>
                <w:rPr>
                  <w:rFonts w:ascii="Cambria Math" w:hAnsi="Cambria Math"/>
                  <w:lang w:val="en-CA"/>
                </w:rPr>
                <m:t>$1.5</m:t>
              </m:r>
            </m:e>
          </m:d>
          <m:r>
            <w:rPr>
              <w:rFonts w:ascii="Cambria Math" w:hAnsi="Cambria Math"/>
              <w:lang w:val="en-CA"/>
            </w:rPr>
            <m:t>=$</m:t>
          </m:r>
          <m:r>
            <w:rPr>
              <w:rFonts w:ascii="Cambria Math" w:hAnsi="Cambria Math"/>
              <w:lang w:val="en-CA"/>
            </w:rPr>
            <m:t>30.225</m:t>
          </m:r>
          <m:r>
            <w:rPr>
              <w:rFonts w:ascii="Cambria Math" w:hAnsi="Cambria Math"/>
              <w:lang w:val="en-CA"/>
            </w:rPr>
            <m:t>M</m:t>
          </m:r>
        </m:oMath>
      </m:oMathPara>
    </w:p>
    <w:p w14:paraId="29927F3D" w14:textId="2824DE66" w:rsidR="00491643" w:rsidRPr="0029152B" w:rsidRDefault="00491643" w:rsidP="007254FD">
      <w:pPr>
        <w:rPr>
          <w:rFonts w:eastAsiaTheme="minorEastAsia"/>
          <w:lang w:val="en-CA"/>
        </w:rPr>
      </w:pPr>
      <w:r>
        <w:rPr>
          <w:rFonts w:eastAsiaTheme="minorEastAsia"/>
          <w:lang w:val="en-CA"/>
        </w:rPr>
        <w:t>This is an over $</w:t>
      </w:r>
      <w:r w:rsidR="009F41A6">
        <w:rPr>
          <w:rFonts w:eastAsiaTheme="minorEastAsia"/>
          <w:lang w:val="en-CA"/>
        </w:rPr>
        <w:t>8</w:t>
      </w:r>
      <w:r>
        <w:rPr>
          <w:rFonts w:eastAsiaTheme="minorEastAsia"/>
          <w:lang w:val="en-CA"/>
        </w:rPr>
        <w:t>M decrease from the quantum calculated by the Tribunal.</w:t>
      </w:r>
    </w:p>
    <w:p w14:paraId="54C00932" w14:textId="4AE5ED36" w:rsidR="0029152B" w:rsidRDefault="0029152B" w:rsidP="007254FD">
      <w:pPr>
        <w:rPr>
          <w:rFonts w:eastAsiaTheme="minorEastAsia"/>
          <w:b/>
          <w:bCs/>
          <w:lang w:val="en-CA"/>
        </w:rPr>
      </w:pPr>
      <w:r w:rsidRPr="0029152B">
        <w:rPr>
          <w:rFonts w:eastAsiaTheme="minorEastAsia"/>
          <w:b/>
          <w:bCs/>
          <w:lang w:val="en-CA"/>
        </w:rPr>
        <w:t>Scenario B:</w:t>
      </w:r>
    </w:p>
    <w:p w14:paraId="6F9E150F" w14:textId="3B912BCA" w:rsidR="0029152B" w:rsidRDefault="0029152B" w:rsidP="007254FD">
      <w:pPr>
        <w:rPr>
          <w:rFonts w:eastAsiaTheme="minorEastAsia"/>
          <w:lang w:val="en-CA"/>
        </w:rPr>
      </w:pPr>
      <w:r>
        <w:rPr>
          <w:rFonts w:eastAsiaTheme="minorEastAsia"/>
          <w:lang w:val="en-CA"/>
        </w:rPr>
        <w:t xml:space="preserve">We sell the same quantity since that is what the consumer anchored on. And so </w:t>
      </w:r>
      <m:oMath>
        <m:sSub>
          <m:sSubPr>
            <m:ctrlPr>
              <w:rPr>
                <w:rFonts w:ascii="Cambria Math" w:eastAsiaTheme="minorEastAsia" w:hAnsi="Cambria Math"/>
                <w:i/>
                <w:lang w:val="en-CA"/>
              </w:rPr>
            </m:ctrlPr>
          </m:sSubPr>
          <m:e>
            <m:r>
              <w:rPr>
                <w:rFonts w:ascii="Cambria Math" w:eastAsiaTheme="minorEastAsia" w:hAnsi="Cambria Math"/>
                <w:lang w:val="en-CA"/>
              </w:rPr>
              <m:t>Q</m:t>
            </m:r>
          </m:e>
          <m:sub>
            <m:r>
              <w:rPr>
                <w:rFonts w:ascii="Cambria Math" w:eastAsiaTheme="minorEastAsia" w:hAnsi="Cambria Math"/>
                <w:lang w:val="en-CA"/>
              </w:rPr>
              <m:t>0</m:t>
            </m:r>
          </m:sub>
        </m:sSub>
        <m:r>
          <w:rPr>
            <w:rFonts w:ascii="Cambria Math" w:eastAsiaTheme="minorEastAsia" w:hAnsi="Cambria Math"/>
            <w:lang w:val="en-CA"/>
          </w:rPr>
          <m:t>=2.784M</m:t>
        </m:r>
      </m:oMath>
      <w:r>
        <w:rPr>
          <w:rFonts w:eastAsiaTheme="minorEastAsia"/>
          <w:lang w:val="en-CA"/>
        </w:rPr>
        <w:t>.</w:t>
      </w:r>
    </w:p>
    <w:p w14:paraId="6BF86DCC" w14:textId="321BDF18" w:rsidR="0029152B" w:rsidRDefault="0029152B" w:rsidP="0029152B">
      <w:pPr>
        <w:rPr>
          <w:rFonts w:eastAsiaTheme="minorEastAsia"/>
          <w:lang w:val="en-CA"/>
        </w:rPr>
      </w:pPr>
      <w:r>
        <w:rPr>
          <w:rFonts w:eastAsiaTheme="minorEastAsia"/>
          <w:lang w:val="en-CA"/>
        </w:rPr>
        <w:t xml:space="preserve">Incremental revenue increase from conduct relative to Scenario </w:t>
      </w:r>
      <w:r w:rsidR="00491643">
        <w:rPr>
          <w:rFonts w:eastAsiaTheme="minorEastAsia"/>
          <w:lang w:val="en-CA"/>
        </w:rPr>
        <w:t>B</w:t>
      </w:r>
      <w:r>
        <w:rPr>
          <w:rFonts w:eastAsiaTheme="minorEastAsia"/>
          <w:lang w:val="en-CA"/>
        </w:rPr>
        <w:t xml:space="preserve"> is:</w:t>
      </w:r>
    </w:p>
    <w:p w14:paraId="280BCED9" w14:textId="494BE610" w:rsidR="0029152B" w:rsidRPr="00491643" w:rsidRDefault="0029152B" w:rsidP="007254FD">
      <w:pPr>
        <w:rPr>
          <w:rFonts w:eastAsiaTheme="minorEastAsia"/>
          <w:lang w:val="en-CA"/>
        </w:rPr>
      </w:pPr>
      <m:oMathPara>
        <m:oMath>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0</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B</m:t>
              </m:r>
            </m:sub>
          </m:sSub>
          <m:r>
            <w:rPr>
              <w:rFonts w:ascii="Cambria Math" w:hAnsi="Cambria Math"/>
              <w:lang w:val="en-CA"/>
            </w:rPr>
            <m:t>=</m:t>
          </m:r>
          <m:r>
            <w:rPr>
              <w:rFonts w:ascii="Cambria Math" w:hAnsi="Cambria Math"/>
              <w:lang w:val="en-CA"/>
            </w:rPr>
            <m:t>f</m:t>
          </m:r>
          <m:d>
            <m:dPr>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Q</m:t>
                  </m:r>
                </m:e>
                <m:sub>
                  <m:r>
                    <w:rPr>
                      <w:rFonts w:ascii="Cambria Math" w:hAnsi="Cambria Math"/>
                      <w:lang w:val="en-CA"/>
                    </w:rPr>
                    <m:t>0</m:t>
                  </m:r>
                </m:sub>
              </m:sSub>
            </m:e>
          </m:d>
          <m:r>
            <w:rPr>
              <w:rFonts w:ascii="Cambria Math" w:hAnsi="Cambria Math"/>
              <w:lang w:val="en-CA"/>
            </w:rPr>
            <m:t>=</m:t>
          </m:r>
          <m:r>
            <w:rPr>
              <w:rFonts w:ascii="Cambria Math" w:eastAsiaTheme="minorEastAsia" w:hAnsi="Cambria Math"/>
              <w:lang w:val="en-CA"/>
            </w:rPr>
            <m:t>$38.978M</m:t>
          </m:r>
        </m:oMath>
      </m:oMathPara>
    </w:p>
    <w:p w14:paraId="1091E44D" w14:textId="23AE2EBF" w:rsidR="00491643" w:rsidRDefault="00491643" w:rsidP="007254FD">
      <w:pPr>
        <w:rPr>
          <w:rFonts w:eastAsiaTheme="minorEastAsia"/>
          <w:lang w:val="en-CA"/>
        </w:rPr>
      </w:pPr>
      <w:r>
        <w:rPr>
          <w:rFonts w:eastAsiaTheme="minorEastAsia"/>
          <w:lang w:val="en-CA"/>
        </w:rPr>
        <w:t>This is</w:t>
      </w:r>
      <w:r w:rsidR="00BE721B">
        <w:rPr>
          <w:rFonts w:eastAsiaTheme="minorEastAsia"/>
          <w:lang w:val="en-CA"/>
        </w:rPr>
        <w:t>, of course,</w:t>
      </w:r>
      <w:r>
        <w:rPr>
          <w:rFonts w:eastAsiaTheme="minorEastAsia"/>
          <w:lang w:val="en-CA"/>
        </w:rPr>
        <w:t xml:space="preserve"> exactly as the Tribunal calculated.</w:t>
      </w:r>
    </w:p>
    <w:p w14:paraId="7397F1EF" w14:textId="75DB8230" w:rsidR="00491643" w:rsidRDefault="00491643" w:rsidP="007254FD">
      <w:pPr>
        <w:rPr>
          <w:rFonts w:eastAsiaTheme="minorEastAsia"/>
          <w:lang w:val="en-CA"/>
        </w:rPr>
      </w:pPr>
      <w:r>
        <w:rPr>
          <w:rFonts w:eastAsiaTheme="minorEastAsia"/>
          <w:b/>
          <w:bCs/>
          <w:lang w:val="en-CA"/>
        </w:rPr>
        <w:t xml:space="preserve">Scenario C: </w:t>
      </w:r>
    </w:p>
    <w:p w14:paraId="0653ACEB" w14:textId="39E7402B" w:rsidR="00491643" w:rsidRDefault="00491643" w:rsidP="007254FD">
      <w:pPr>
        <w:rPr>
          <w:lang w:val="en-CA"/>
        </w:rPr>
      </w:pPr>
      <w:r>
        <w:rPr>
          <w:lang w:val="en-CA"/>
        </w:rPr>
        <w:t>We choose a new price that maximizes revenue</w:t>
      </w:r>
      <w:r w:rsidR="006C082F">
        <w:rPr>
          <w:lang w:val="en-CA"/>
        </w:rPr>
        <w:t>:</w:t>
      </w:r>
    </w:p>
    <w:p w14:paraId="0F8B05F6" w14:textId="2B9A5931" w:rsidR="00491643" w:rsidRPr="009F41A6" w:rsidRDefault="00491643" w:rsidP="007254FD">
      <w:pPr>
        <w:rPr>
          <w:rFonts w:eastAsiaTheme="minorEastAsia"/>
          <w:lang w:val="en-CA"/>
        </w:rPr>
      </w:pPr>
      <m:oMathPara>
        <m:oMath>
          <m:sSup>
            <m:sSupPr>
              <m:ctrlPr>
                <w:rPr>
                  <w:rFonts w:ascii="Cambria Math" w:hAnsi="Cambria Math"/>
                  <w:i/>
                  <w:lang w:val="en-CA"/>
                </w:rPr>
              </m:ctrlPr>
            </m:sSupPr>
            <m:e>
              <m:r>
                <w:rPr>
                  <w:rFonts w:ascii="Cambria Math" w:hAnsi="Cambria Math"/>
                  <w:lang w:val="en-CA"/>
                </w:rPr>
                <m:t>p</m:t>
              </m:r>
            </m:e>
            <m:sup>
              <m:r>
                <w:rPr>
                  <w:rFonts w:ascii="Cambria Math" w:hAnsi="Cambria Math"/>
                  <w:lang w:val="en-CA"/>
                </w:rPr>
                <m:t>*</m:t>
              </m:r>
            </m:sup>
          </m:sSup>
          <m:r>
            <w:rPr>
              <w:rFonts w:ascii="Cambria Math" w:hAnsi="Cambria Math"/>
              <w:lang w:val="en-CA"/>
            </w:rPr>
            <m:t>=</m:t>
          </m:r>
          <m:f>
            <m:fPr>
              <m:ctrlPr>
                <w:rPr>
                  <w:rFonts w:ascii="Cambria Math" w:hAnsi="Cambria Math"/>
                  <w:i/>
                  <w:lang w:val="en-CA"/>
                </w:rPr>
              </m:ctrlPr>
            </m:fPr>
            <m:num>
              <m:r>
                <w:rPr>
                  <w:rFonts w:ascii="Cambria Math" w:hAnsi="Cambria Math"/>
                  <w:lang w:val="en-CA"/>
                </w:rPr>
                <m:t>A</m:t>
              </m:r>
            </m:num>
            <m:den>
              <m:r>
                <w:rPr>
                  <w:rFonts w:ascii="Cambria Math" w:hAnsi="Cambria Math"/>
                  <w:lang w:val="en-CA"/>
                </w:rPr>
                <m:t>2B</m:t>
              </m:r>
            </m:den>
          </m:f>
          <m:r>
            <w:rPr>
              <w:rFonts w:ascii="Cambria Math" w:hAnsi="Cambria Math"/>
              <w:lang w:val="en-CA"/>
            </w:rPr>
            <m:t xml:space="preserve"> ≈</m:t>
          </m:r>
          <m:f>
            <m:fPr>
              <m:ctrlPr>
                <w:rPr>
                  <w:rFonts w:ascii="Cambria Math" w:hAnsi="Cambria Math"/>
                  <w:i/>
                  <w:lang w:val="en-CA"/>
                </w:rPr>
              </m:ctrlPr>
            </m:fPr>
            <m:num>
              <m:r>
                <w:rPr>
                  <w:rFonts w:ascii="Cambria Math" w:hAnsi="Cambria Math"/>
                  <w:lang w:val="en-CA"/>
                </w:rPr>
                <m:t>44.185</m:t>
              </m:r>
              <m:r>
                <w:rPr>
                  <w:rFonts w:ascii="Cambria Math" w:hAnsi="Cambria Math"/>
                  <w:lang w:val="en-CA"/>
                </w:rPr>
                <m:t>M</m:t>
              </m:r>
            </m:num>
            <m:den>
              <m:r>
                <w:rPr>
                  <w:rFonts w:ascii="Cambria Math" w:hAnsi="Cambria Math"/>
                  <w:lang w:val="en-CA"/>
                </w:rPr>
                <m:t>1.6M</m:t>
              </m:r>
            </m:den>
          </m:f>
          <m:r>
            <w:rPr>
              <w:rFonts w:ascii="Cambria Math" w:hAnsi="Cambria Math"/>
              <w:lang w:val="en-CA"/>
            </w:rPr>
            <m:t>≈$</m:t>
          </m:r>
          <m:r>
            <w:rPr>
              <w:rFonts w:ascii="Cambria Math" w:hAnsi="Cambria Math"/>
              <w:lang w:val="en-CA"/>
            </w:rPr>
            <m:t>16.99</m:t>
          </m:r>
          <m:r>
            <w:rPr>
              <w:rFonts w:ascii="Cambria Math" w:hAnsi="Cambria Math"/>
              <w:lang w:val="en-CA"/>
            </w:rPr>
            <m:t xml:space="preserve"> →</m:t>
          </m:r>
          <m:sSub>
            <m:sSubPr>
              <m:ctrlPr>
                <w:rPr>
                  <w:rFonts w:ascii="Cambria Math" w:hAnsi="Cambria Math"/>
                  <w:i/>
                  <w:lang w:val="en-CA"/>
                </w:rPr>
              </m:ctrlPr>
            </m:sSubPr>
            <m:e>
              <m:r>
                <w:rPr>
                  <w:rFonts w:ascii="Cambria Math" w:hAnsi="Cambria Math"/>
                  <w:lang w:val="en-CA"/>
                </w:rPr>
                <m:t>Q</m:t>
              </m:r>
            </m:e>
            <m:sub>
              <m:r>
                <w:rPr>
                  <w:rFonts w:ascii="Cambria Math" w:hAnsi="Cambria Math"/>
                  <w:lang w:val="en-CA"/>
                </w:rPr>
                <m:t>C</m:t>
              </m:r>
            </m:sub>
          </m:sSub>
          <m:r>
            <w:rPr>
              <w:rFonts w:ascii="Cambria Math" w:hAnsi="Cambria Math"/>
              <w:lang w:val="en-CA"/>
            </w:rPr>
            <m:t>=</m:t>
          </m:r>
          <m:f>
            <m:fPr>
              <m:ctrlPr>
                <w:rPr>
                  <w:rFonts w:ascii="Cambria Math" w:hAnsi="Cambria Math"/>
                  <w:i/>
                  <w:lang w:val="en-CA"/>
                </w:rPr>
              </m:ctrlPr>
            </m:fPr>
            <m:num>
              <m:r>
                <w:rPr>
                  <w:rFonts w:ascii="Cambria Math" w:hAnsi="Cambria Math"/>
                  <w:lang w:val="en-CA"/>
                </w:rPr>
                <m:t>A</m:t>
              </m:r>
            </m:num>
            <m:den>
              <m:r>
                <w:rPr>
                  <w:rFonts w:ascii="Cambria Math" w:hAnsi="Cambria Math"/>
                  <w:lang w:val="en-CA"/>
                </w:rPr>
                <m:t>2</m:t>
              </m:r>
            </m:den>
          </m:f>
          <m:r>
            <w:rPr>
              <w:rFonts w:ascii="Cambria Math" w:hAnsi="Cambria Math"/>
              <w:lang w:val="en-CA"/>
            </w:rPr>
            <m:t>≈22.09</m:t>
          </m:r>
          <m:r>
            <w:rPr>
              <w:rFonts w:ascii="Cambria Math" w:hAnsi="Cambria Math"/>
              <w:lang w:val="en-CA"/>
            </w:rPr>
            <m:t>M</m:t>
          </m:r>
        </m:oMath>
      </m:oMathPara>
    </w:p>
    <w:p w14:paraId="0A9566EF" w14:textId="3A43A9F6" w:rsidR="009F41A6" w:rsidRDefault="009F41A6" w:rsidP="007254FD">
      <w:pPr>
        <w:rPr>
          <w:rFonts w:eastAsiaTheme="minorEastAsia"/>
          <w:lang w:val="en-CA"/>
        </w:rPr>
      </w:pPr>
      <w:r>
        <w:rPr>
          <w:rFonts w:eastAsiaTheme="minorEastAsia"/>
          <w:lang w:val="en-CA"/>
        </w:rPr>
        <w:t>Incremental revenue increase from</w:t>
      </w:r>
      <w:r w:rsidR="00F6653C">
        <w:rPr>
          <w:rFonts w:eastAsiaTheme="minorEastAsia"/>
          <w:lang w:val="en-CA"/>
        </w:rPr>
        <w:t xml:space="preserve"> the</w:t>
      </w:r>
      <w:r>
        <w:rPr>
          <w:rFonts w:eastAsiaTheme="minorEastAsia"/>
          <w:lang w:val="en-CA"/>
        </w:rPr>
        <w:t xml:space="preserve"> conduct relative to Scenario </w:t>
      </w:r>
      <w:r>
        <w:rPr>
          <w:rFonts w:eastAsiaTheme="minorEastAsia"/>
          <w:lang w:val="en-CA"/>
        </w:rPr>
        <w:t>C</w:t>
      </w:r>
      <w:r w:rsidR="003F6592">
        <w:rPr>
          <w:rFonts w:eastAsiaTheme="minorEastAsia"/>
          <w:lang w:val="en-CA"/>
        </w:rPr>
        <w:t>:</w:t>
      </w:r>
    </w:p>
    <w:p w14:paraId="5C1BB4E0" w14:textId="6E938CB3" w:rsidR="009F41A6" w:rsidRPr="007254FD" w:rsidRDefault="009F41A6" w:rsidP="009F41A6">
      <w:pPr>
        <w:rPr>
          <w:lang w:val="en-CA"/>
        </w:rPr>
      </w:pPr>
      <m:oMathPara>
        <m:oMath>
          <m:d>
            <m:dPr>
              <m:ctrlPr>
                <w:rPr>
                  <w:rFonts w:ascii="Cambria Math" w:hAnsi="Cambria Math"/>
                  <w:i/>
                  <w:lang w:val="en-CA"/>
                </w:rPr>
              </m:ctrlPr>
            </m:dPr>
            <m:e>
              <m:r>
                <w:rPr>
                  <w:rFonts w:ascii="Cambria Math" w:hAnsi="Cambria Math"/>
                  <w:lang w:val="en-CA"/>
                </w:rPr>
                <m:t>p+f</m:t>
              </m:r>
              <m:ctrlPr>
                <w:rPr>
                  <w:rFonts w:ascii="Cambria Math" w:eastAsiaTheme="minorEastAsia" w:hAnsi="Cambria Math"/>
                  <w:i/>
                  <w:lang w:val="en-CA"/>
                </w:rPr>
              </m:ctrlPr>
            </m:e>
          </m:d>
          <m:sSub>
            <m:sSubPr>
              <m:ctrlPr>
                <w:rPr>
                  <w:rFonts w:ascii="Cambria Math" w:eastAsiaTheme="minorEastAsia" w:hAnsi="Cambria Math"/>
                  <w:i/>
                  <w:lang w:val="en-CA"/>
                </w:rPr>
              </m:ctrlPr>
            </m:sSubPr>
            <m:e>
              <m:r>
                <w:rPr>
                  <w:rFonts w:ascii="Cambria Math" w:eastAsiaTheme="minorEastAsia" w:hAnsi="Cambria Math"/>
                  <w:lang w:val="en-CA"/>
                </w:rPr>
                <m:t>Q</m:t>
              </m:r>
            </m:e>
            <m:sub>
              <m:r>
                <w:rPr>
                  <w:rFonts w:ascii="Cambria Math" w:eastAsiaTheme="minorEastAsia" w:hAnsi="Cambria Math"/>
                  <w:lang w:val="en-CA"/>
                </w:rPr>
                <m:t>0</m:t>
              </m:r>
            </m:sub>
          </m:sSub>
          <m:r>
            <w:rPr>
              <w:rFonts w:ascii="Cambria Math" w:eastAsiaTheme="minorEastAsia" w:hAnsi="Cambria Math"/>
              <w:lang w:val="en-CA"/>
            </w:rPr>
            <m:t>-</m:t>
          </m:r>
          <m:f>
            <m:fPr>
              <m:ctrlPr>
                <w:rPr>
                  <w:rFonts w:ascii="Cambria Math" w:eastAsiaTheme="minorEastAsia" w:hAnsi="Cambria Math"/>
                  <w:i/>
                  <w:lang w:val="en-CA"/>
                </w:rPr>
              </m:ctrlPr>
            </m:fPr>
            <m:num>
              <m:sSup>
                <m:sSupPr>
                  <m:ctrlPr>
                    <w:rPr>
                      <w:rFonts w:ascii="Cambria Math" w:eastAsiaTheme="minorEastAsia" w:hAnsi="Cambria Math"/>
                      <w:i/>
                      <w:lang w:val="en-CA"/>
                    </w:rPr>
                  </m:ctrlPr>
                </m:sSupPr>
                <m:e>
                  <m:r>
                    <w:rPr>
                      <w:rFonts w:ascii="Cambria Math" w:eastAsiaTheme="minorEastAsia" w:hAnsi="Cambria Math"/>
                      <w:lang w:val="en-CA"/>
                    </w:rPr>
                    <m:t>A</m:t>
                  </m:r>
                </m:e>
                <m:sup>
                  <m:r>
                    <w:rPr>
                      <w:rFonts w:ascii="Cambria Math" w:eastAsiaTheme="minorEastAsia" w:hAnsi="Cambria Math"/>
                      <w:lang w:val="en-CA"/>
                    </w:rPr>
                    <m:t>2</m:t>
                  </m:r>
                </m:sup>
              </m:sSup>
            </m:num>
            <m:den>
              <m:r>
                <w:rPr>
                  <w:rFonts w:ascii="Cambria Math" w:eastAsiaTheme="minorEastAsia" w:hAnsi="Cambria Math"/>
                  <w:lang w:val="en-CA"/>
                </w:rPr>
                <m:t>4B</m:t>
              </m:r>
            </m:den>
          </m:f>
          <m:r>
            <w:rPr>
              <w:rFonts w:ascii="Cambria Math" w:eastAsiaTheme="minorEastAsia" w:hAnsi="Cambria Math"/>
              <w:lang w:val="en-CA"/>
            </w:rPr>
            <m:t>=</m:t>
          </m:r>
          <m:d>
            <m:dPr>
              <m:ctrlPr>
                <w:rPr>
                  <w:rFonts w:ascii="Cambria Math" w:eastAsiaTheme="minorEastAsia" w:hAnsi="Cambria Math"/>
                  <w:i/>
                  <w:lang w:val="en-CA"/>
                </w:rPr>
              </m:ctrlPr>
            </m:dPr>
            <m:e>
              <m:r>
                <w:rPr>
                  <w:rFonts w:ascii="Cambria Math" w:eastAsiaTheme="minorEastAsia" w:hAnsi="Cambria Math"/>
                  <w:lang w:val="en-CA"/>
                </w:rPr>
                <m:t>$15.5</m:t>
              </m:r>
            </m:e>
          </m:d>
          <m:d>
            <m:dPr>
              <m:ctrlPr>
                <w:rPr>
                  <w:rFonts w:ascii="Cambria Math" w:eastAsiaTheme="minorEastAsia" w:hAnsi="Cambria Math"/>
                  <w:i/>
                  <w:lang w:val="en-CA"/>
                </w:rPr>
              </m:ctrlPr>
            </m:dPr>
            <m:e>
              <m:r>
                <w:rPr>
                  <w:rFonts w:ascii="Cambria Math" w:eastAsiaTheme="minorEastAsia" w:hAnsi="Cambria Math"/>
                  <w:lang w:val="en-CA"/>
                </w:rPr>
                <m:t>25.985M</m:t>
              </m:r>
            </m:e>
          </m:d>
          <m:r>
            <w:rPr>
              <w:rFonts w:ascii="Cambria Math" w:eastAsiaTheme="minorEastAsia" w:hAnsi="Cambria Math"/>
              <w:lang w:val="en-CA"/>
            </w:rPr>
            <m:t>-</m:t>
          </m:r>
          <m:f>
            <m:fPr>
              <m:ctrlPr>
                <w:rPr>
                  <w:rFonts w:ascii="Cambria Math" w:eastAsiaTheme="minorEastAsia" w:hAnsi="Cambria Math"/>
                  <w:i/>
                  <w:lang w:val="en-CA"/>
                </w:rPr>
              </m:ctrlPr>
            </m:fPr>
            <m:num>
              <m:r>
                <w:rPr>
                  <w:rFonts w:ascii="Cambria Math" w:eastAsiaTheme="minorEastAsia" w:hAnsi="Cambria Math"/>
                  <w:lang w:val="en-CA"/>
                </w:rPr>
                <m:t>44.185</m:t>
              </m:r>
              <m:sSup>
                <m:sSupPr>
                  <m:ctrlPr>
                    <w:rPr>
                      <w:rFonts w:ascii="Cambria Math" w:eastAsiaTheme="minorEastAsia" w:hAnsi="Cambria Math"/>
                      <w:i/>
                      <w:lang w:val="en-CA"/>
                    </w:rPr>
                  </m:ctrlPr>
                </m:sSupPr>
                <m:e>
                  <m:r>
                    <w:rPr>
                      <w:rFonts w:ascii="Cambria Math" w:eastAsiaTheme="minorEastAsia" w:hAnsi="Cambria Math"/>
                      <w:lang w:val="en-CA"/>
                    </w:rPr>
                    <m:t>M</m:t>
                  </m:r>
                </m:e>
                <m:sup>
                  <m:r>
                    <w:rPr>
                      <w:rFonts w:ascii="Cambria Math" w:eastAsiaTheme="minorEastAsia" w:hAnsi="Cambria Math"/>
                      <w:lang w:val="en-CA"/>
                    </w:rPr>
                    <m:t>2</m:t>
                  </m:r>
                </m:sup>
              </m:sSup>
            </m:num>
            <m:den>
              <m:r>
                <w:rPr>
                  <w:rFonts w:ascii="Cambria Math" w:eastAsiaTheme="minorEastAsia" w:hAnsi="Cambria Math"/>
                  <w:lang w:val="en-CA"/>
                </w:rPr>
                <m:t>4</m:t>
              </m:r>
              <m:d>
                <m:dPr>
                  <m:ctrlPr>
                    <w:rPr>
                      <w:rFonts w:ascii="Cambria Math" w:eastAsiaTheme="minorEastAsia" w:hAnsi="Cambria Math"/>
                      <w:i/>
                      <w:lang w:val="en-CA"/>
                    </w:rPr>
                  </m:ctrlPr>
                </m:dPr>
                <m:e>
                  <m:r>
                    <w:rPr>
                      <w:rFonts w:ascii="Cambria Math" w:eastAsiaTheme="minorEastAsia" w:hAnsi="Cambria Math"/>
                      <w:lang w:val="en-CA"/>
                    </w:rPr>
                    <m:t>1.3M</m:t>
                  </m:r>
                </m:e>
              </m:d>
            </m:den>
          </m:f>
          <m:r>
            <w:rPr>
              <w:rFonts w:ascii="Cambria Math" w:eastAsiaTheme="minorEastAsia" w:hAnsi="Cambria Math"/>
              <w:lang w:val="en-CA"/>
            </w:rPr>
            <m:t>=</m:t>
          </m:r>
          <m:r>
            <w:rPr>
              <w:rFonts w:ascii="Cambria Math" w:eastAsiaTheme="minorEastAsia" w:hAnsi="Cambria Math"/>
              <w:lang w:val="en-CA"/>
            </w:rPr>
            <m:t>$27.32M</m:t>
          </m:r>
        </m:oMath>
      </m:oMathPara>
    </w:p>
    <w:p w14:paraId="66782ACA" w14:textId="6C9F671D" w:rsidR="009F41A6" w:rsidRDefault="00B43D85" w:rsidP="007254FD">
      <w:pPr>
        <w:rPr>
          <w:rFonts w:eastAsiaTheme="minorEastAsia"/>
          <w:lang w:val="en-CA"/>
        </w:rPr>
      </w:pPr>
      <w:r>
        <w:rPr>
          <w:rFonts w:eastAsiaTheme="minorEastAsia"/>
          <w:lang w:val="en-CA"/>
        </w:rPr>
        <w:t>This is over $10M less than the</w:t>
      </w:r>
      <w:r w:rsidR="003F6592">
        <w:rPr>
          <w:rFonts w:eastAsiaTheme="minorEastAsia"/>
          <w:lang w:val="en-CA"/>
        </w:rPr>
        <w:t xml:space="preserve"> AMP</w:t>
      </w:r>
      <w:r>
        <w:rPr>
          <w:rFonts w:eastAsiaTheme="minorEastAsia"/>
          <w:lang w:val="en-CA"/>
        </w:rPr>
        <w:t xml:space="preserve"> order</w:t>
      </w:r>
      <w:r w:rsidR="003F6592">
        <w:rPr>
          <w:rFonts w:eastAsiaTheme="minorEastAsia"/>
          <w:lang w:val="en-CA"/>
        </w:rPr>
        <w:t>ed</w:t>
      </w:r>
      <w:r>
        <w:rPr>
          <w:rFonts w:eastAsiaTheme="minorEastAsia"/>
          <w:lang w:val="en-CA"/>
        </w:rPr>
        <w:t xml:space="preserve"> by the </w:t>
      </w:r>
      <w:r w:rsidR="003F6592">
        <w:rPr>
          <w:rFonts w:eastAsiaTheme="minorEastAsia"/>
          <w:lang w:val="en-CA"/>
        </w:rPr>
        <w:t>T</w:t>
      </w:r>
      <w:r>
        <w:rPr>
          <w:rFonts w:eastAsiaTheme="minorEastAsia"/>
          <w:lang w:val="en-CA"/>
        </w:rPr>
        <w:t>ribunal</w:t>
      </w:r>
      <w:r w:rsidR="003F6592">
        <w:rPr>
          <w:rFonts w:eastAsiaTheme="minorEastAsia"/>
          <w:lang w:val="en-CA"/>
        </w:rPr>
        <w:t>.</w:t>
      </w:r>
    </w:p>
    <w:p w14:paraId="5EA0401C" w14:textId="032A5898" w:rsidR="007254FD" w:rsidRPr="007254FD" w:rsidRDefault="007254FD" w:rsidP="007254FD">
      <w:pPr>
        <w:rPr>
          <w:lang w:val="en-CA"/>
        </w:rPr>
      </w:pPr>
      <w:r w:rsidRPr="007254FD">
        <w:rPr>
          <w:lang w:val="en-CA"/>
        </w:rPr>
        <w:pict w14:anchorId="55F9F7EA">
          <v:rect id="_x0000_i1072" style="width:0;height:1.5pt" o:hralign="center" o:hrstd="t" o:hr="t" fillcolor="#a0a0a0" stroked="f"/>
        </w:pict>
      </w:r>
    </w:p>
    <w:p w14:paraId="44C8687C" w14:textId="77777777" w:rsidR="007254FD" w:rsidRPr="007254FD" w:rsidRDefault="007254FD" w:rsidP="007254FD">
      <w:pPr>
        <w:rPr>
          <w:b/>
          <w:bCs/>
          <w:lang w:val="en-CA"/>
        </w:rPr>
      </w:pPr>
      <w:r w:rsidRPr="007254FD">
        <w:rPr>
          <w:b/>
          <w:bCs/>
          <w:lang w:val="en-CA"/>
        </w:rPr>
        <w:t>7. How this helps the Tribunal</w:t>
      </w:r>
    </w:p>
    <w:p w14:paraId="575D2F9E" w14:textId="5391A6F7" w:rsidR="007254FD" w:rsidRPr="007254FD" w:rsidRDefault="007254FD" w:rsidP="007254FD">
      <w:pPr>
        <w:numPr>
          <w:ilvl w:val="0"/>
          <w:numId w:val="10"/>
        </w:numPr>
        <w:tabs>
          <w:tab w:val="clear" w:pos="360"/>
          <w:tab w:val="num" w:pos="720"/>
        </w:tabs>
        <w:rPr>
          <w:lang w:val="en-CA"/>
        </w:rPr>
      </w:pPr>
      <w:r w:rsidRPr="007254FD">
        <w:rPr>
          <w:b/>
          <w:bCs/>
          <w:lang w:val="en-CA"/>
        </w:rPr>
        <w:t>Restitution (s. 74.1(1)(d)).</w:t>
      </w:r>
      <w:r w:rsidR="003E2F54">
        <w:rPr>
          <w:b/>
          <w:bCs/>
          <w:lang w:val="en-CA"/>
        </w:rPr>
        <w:t xml:space="preserve"> Or calculating harm related to the conduct</w:t>
      </w:r>
    </w:p>
    <w:p w14:paraId="59391CB5" w14:textId="4C726B08" w:rsidR="007254FD" w:rsidRDefault="007254FD" w:rsidP="007254FD">
      <w:pPr>
        <w:numPr>
          <w:ilvl w:val="1"/>
          <w:numId w:val="10"/>
        </w:numPr>
        <w:rPr>
          <w:lang w:val="en-CA"/>
        </w:rPr>
      </w:pPr>
      <w:r w:rsidRPr="007254FD">
        <w:rPr>
          <w:lang w:val="en-CA"/>
        </w:rPr>
        <w:t xml:space="preserve">Scenario A </w:t>
      </w:r>
      <w:r w:rsidR="001E5B78">
        <w:rPr>
          <w:lang w:val="en-CA"/>
        </w:rPr>
        <w:t>allows Cineplex to include the fee to its price in the but-for world. This has the potential to increase or decrease the AMP depending on the observed elasticity</w:t>
      </w:r>
    </w:p>
    <w:p w14:paraId="23D3DB7A" w14:textId="67F671C3" w:rsidR="006C23B2" w:rsidRPr="007254FD" w:rsidRDefault="00D52B2C" w:rsidP="006C23B2">
      <w:pPr>
        <w:numPr>
          <w:ilvl w:val="1"/>
          <w:numId w:val="10"/>
        </w:numPr>
        <w:tabs>
          <w:tab w:val="num" w:pos="1440"/>
        </w:tabs>
        <w:rPr>
          <w:lang w:val="en-CA"/>
        </w:rPr>
      </w:pPr>
      <w:r w:rsidRPr="00D52B2C">
        <w:rPr>
          <w:lang w:val="en-CA"/>
        </w:rPr>
        <w:t>Because the Tribunal opted for an AMP equal to the online-booking-fee revenue rather than restitution, Scenario B now represents the actual penalty baseline, not the refund upper bound</w:t>
      </w:r>
    </w:p>
    <w:p w14:paraId="630076A1" w14:textId="591078C8" w:rsidR="006C23B2" w:rsidRPr="007254FD" w:rsidRDefault="006C23B2" w:rsidP="007254FD">
      <w:pPr>
        <w:numPr>
          <w:ilvl w:val="1"/>
          <w:numId w:val="10"/>
        </w:numPr>
        <w:tabs>
          <w:tab w:val="num" w:pos="1440"/>
        </w:tabs>
        <w:rPr>
          <w:lang w:val="en-CA"/>
        </w:rPr>
      </w:pPr>
      <w:r>
        <w:rPr>
          <w:lang w:val="en-CA"/>
        </w:rPr>
        <w:lastRenderedPageBreak/>
        <w:t xml:space="preserve">Scenario C </w:t>
      </w:r>
      <w:r w:rsidR="00D52B2C">
        <w:rPr>
          <w:lang w:val="en-CA"/>
        </w:rPr>
        <w:t>allows Cineplex to price optimally in the world without the conduct</w:t>
      </w:r>
      <w:r>
        <w:rPr>
          <w:lang w:val="en-CA"/>
        </w:rPr>
        <w:t>.</w:t>
      </w:r>
      <w:r w:rsidR="00D52B2C">
        <w:rPr>
          <w:lang w:val="en-CA"/>
        </w:rPr>
        <w:t xml:space="preserve"> By construction, if this were the but-for world accepted by the Tribunal, the AMP ordered could be AT MOST </w:t>
      </w:r>
      <w:r w:rsidR="001E5B78">
        <w:rPr>
          <w:lang w:val="en-CA"/>
        </w:rPr>
        <w:t>the baseline amount in Scenario B</w:t>
      </w:r>
    </w:p>
    <w:p w14:paraId="7F0F425D" w14:textId="15BF24FB" w:rsidR="007254FD" w:rsidRPr="007254FD" w:rsidRDefault="007254FD" w:rsidP="007254FD">
      <w:pPr>
        <w:numPr>
          <w:ilvl w:val="0"/>
          <w:numId w:val="10"/>
        </w:numPr>
        <w:tabs>
          <w:tab w:val="clear" w:pos="360"/>
          <w:tab w:val="num" w:pos="720"/>
        </w:tabs>
        <w:rPr>
          <w:lang w:val="en-CA"/>
        </w:rPr>
      </w:pPr>
      <w:r w:rsidRPr="007254FD">
        <w:rPr>
          <w:b/>
          <w:bCs/>
          <w:lang w:val="en-CA"/>
        </w:rPr>
        <w:t>Administrative monetary penalty (s. 74.1(1)</w:t>
      </w:r>
      <w:r w:rsidR="00E75DEB">
        <w:rPr>
          <w:b/>
          <w:bCs/>
          <w:lang w:val="en-CA"/>
        </w:rPr>
        <w:t>(c)</w:t>
      </w:r>
      <w:r w:rsidRPr="007254FD">
        <w:rPr>
          <w:b/>
          <w:bCs/>
          <w:lang w:val="en-CA"/>
        </w:rPr>
        <w:t>)</w:t>
      </w:r>
    </w:p>
    <w:p w14:paraId="0771D83C" w14:textId="1FC4C27E" w:rsidR="007254FD" w:rsidRPr="007254FD" w:rsidRDefault="007254FD" w:rsidP="007254FD">
      <w:pPr>
        <w:numPr>
          <w:ilvl w:val="1"/>
          <w:numId w:val="10"/>
        </w:numPr>
        <w:tabs>
          <w:tab w:val="num" w:pos="1440"/>
        </w:tabs>
        <w:rPr>
          <w:lang w:val="en-CA"/>
        </w:rPr>
      </w:pPr>
      <w:r w:rsidRPr="007254FD">
        <w:rPr>
          <w:lang w:val="en-CA"/>
        </w:rPr>
        <w:t>AMP can target the unlawful gain (</w:t>
      </w:r>
      <m:oMath>
        <m:r>
          <w:rPr>
            <w:rFonts w:ascii="Cambria Math" w:hAnsi="Cambria Math"/>
            <w:lang w:val="en-CA"/>
          </w:rPr>
          <m:t>ΔR</m:t>
        </m:r>
      </m:oMath>
      <w:r w:rsidRPr="007254FD">
        <w:rPr>
          <w:lang w:val="en-CA"/>
        </w:rPr>
        <w:t xml:space="preserve">) × </w:t>
      </w:r>
      <w:r w:rsidR="00E75DEB">
        <w:rPr>
          <w:lang w:val="en-CA"/>
        </w:rPr>
        <w:t>3</w:t>
      </w:r>
      <w:r w:rsidR="00B43D85">
        <w:rPr>
          <w:lang w:val="en-CA"/>
        </w:rPr>
        <w:t xml:space="preserve"> so all </w:t>
      </w:r>
      <w:r w:rsidR="0070388C">
        <w:rPr>
          <w:lang w:val="en-CA"/>
        </w:rPr>
        <w:t>scenarios</w:t>
      </w:r>
      <w:r w:rsidR="00B43D85">
        <w:rPr>
          <w:lang w:val="en-CA"/>
        </w:rPr>
        <w:t xml:space="preserve"> are within the power of the Tribunal to order</w:t>
      </w:r>
    </w:p>
    <w:p w14:paraId="20E9B40C" w14:textId="40AD01CF" w:rsidR="002B43E9" w:rsidRDefault="007254FD" w:rsidP="007254FD">
      <w:pPr>
        <w:rPr>
          <w:lang w:val="en-CA"/>
        </w:rPr>
      </w:pPr>
      <w:r w:rsidRPr="007254FD">
        <w:rPr>
          <w:lang w:val="en-CA"/>
        </w:rPr>
        <w:pict w14:anchorId="71A8BD26">
          <v:rect id="_x0000_i1073" style="width:0;height:1.5pt" o:hralign="center" o:hrstd="t" o:hr="t" fillcolor="#a0a0a0" stroked="f"/>
        </w:pict>
      </w:r>
    </w:p>
    <w:p w14:paraId="0EAB45BB" w14:textId="1D6F61A8" w:rsidR="002B43E9" w:rsidRDefault="002B43E9" w:rsidP="002B43E9">
      <w:pPr>
        <w:rPr>
          <w:b/>
          <w:bCs/>
          <w:lang w:val="en-CA"/>
        </w:rPr>
      </w:pPr>
      <w:r>
        <w:rPr>
          <w:b/>
          <w:bCs/>
          <w:lang w:val="en-CA"/>
        </w:rPr>
        <w:t>8</w:t>
      </w:r>
      <w:r w:rsidRPr="007254FD">
        <w:rPr>
          <w:b/>
          <w:bCs/>
          <w:lang w:val="en-CA"/>
        </w:rPr>
        <w:t xml:space="preserve">. </w:t>
      </w:r>
      <w:r>
        <w:rPr>
          <w:b/>
          <w:bCs/>
          <w:lang w:val="en-CA"/>
        </w:rPr>
        <w:t>What is the correct but-for world?</w:t>
      </w:r>
    </w:p>
    <w:p w14:paraId="74E7E18C" w14:textId="47D7EF9B" w:rsidR="002B43E9" w:rsidRPr="002B43E9" w:rsidRDefault="002B43E9" w:rsidP="002B43E9">
      <w:pPr>
        <w:pStyle w:val="ListParagraph"/>
        <w:numPr>
          <w:ilvl w:val="0"/>
          <w:numId w:val="11"/>
        </w:numPr>
        <w:rPr>
          <w:b/>
          <w:bCs/>
          <w:lang w:val="en-CA"/>
        </w:rPr>
      </w:pPr>
      <w:r>
        <w:rPr>
          <w:lang w:val="en-CA"/>
        </w:rPr>
        <w:t xml:space="preserve">If the but-for world is Cineplex NOT raising prices, then the Tribunal made the correct call. If the but-for world is Cineplex raising prices to increase </w:t>
      </w:r>
      <w:r w:rsidR="00CB4752">
        <w:rPr>
          <w:lang w:val="en-CA"/>
        </w:rPr>
        <w:t>revenues,</w:t>
      </w:r>
      <w:r>
        <w:rPr>
          <w:lang w:val="en-CA"/>
        </w:rPr>
        <w:t xml:space="preserve"> then the </w:t>
      </w:r>
      <w:r w:rsidR="0070388C">
        <w:rPr>
          <w:lang w:val="en-CA"/>
        </w:rPr>
        <w:t>correct quantum to be ordered will depend on the price sensitivity of consumers</w:t>
      </w:r>
      <w:r>
        <w:rPr>
          <w:lang w:val="en-CA"/>
        </w:rPr>
        <w:t>. Few points on this:</w:t>
      </w:r>
    </w:p>
    <w:p w14:paraId="08C7B2EA" w14:textId="2CDD51C8" w:rsidR="00CB4752" w:rsidRPr="00CB4752" w:rsidRDefault="00CB4752" w:rsidP="002B43E9">
      <w:pPr>
        <w:pStyle w:val="ListParagraph"/>
        <w:numPr>
          <w:ilvl w:val="1"/>
          <w:numId w:val="11"/>
        </w:numPr>
        <w:rPr>
          <w:b/>
          <w:bCs/>
          <w:lang w:val="en-CA"/>
        </w:rPr>
      </w:pPr>
      <w:r>
        <w:rPr>
          <w:lang w:val="en-CA"/>
        </w:rPr>
        <w:t>It</w:t>
      </w:r>
      <w:r w:rsidR="00E84937">
        <w:rPr>
          <w:lang w:val="en-CA"/>
        </w:rPr>
        <w:t xml:space="preserve"> should be noted that</w:t>
      </w:r>
      <w:r>
        <w:rPr>
          <w:lang w:val="en-CA"/>
        </w:rPr>
        <w:t xml:space="preserve"> Cineplex HAS NOT reduced prices, they are just </w:t>
      </w:r>
      <w:r w:rsidR="00E84937">
        <w:rPr>
          <w:lang w:val="en-CA"/>
        </w:rPr>
        <w:t xml:space="preserve">now </w:t>
      </w:r>
      <w:r>
        <w:rPr>
          <w:lang w:val="en-CA"/>
        </w:rPr>
        <w:t xml:space="preserve">revealing </w:t>
      </w:r>
      <w:r w:rsidR="00E84937">
        <w:rPr>
          <w:lang w:val="en-CA"/>
        </w:rPr>
        <w:t>the fee</w:t>
      </w:r>
    </w:p>
    <w:p w14:paraId="70C0D379" w14:textId="71ABD128" w:rsidR="00CB4752" w:rsidRPr="00CB4752" w:rsidRDefault="00CB4752" w:rsidP="00CB4752">
      <w:pPr>
        <w:pStyle w:val="ListParagraph"/>
        <w:numPr>
          <w:ilvl w:val="2"/>
          <w:numId w:val="11"/>
        </w:numPr>
        <w:rPr>
          <w:b/>
          <w:bCs/>
          <w:lang w:val="en-CA"/>
        </w:rPr>
      </w:pPr>
      <w:r>
        <w:rPr>
          <w:lang w:val="en-CA"/>
        </w:rPr>
        <w:t xml:space="preserve">Though this might be because the decision is under </w:t>
      </w:r>
      <w:r w:rsidR="004A4865">
        <w:rPr>
          <w:lang w:val="en-CA"/>
        </w:rPr>
        <w:t>appeal</w:t>
      </w:r>
    </w:p>
    <w:p w14:paraId="7164CACE" w14:textId="5EB167BE" w:rsidR="00CB4752" w:rsidRPr="00502B6E" w:rsidRDefault="00CB4752" w:rsidP="00CB4752">
      <w:pPr>
        <w:pStyle w:val="ListParagraph"/>
        <w:numPr>
          <w:ilvl w:val="1"/>
          <w:numId w:val="11"/>
        </w:numPr>
        <w:rPr>
          <w:b/>
          <w:bCs/>
          <w:lang w:val="en-CA"/>
        </w:rPr>
      </w:pPr>
      <w:r>
        <w:rPr>
          <w:lang w:val="en-CA"/>
        </w:rPr>
        <w:t>It’s not obvious to me what the correct but-for world is, perhaps a matter for qualitative evidence</w:t>
      </w:r>
      <w:r w:rsidR="00E84937">
        <w:rPr>
          <w:lang w:val="en-CA"/>
        </w:rPr>
        <w:t>?</w:t>
      </w:r>
    </w:p>
    <w:p w14:paraId="276CC6AA" w14:textId="32287115" w:rsidR="00502B6E" w:rsidRPr="0070388C" w:rsidRDefault="00502B6E" w:rsidP="00502B6E">
      <w:pPr>
        <w:pStyle w:val="ListParagraph"/>
        <w:numPr>
          <w:ilvl w:val="2"/>
          <w:numId w:val="11"/>
        </w:numPr>
        <w:rPr>
          <w:b/>
          <w:bCs/>
          <w:lang w:val="en-CA"/>
        </w:rPr>
      </w:pPr>
      <w:r>
        <w:rPr>
          <w:lang w:val="en-CA"/>
        </w:rPr>
        <w:t>In other words, the “but-for” world would depend on what the Tribunal thinks is likely to happen</w:t>
      </w:r>
    </w:p>
    <w:p w14:paraId="765477C9" w14:textId="2DC550BB" w:rsidR="0070388C" w:rsidRPr="0070388C" w:rsidRDefault="0070388C" w:rsidP="0070388C">
      <w:pPr>
        <w:pStyle w:val="ListParagraph"/>
        <w:numPr>
          <w:ilvl w:val="0"/>
          <w:numId w:val="11"/>
        </w:numPr>
        <w:rPr>
          <w:b/>
          <w:bCs/>
          <w:lang w:val="en-CA"/>
        </w:rPr>
      </w:pPr>
      <w:r>
        <w:rPr>
          <w:lang w:val="en-CA"/>
        </w:rPr>
        <w:t>Some helpful jurisprudence on correct but-for world</w:t>
      </w:r>
    </w:p>
    <w:p w14:paraId="241323D2" w14:textId="75CF4111" w:rsidR="00D13E6C" w:rsidRDefault="00D13E6C" w:rsidP="0070388C">
      <w:pPr>
        <w:pStyle w:val="ListParagraph"/>
        <w:numPr>
          <w:ilvl w:val="1"/>
          <w:numId w:val="11"/>
        </w:numPr>
        <w:rPr>
          <w:lang w:val="en-CA"/>
        </w:rPr>
      </w:pPr>
      <w:r>
        <w:rPr>
          <w:lang w:val="en-CA"/>
        </w:rPr>
        <w:t xml:space="preserve">Tervita CT: </w:t>
      </w:r>
      <w:r w:rsidRPr="00D13E6C">
        <w:rPr>
          <w:lang w:val="en-CA"/>
        </w:rPr>
        <w:t xml:space="preserve">The Tribunal's entire analysis of the "but-for" world involved determining what the Vendors of </w:t>
      </w:r>
      <w:proofErr w:type="spellStart"/>
      <w:r w:rsidRPr="00D13E6C">
        <w:rPr>
          <w:lang w:val="en-CA"/>
        </w:rPr>
        <w:t>Babkirk</w:t>
      </w:r>
      <w:proofErr w:type="spellEnd"/>
      <w:r w:rsidRPr="00D13E6C">
        <w:rPr>
          <w:lang w:val="en-CA"/>
        </w:rPr>
        <w:t xml:space="preserve"> would likely have done with the </w:t>
      </w:r>
      <w:proofErr w:type="spellStart"/>
      <w:r w:rsidRPr="00D13E6C">
        <w:rPr>
          <w:lang w:val="en-CA"/>
        </w:rPr>
        <w:t>Babkirk</w:t>
      </w:r>
      <w:proofErr w:type="spellEnd"/>
      <w:r w:rsidRPr="00D13E6C">
        <w:rPr>
          <w:lang w:val="en-CA"/>
        </w:rPr>
        <w:t xml:space="preserve"> facility if CCS had not acquired it (e.g., operate it themselves, sell to another party like SES)</w:t>
      </w:r>
    </w:p>
    <w:p w14:paraId="54F41DCB" w14:textId="4F2A2D53" w:rsidR="0070388C" w:rsidRDefault="0070388C" w:rsidP="0070388C">
      <w:pPr>
        <w:pStyle w:val="ListParagraph"/>
        <w:numPr>
          <w:ilvl w:val="1"/>
          <w:numId w:val="11"/>
        </w:numPr>
        <w:rPr>
          <w:lang w:val="en-CA"/>
        </w:rPr>
      </w:pPr>
      <w:r w:rsidRPr="0070388C">
        <w:rPr>
          <w:lang w:val="en-CA"/>
        </w:rPr>
        <w:t>Tervita SCC</w:t>
      </w:r>
      <w:r>
        <w:rPr>
          <w:lang w:val="en-CA"/>
        </w:rPr>
        <w:t xml:space="preserve">: </w:t>
      </w:r>
      <w:r w:rsidR="00FD5167">
        <w:rPr>
          <w:lang w:val="en-CA"/>
        </w:rPr>
        <w:t>Granted this is a different part of the act, but t</w:t>
      </w:r>
      <w:r w:rsidRPr="0070388C">
        <w:rPr>
          <w:lang w:val="en-CA"/>
        </w:rPr>
        <w:t>he Supreme Court explicitly endorsed the "but-for" test as the appropriate analytical framework under section 92 of the Competition Act. The exercise "involves comparing the state of competition if the merger proceeds with the state of competition that is likely to prevail ‘but for’ the merger" (para 50-51). The ultimate question is whether the merged entity is "likely to be able to exercise materially greater market power than in the absence of the merger" (para 54).</w:t>
      </w:r>
    </w:p>
    <w:p w14:paraId="3F884843" w14:textId="0B1ADCF0" w:rsidR="00D13E6C" w:rsidRDefault="00D13E6C" w:rsidP="00D13E6C">
      <w:pPr>
        <w:pStyle w:val="ListParagraph"/>
        <w:numPr>
          <w:ilvl w:val="2"/>
          <w:numId w:val="11"/>
        </w:numPr>
        <w:rPr>
          <w:lang w:val="en-CA"/>
        </w:rPr>
      </w:pPr>
      <w:r>
        <w:rPr>
          <w:lang w:val="en-CA"/>
        </w:rPr>
        <w:t>Note that Tervita SCC also agrees with the ability of the Tribunal to look at likely future actions:</w:t>
      </w:r>
    </w:p>
    <w:p w14:paraId="38D74C20" w14:textId="1BEF183C" w:rsidR="00D13E6C" w:rsidRPr="00D13E6C" w:rsidRDefault="00D13E6C" w:rsidP="00156C78">
      <w:pPr>
        <w:pStyle w:val="ListParagraph"/>
        <w:numPr>
          <w:ilvl w:val="3"/>
          <w:numId w:val="11"/>
        </w:numPr>
        <w:rPr>
          <w:lang w:val="en-CA"/>
        </w:rPr>
      </w:pPr>
      <w:r w:rsidRPr="00D13E6C">
        <w:rPr>
          <w:lang w:val="en-CA"/>
        </w:rPr>
        <w:t>[57] Tervita seeks clarity as to the appropriate legal</w:t>
      </w:r>
      <w:r w:rsidRPr="00D13E6C">
        <w:rPr>
          <w:lang w:val="en-CA"/>
        </w:rPr>
        <w:t xml:space="preserve"> </w:t>
      </w:r>
      <w:r w:rsidRPr="00D13E6C">
        <w:rPr>
          <w:lang w:val="en-CA"/>
        </w:rPr>
        <w:t>test under the “prevention” branch. In Tervita’s</w:t>
      </w:r>
      <w:r w:rsidRPr="00D13E6C">
        <w:rPr>
          <w:lang w:val="en-CA"/>
        </w:rPr>
        <w:t xml:space="preserve"> </w:t>
      </w:r>
      <w:r w:rsidRPr="00D13E6C">
        <w:rPr>
          <w:lang w:val="en-CA"/>
        </w:rPr>
        <w:t>view, the “Tribunal erred in its application of the</w:t>
      </w:r>
      <w:r w:rsidRPr="00D13E6C">
        <w:rPr>
          <w:lang w:val="en-CA"/>
        </w:rPr>
        <w:t xml:space="preserve"> </w:t>
      </w:r>
      <w:r w:rsidRPr="00D13E6C">
        <w:rPr>
          <w:lang w:val="en-CA"/>
        </w:rPr>
        <w:t>legal</w:t>
      </w:r>
      <w:r w:rsidRPr="00D13E6C">
        <w:rPr>
          <w:lang w:val="en-CA"/>
        </w:rPr>
        <w:t xml:space="preserve"> </w:t>
      </w:r>
      <w:r w:rsidRPr="00D13E6C">
        <w:rPr>
          <w:lang w:val="en-CA"/>
        </w:rPr>
        <w:t>test for a substantial prevention of competition”</w:t>
      </w:r>
      <w:r w:rsidRPr="00D13E6C">
        <w:rPr>
          <w:lang w:val="en-CA"/>
        </w:rPr>
        <w:t xml:space="preserve"> </w:t>
      </w:r>
      <w:r w:rsidRPr="00D13E6C">
        <w:rPr>
          <w:lang w:val="en-CA"/>
        </w:rPr>
        <w:t>(A.F., at para. 59). Tervita argues that “the</w:t>
      </w:r>
      <w:r w:rsidRPr="00D13E6C">
        <w:rPr>
          <w:lang w:val="en-CA"/>
        </w:rPr>
        <w:t xml:space="preserve"> </w:t>
      </w:r>
      <w:r w:rsidRPr="00D13E6C">
        <w:rPr>
          <w:lang w:val="en-CA"/>
        </w:rPr>
        <w:t>Act requires</w:t>
      </w:r>
      <w:r w:rsidRPr="00D13E6C">
        <w:rPr>
          <w:lang w:val="en-CA"/>
        </w:rPr>
        <w:t xml:space="preserve"> </w:t>
      </w:r>
      <w:r w:rsidRPr="00D13E6C">
        <w:rPr>
          <w:lang w:val="en-CA"/>
        </w:rPr>
        <w:t>that the Tribunal focus its analysis on</w:t>
      </w:r>
      <w:r w:rsidRPr="00D13E6C">
        <w:rPr>
          <w:lang w:val="en-CA"/>
        </w:rPr>
        <w:t xml:space="preserve"> </w:t>
      </w:r>
      <w:r w:rsidRPr="00D13E6C">
        <w:rPr>
          <w:lang w:val="en-CA"/>
        </w:rPr>
        <w:t>the merger under review” (ibid.). Tervita acknowledges</w:t>
      </w:r>
      <w:r w:rsidRPr="00D13E6C">
        <w:rPr>
          <w:lang w:val="en-CA"/>
        </w:rPr>
        <w:t xml:space="preserve"> </w:t>
      </w:r>
      <w:r w:rsidRPr="00D13E6C">
        <w:rPr>
          <w:lang w:val="en-CA"/>
        </w:rPr>
        <w:t xml:space="preserve">that s. 92 does involve a forward-looking </w:t>
      </w:r>
      <w:proofErr w:type="gramStart"/>
      <w:r w:rsidRPr="00D13E6C">
        <w:rPr>
          <w:lang w:val="en-CA"/>
        </w:rPr>
        <w:t>approach,</w:t>
      </w:r>
      <w:r w:rsidRPr="00D13E6C">
        <w:rPr>
          <w:lang w:val="en-CA"/>
        </w:rPr>
        <w:t xml:space="preserve"> </w:t>
      </w:r>
      <w:r w:rsidRPr="00D13E6C">
        <w:rPr>
          <w:lang w:val="en-CA"/>
        </w:rPr>
        <w:t>but</w:t>
      </w:r>
      <w:proofErr w:type="gramEnd"/>
      <w:r w:rsidRPr="00D13E6C">
        <w:rPr>
          <w:lang w:val="en-CA"/>
        </w:rPr>
        <w:t xml:space="preserve"> submits that what should be projected</w:t>
      </w:r>
      <w:r w:rsidRPr="00D13E6C">
        <w:rPr>
          <w:lang w:val="en-CA"/>
        </w:rPr>
        <w:t xml:space="preserve"> </w:t>
      </w:r>
      <w:r w:rsidRPr="00D13E6C">
        <w:rPr>
          <w:lang w:val="en-CA"/>
        </w:rPr>
        <w:t>into the future</w:t>
      </w:r>
      <w:r w:rsidRPr="00D13E6C">
        <w:rPr>
          <w:lang w:val="en-CA"/>
        </w:rPr>
        <w:t xml:space="preserve"> </w:t>
      </w:r>
      <w:r w:rsidRPr="00D13E6C">
        <w:rPr>
          <w:lang w:val="en-CA"/>
        </w:rPr>
        <w:t>is the merging parties as they are,</w:t>
      </w:r>
      <w:r w:rsidRPr="00D13E6C">
        <w:rPr>
          <w:lang w:val="en-CA"/>
        </w:rPr>
        <w:t xml:space="preserve"> </w:t>
      </w:r>
      <w:r w:rsidRPr="00D13E6C">
        <w:rPr>
          <w:lang w:val="en-CA"/>
        </w:rPr>
        <w:t>with their assets,</w:t>
      </w:r>
      <w:r w:rsidRPr="00D13E6C">
        <w:rPr>
          <w:lang w:val="en-CA"/>
        </w:rPr>
        <w:t xml:space="preserve"> </w:t>
      </w:r>
      <w:r w:rsidRPr="00D13E6C">
        <w:rPr>
          <w:lang w:val="en-CA"/>
        </w:rPr>
        <w:t>plans and businesses at the time of</w:t>
      </w:r>
      <w:r w:rsidRPr="00D13E6C">
        <w:rPr>
          <w:lang w:val="en-CA"/>
        </w:rPr>
        <w:t xml:space="preserve"> </w:t>
      </w:r>
      <w:r w:rsidRPr="00D13E6C">
        <w:rPr>
          <w:lang w:val="en-CA"/>
        </w:rPr>
        <w:t>the merger. Tervita argues that the Act does not permit</w:t>
      </w:r>
      <w:r w:rsidRPr="00D13E6C">
        <w:rPr>
          <w:lang w:val="en-CA"/>
        </w:rPr>
        <w:t xml:space="preserve"> </w:t>
      </w:r>
      <w:r w:rsidRPr="00D13E6C">
        <w:rPr>
          <w:lang w:val="en-CA"/>
        </w:rPr>
        <w:t>the Tribunal to speculate, as it says it did in this</w:t>
      </w:r>
      <w:r w:rsidRPr="00D13E6C">
        <w:rPr>
          <w:lang w:val="en-CA"/>
        </w:rPr>
        <w:t xml:space="preserve"> </w:t>
      </w:r>
      <w:r w:rsidRPr="00D13E6C">
        <w:rPr>
          <w:lang w:val="en-CA"/>
        </w:rPr>
        <w:lastRenderedPageBreak/>
        <w:t>case, and that its “fundamental error” is that it focused</w:t>
      </w:r>
      <w:r w:rsidRPr="00D13E6C">
        <w:rPr>
          <w:lang w:val="en-CA"/>
        </w:rPr>
        <w:t xml:space="preserve"> </w:t>
      </w:r>
      <w:r w:rsidRPr="00D13E6C">
        <w:rPr>
          <w:lang w:val="en-CA"/>
        </w:rPr>
        <w:t>“not on the merger between Tervita and [the</w:t>
      </w:r>
      <w:r w:rsidRPr="00D13E6C">
        <w:rPr>
          <w:lang w:val="en-CA"/>
        </w:rPr>
        <w:t xml:space="preserve"> </w:t>
      </w:r>
      <w:r w:rsidRPr="00D13E6C">
        <w:rPr>
          <w:lang w:val="en-CA"/>
        </w:rPr>
        <w:t>Vendors], but rather on how competition might have</w:t>
      </w:r>
      <w:r w:rsidRPr="00D13E6C">
        <w:rPr>
          <w:lang w:val="en-CA"/>
        </w:rPr>
        <w:t xml:space="preserve"> </w:t>
      </w:r>
      <w:r w:rsidRPr="00D13E6C">
        <w:rPr>
          <w:lang w:val="en-CA"/>
        </w:rPr>
        <w:t>developed looking years into the future” (A.F., at</w:t>
      </w:r>
      <w:r>
        <w:rPr>
          <w:lang w:val="en-CA"/>
        </w:rPr>
        <w:t xml:space="preserve"> </w:t>
      </w:r>
      <w:r w:rsidRPr="00D13E6C">
        <w:rPr>
          <w:lang w:val="en-CA"/>
        </w:rPr>
        <w:t>para. 71).</w:t>
      </w:r>
    </w:p>
    <w:p w14:paraId="65B547E0" w14:textId="425CB753" w:rsidR="00D13E6C" w:rsidRDefault="00D13E6C" w:rsidP="00A34222">
      <w:pPr>
        <w:pStyle w:val="ListParagraph"/>
        <w:numPr>
          <w:ilvl w:val="3"/>
          <w:numId w:val="11"/>
        </w:numPr>
        <w:rPr>
          <w:lang w:val="en-CA"/>
        </w:rPr>
      </w:pPr>
      <w:r w:rsidRPr="00D13E6C">
        <w:rPr>
          <w:lang w:val="en-CA"/>
        </w:rPr>
        <w:t>[58] My understanding of Tervita’s argument is</w:t>
      </w:r>
      <w:r w:rsidRPr="00D13E6C">
        <w:rPr>
          <w:lang w:val="en-CA"/>
        </w:rPr>
        <w:t xml:space="preserve"> </w:t>
      </w:r>
      <w:r w:rsidRPr="00D13E6C">
        <w:rPr>
          <w:lang w:val="en-CA"/>
        </w:rPr>
        <w:t>that the wording of s. 92 essentially limits the inquiry</w:t>
      </w:r>
      <w:r w:rsidRPr="00D13E6C">
        <w:rPr>
          <w:lang w:val="en-CA"/>
        </w:rPr>
        <w:t xml:space="preserve"> </w:t>
      </w:r>
      <w:r w:rsidRPr="00D13E6C">
        <w:rPr>
          <w:lang w:val="en-CA"/>
        </w:rPr>
        <w:t xml:space="preserve">to whether the </w:t>
      </w:r>
      <w:proofErr w:type="spellStart"/>
      <w:r w:rsidRPr="00D13E6C">
        <w:rPr>
          <w:lang w:val="en-CA"/>
        </w:rPr>
        <w:t>Babkirk</w:t>
      </w:r>
      <w:proofErr w:type="spellEnd"/>
      <w:r w:rsidRPr="00D13E6C">
        <w:rPr>
          <w:lang w:val="en-CA"/>
        </w:rPr>
        <w:t xml:space="preserve"> site was a viable competitive</w:t>
      </w:r>
      <w:r w:rsidRPr="00D13E6C">
        <w:rPr>
          <w:lang w:val="en-CA"/>
        </w:rPr>
        <w:t xml:space="preserve"> </w:t>
      </w:r>
      <w:r w:rsidRPr="00D13E6C">
        <w:rPr>
          <w:lang w:val="en-CA"/>
        </w:rPr>
        <w:t>entrant into the secure landfill market at the</w:t>
      </w:r>
      <w:r w:rsidRPr="00D13E6C">
        <w:rPr>
          <w:lang w:val="en-CA"/>
        </w:rPr>
        <w:t xml:space="preserve"> </w:t>
      </w:r>
      <w:r w:rsidRPr="00D13E6C">
        <w:rPr>
          <w:lang w:val="en-CA"/>
        </w:rPr>
        <w:t xml:space="preserve">time it was acquired by Tervita. That is, </w:t>
      </w:r>
      <w:proofErr w:type="gramStart"/>
      <w:r w:rsidRPr="00D13E6C">
        <w:rPr>
          <w:lang w:val="en-CA"/>
        </w:rPr>
        <w:t>in order to</w:t>
      </w:r>
      <w:proofErr w:type="gramEnd"/>
      <w:r w:rsidRPr="00D13E6C">
        <w:rPr>
          <w:lang w:val="en-CA"/>
        </w:rPr>
        <w:t xml:space="preserve"> </w:t>
      </w:r>
      <w:r w:rsidRPr="00D13E6C">
        <w:rPr>
          <w:lang w:val="en-CA"/>
        </w:rPr>
        <w:t>establish</w:t>
      </w:r>
      <w:r w:rsidRPr="00D13E6C">
        <w:rPr>
          <w:lang w:val="en-CA"/>
        </w:rPr>
        <w:t xml:space="preserve"> </w:t>
      </w:r>
      <w:r w:rsidRPr="00D13E6C">
        <w:rPr>
          <w:lang w:val="en-CA"/>
        </w:rPr>
        <w:t>that the merger is likely to substantially</w:t>
      </w:r>
      <w:r w:rsidRPr="00D13E6C">
        <w:rPr>
          <w:lang w:val="en-CA"/>
        </w:rPr>
        <w:t xml:space="preserve"> </w:t>
      </w:r>
      <w:r w:rsidRPr="00D13E6C">
        <w:rPr>
          <w:lang w:val="en-CA"/>
        </w:rPr>
        <w:t>prevent</w:t>
      </w:r>
      <w:r w:rsidRPr="00D13E6C">
        <w:rPr>
          <w:lang w:val="en-CA"/>
        </w:rPr>
        <w:t xml:space="preserve"> </w:t>
      </w:r>
      <w:r w:rsidRPr="00D13E6C">
        <w:rPr>
          <w:lang w:val="en-CA"/>
        </w:rPr>
        <w:t>competition, a party to the merger must be a</w:t>
      </w:r>
      <w:r w:rsidRPr="00D13E6C">
        <w:rPr>
          <w:lang w:val="en-CA"/>
        </w:rPr>
        <w:t xml:space="preserve"> </w:t>
      </w:r>
      <w:r w:rsidRPr="00D13E6C">
        <w:rPr>
          <w:lang w:val="en-CA"/>
        </w:rPr>
        <w:t>potential</w:t>
      </w:r>
      <w:r w:rsidRPr="00D13E6C">
        <w:rPr>
          <w:lang w:val="en-CA"/>
        </w:rPr>
        <w:t xml:space="preserve"> </w:t>
      </w:r>
      <w:r w:rsidRPr="00D13E6C">
        <w:rPr>
          <w:lang w:val="en-CA"/>
        </w:rPr>
        <w:t>competitor based on the assets, plans and</w:t>
      </w:r>
      <w:r w:rsidRPr="00D13E6C">
        <w:rPr>
          <w:lang w:val="en-CA"/>
        </w:rPr>
        <w:t xml:space="preserve"> </w:t>
      </w:r>
      <w:r w:rsidRPr="00D13E6C">
        <w:rPr>
          <w:lang w:val="en-CA"/>
        </w:rPr>
        <w:t>businesses</w:t>
      </w:r>
      <w:r>
        <w:rPr>
          <w:lang w:val="en-CA"/>
        </w:rPr>
        <w:t xml:space="preserve"> </w:t>
      </w:r>
      <w:r w:rsidRPr="00D13E6C">
        <w:rPr>
          <w:lang w:val="en-CA"/>
        </w:rPr>
        <w:t>of the party at the time of the merger</w:t>
      </w:r>
    </w:p>
    <w:p w14:paraId="514E375E" w14:textId="76E71572" w:rsidR="00D13E6C" w:rsidRPr="00D13E6C" w:rsidRDefault="00D13E6C" w:rsidP="009D0230">
      <w:pPr>
        <w:pStyle w:val="ListParagraph"/>
        <w:numPr>
          <w:ilvl w:val="3"/>
          <w:numId w:val="11"/>
        </w:numPr>
        <w:rPr>
          <w:lang w:val="en-CA"/>
        </w:rPr>
      </w:pPr>
      <w:r w:rsidRPr="00D13E6C">
        <w:rPr>
          <w:lang w:val="en-CA"/>
        </w:rPr>
        <w:t>[59] For the reasons that follow, I am unable to</w:t>
      </w:r>
      <w:r>
        <w:rPr>
          <w:lang w:val="en-CA"/>
        </w:rPr>
        <w:t xml:space="preserve"> </w:t>
      </w:r>
      <w:r w:rsidRPr="00D13E6C">
        <w:rPr>
          <w:lang w:val="en-CA"/>
        </w:rPr>
        <w:t>agree with Tervita</w:t>
      </w:r>
    </w:p>
    <w:p w14:paraId="2C69DB69" w14:textId="53453298" w:rsidR="0070388C" w:rsidRPr="0070388C" w:rsidRDefault="0070388C" w:rsidP="007917B0">
      <w:pPr>
        <w:pStyle w:val="ListParagraph"/>
        <w:numPr>
          <w:ilvl w:val="1"/>
          <w:numId w:val="11"/>
        </w:numPr>
        <w:rPr>
          <w:lang w:val="en-CA"/>
        </w:rPr>
      </w:pPr>
      <w:r w:rsidRPr="0070388C">
        <w:rPr>
          <w:lang w:val="en-CA"/>
        </w:rPr>
        <w:t xml:space="preserve">Canada Pipe, in an abuse case, the FCA </w:t>
      </w:r>
      <w:r w:rsidRPr="0070388C">
        <w:rPr>
          <w:lang w:val="en-CA"/>
        </w:rPr>
        <w:t>employed a “but for” test to</w:t>
      </w:r>
      <w:r w:rsidRPr="0070388C">
        <w:rPr>
          <w:lang w:val="en-CA"/>
        </w:rPr>
        <w:t xml:space="preserve"> </w:t>
      </w:r>
      <w:r w:rsidRPr="0070388C">
        <w:rPr>
          <w:lang w:val="en-CA"/>
        </w:rPr>
        <w:t>conduct the inquiry</w:t>
      </w:r>
      <w:r w:rsidRPr="0070388C">
        <w:rPr>
          <w:lang w:val="en-CA"/>
        </w:rPr>
        <w:t>. T</w:t>
      </w:r>
      <w:r w:rsidRPr="0070388C">
        <w:rPr>
          <w:lang w:val="en-CA"/>
        </w:rPr>
        <w:t>he Tribunal must compare the level of competitiveness</w:t>
      </w:r>
      <w:r w:rsidRPr="0070388C">
        <w:rPr>
          <w:lang w:val="en-CA"/>
        </w:rPr>
        <w:t xml:space="preserve"> </w:t>
      </w:r>
      <w:r w:rsidRPr="0070388C">
        <w:rPr>
          <w:lang w:val="en-CA"/>
        </w:rPr>
        <w:t>in the presence of the impugned practice with that</w:t>
      </w:r>
      <w:r w:rsidRPr="0070388C">
        <w:rPr>
          <w:lang w:val="en-CA"/>
        </w:rPr>
        <w:t xml:space="preserve"> </w:t>
      </w:r>
      <w:r w:rsidRPr="0070388C">
        <w:rPr>
          <w:lang w:val="en-CA"/>
        </w:rPr>
        <w:t>which would exist in the absence of the practice, and then</w:t>
      </w:r>
      <w:r w:rsidRPr="0070388C">
        <w:rPr>
          <w:lang w:val="en-CA"/>
        </w:rPr>
        <w:t xml:space="preserve"> </w:t>
      </w:r>
      <w:r w:rsidRPr="0070388C">
        <w:rPr>
          <w:lang w:val="en-CA"/>
        </w:rPr>
        <w:t>determine</w:t>
      </w:r>
      <w:r w:rsidRPr="0070388C">
        <w:rPr>
          <w:lang w:val="en-CA"/>
        </w:rPr>
        <w:t xml:space="preserve"> </w:t>
      </w:r>
      <w:r w:rsidRPr="0070388C">
        <w:rPr>
          <w:lang w:val="en-CA"/>
        </w:rPr>
        <w:t>whether the preventing or lessening of competition,</w:t>
      </w:r>
      <w:r>
        <w:rPr>
          <w:lang w:val="en-CA"/>
        </w:rPr>
        <w:t xml:space="preserve"> </w:t>
      </w:r>
      <w:r w:rsidRPr="0070388C">
        <w:rPr>
          <w:lang w:val="en-CA"/>
        </w:rPr>
        <w:t>if any, is “substantial</w:t>
      </w:r>
      <w:r>
        <w:rPr>
          <w:lang w:val="en-CA"/>
        </w:rPr>
        <w:t>”</w:t>
      </w:r>
    </w:p>
    <w:p w14:paraId="4B042794" w14:textId="54E1748A" w:rsidR="002B43E9" w:rsidRPr="007254FD" w:rsidRDefault="002B43E9" w:rsidP="002B43E9">
      <w:pPr>
        <w:rPr>
          <w:lang w:val="en-CA"/>
        </w:rPr>
      </w:pPr>
      <w:r w:rsidRPr="007254FD">
        <w:rPr>
          <w:lang w:val="en-CA"/>
        </w:rPr>
        <w:pict w14:anchorId="3A6C80A7">
          <v:rect id="_x0000_i1082" style="width:0;height:1.5pt" o:hralign="center" o:hrstd="t" o:hr="t" fillcolor="#a0a0a0" stroked="f"/>
        </w:pict>
      </w:r>
    </w:p>
    <w:p w14:paraId="359DC52C" w14:textId="2558E9C3" w:rsidR="007254FD" w:rsidRPr="007254FD" w:rsidRDefault="002B43E9" w:rsidP="007254FD">
      <w:pPr>
        <w:rPr>
          <w:b/>
          <w:bCs/>
          <w:lang w:val="en-CA"/>
        </w:rPr>
      </w:pPr>
      <w:r>
        <w:rPr>
          <w:b/>
          <w:bCs/>
          <w:lang w:val="en-CA"/>
        </w:rPr>
        <w:t>9</w:t>
      </w:r>
      <w:r w:rsidR="007254FD" w:rsidRPr="007254FD">
        <w:rPr>
          <w:b/>
          <w:bCs/>
          <w:lang w:val="en-CA"/>
        </w:rPr>
        <w:t xml:space="preserve">. </w:t>
      </w:r>
      <w:r w:rsidR="00730D5B">
        <w:rPr>
          <w:b/>
          <w:bCs/>
          <w:lang w:val="en-CA"/>
        </w:rPr>
        <w:t>Conclusion</w:t>
      </w:r>
    </w:p>
    <w:p w14:paraId="00A20945" w14:textId="4C4B4A51" w:rsidR="007254FD" w:rsidRPr="007254FD" w:rsidRDefault="00F172B9" w:rsidP="007254FD">
      <w:pPr>
        <w:rPr>
          <w:lang w:val="en-CA"/>
        </w:rPr>
      </w:pPr>
      <w:r>
        <w:rPr>
          <w:lang w:val="en-CA"/>
        </w:rPr>
        <w:t xml:space="preserve">Depending on what the appropriate but-for world is, the AMP ordered may be greater than, less than, or equal to the current methodology of the Tribunal. </w:t>
      </w:r>
      <w:r w:rsidR="00840B7E">
        <w:rPr>
          <w:lang w:val="en-CA"/>
        </w:rPr>
        <w:t>It seems to me, however, that a correct calculation of an AMP requires at least 1) establishing the correct but-for world in a drip pricing case, and 2) determining the price sensitivity of consumers.</w:t>
      </w:r>
    </w:p>
    <w:p w14:paraId="007B8D4A" w14:textId="77777777" w:rsidR="009A7AB3" w:rsidRDefault="009A7AB3"/>
    <w:sectPr w:rsidR="009A7A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A28A1" w14:textId="77777777" w:rsidR="003D26E6" w:rsidRDefault="003D26E6" w:rsidP="00B67AE9">
      <w:pPr>
        <w:spacing w:after="0" w:line="240" w:lineRule="auto"/>
      </w:pPr>
      <w:r>
        <w:separator/>
      </w:r>
    </w:p>
  </w:endnote>
  <w:endnote w:type="continuationSeparator" w:id="0">
    <w:p w14:paraId="237C2086" w14:textId="77777777" w:rsidR="003D26E6" w:rsidRDefault="003D26E6" w:rsidP="00B67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30A7E" w14:textId="77777777" w:rsidR="003D26E6" w:rsidRDefault="003D26E6" w:rsidP="00B67AE9">
      <w:pPr>
        <w:spacing w:after="0" w:line="240" w:lineRule="auto"/>
      </w:pPr>
      <w:r>
        <w:separator/>
      </w:r>
    </w:p>
  </w:footnote>
  <w:footnote w:type="continuationSeparator" w:id="0">
    <w:p w14:paraId="091CD832" w14:textId="77777777" w:rsidR="003D26E6" w:rsidRDefault="003D26E6" w:rsidP="00B67AE9">
      <w:pPr>
        <w:spacing w:after="0" w:line="240" w:lineRule="auto"/>
      </w:pPr>
      <w:r>
        <w:continuationSeparator/>
      </w:r>
    </w:p>
  </w:footnote>
  <w:footnote w:id="1">
    <w:p w14:paraId="12975958" w14:textId="05E96B86" w:rsidR="0029152B" w:rsidRPr="00B67AE9" w:rsidRDefault="0029152B" w:rsidP="0029152B">
      <w:pPr>
        <w:pStyle w:val="FootnoteText"/>
        <w:rPr>
          <w:lang w:val="en-CA"/>
        </w:rPr>
      </w:pPr>
      <w:r>
        <w:rPr>
          <w:rStyle w:val="FootnoteReference"/>
        </w:rPr>
        <w:footnoteRef/>
      </w:r>
      <w:r>
        <w:t xml:space="preserve"> </w:t>
      </w:r>
      <w:r>
        <w:rPr>
          <w:lang w:val="en-CA"/>
        </w:rPr>
        <w:t xml:space="preserve">I think </w:t>
      </w:r>
      <w:r>
        <w:rPr>
          <w:lang w:val="en-CA"/>
        </w:rPr>
        <w:t>previous research</w:t>
      </w:r>
      <w:r>
        <w:rPr>
          <w:lang w:val="en-CA"/>
        </w:rPr>
        <w:t xml:space="preserve"> suggest</w:t>
      </w:r>
      <w:r>
        <w:rPr>
          <w:lang w:val="en-CA"/>
        </w:rPr>
        <w:t>s</w:t>
      </w:r>
      <w:r>
        <w:rPr>
          <w:lang w:val="en-CA"/>
        </w:rPr>
        <w:t xml:space="preserve"> demand of movie tickets is elastic. </w:t>
      </w:r>
      <w:r w:rsidR="00BE721B">
        <w:rPr>
          <w:lang w:val="en-CA"/>
        </w:rPr>
        <w:t xml:space="preserve">We ignore this for the purpose of our example. </w:t>
      </w:r>
      <w:r>
        <w:rPr>
          <w:lang w:val="en-CA"/>
        </w:rPr>
        <w:t xml:space="preserve">See </w:t>
      </w:r>
      <w:hyperlink r:id="rId1" w:history="1">
        <w:r w:rsidRPr="00137609">
          <w:rPr>
            <w:rStyle w:val="Hyperlink"/>
            <w:lang w:val="en-CA"/>
          </w:rPr>
          <w:t>https://www.sciencedirect.com/science/article/abs/pii/S0167718714000174</w:t>
        </w:r>
      </w:hyperlink>
      <w:r>
        <w:rPr>
          <w:lang w:val="en-CA"/>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A1674"/>
    <w:multiLevelType w:val="multilevel"/>
    <w:tmpl w:val="1562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5683F"/>
    <w:multiLevelType w:val="multilevel"/>
    <w:tmpl w:val="1AAED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A72A6"/>
    <w:multiLevelType w:val="multilevel"/>
    <w:tmpl w:val="84BA5FA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8"/>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305442C1"/>
    <w:multiLevelType w:val="multilevel"/>
    <w:tmpl w:val="35FA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89265B"/>
    <w:multiLevelType w:val="multilevel"/>
    <w:tmpl w:val="8A729A16"/>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8F3E30"/>
    <w:multiLevelType w:val="multilevel"/>
    <w:tmpl w:val="04DA5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793D76"/>
    <w:multiLevelType w:val="multilevel"/>
    <w:tmpl w:val="3FE0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F64D57"/>
    <w:multiLevelType w:val="multilevel"/>
    <w:tmpl w:val="806C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317979"/>
    <w:multiLevelType w:val="hybridMultilevel"/>
    <w:tmpl w:val="D302AC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8C10ED4"/>
    <w:multiLevelType w:val="multilevel"/>
    <w:tmpl w:val="3C54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814EC0"/>
    <w:multiLevelType w:val="multilevel"/>
    <w:tmpl w:val="1C624C22"/>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9223061">
    <w:abstractNumId w:val="3"/>
  </w:num>
  <w:num w:numId="2" w16cid:durableId="1322268137">
    <w:abstractNumId w:val="5"/>
  </w:num>
  <w:num w:numId="3" w16cid:durableId="459962726">
    <w:abstractNumId w:val="9"/>
  </w:num>
  <w:num w:numId="4" w16cid:durableId="2105609147">
    <w:abstractNumId w:val="10"/>
  </w:num>
  <w:num w:numId="5" w16cid:durableId="1277641412">
    <w:abstractNumId w:val="7"/>
  </w:num>
  <w:num w:numId="6" w16cid:durableId="316807460">
    <w:abstractNumId w:val="1"/>
  </w:num>
  <w:num w:numId="7" w16cid:durableId="835262189">
    <w:abstractNumId w:val="4"/>
  </w:num>
  <w:num w:numId="8" w16cid:durableId="1525556903">
    <w:abstractNumId w:val="6"/>
  </w:num>
  <w:num w:numId="9" w16cid:durableId="1642954387">
    <w:abstractNumId w:val="0"/>
  </w:num>
  <w:num w:numId="10" w16cid:durableId="1552764955">
    <w:abstractNumId w:val="2"/>
  </w:num>
  <w:num w:numId="11" w16cid:durableId="16689722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4FD"/>
    <w:rsid w:val="00067CF9"/>
    <w:rsid w:val="001B78B7"/>
    <w:rsid w:val="001E5B78"/>
    <w:rsid w:val="00205090"/>
    <w:rsid w:val="00260764"/>
    <w:rsid w:val="0029152B"/>
    <w:rsid w:val="002A79C8"/>
    <w:rsid w:val="002B43E9"/>
    <w:rsid w:val="00331E7D"/>
    <w:rsid w:val="003D26E6"/>
    <w:rsid w:val="003E2F54"/>
    <w:rsid w:val="003F6592"/>
    <w:rsid w:val="00491643"/>
    <w:rsid w:val="004A4865"/>
    <w:rsid w:val="00502B6E"/>
    <w:rsid w:val="0051162D"/>
    <w:rsid w:val="005454C5"/>
    <w:rsid w:val="00546ED0"/>
    <w:rsid w:val="0056370D"/>
    <w:rsid w:val="005C24BB"/>
    <w:rsid w:val="00604396"/>
    <w:rsid w:val="006C082F"/>
    <w:rsid w:val="006C23B2"/>
    <w:rsid w:val="0070084B"/>
    <w:rsid w:val="0070388C"/>
    <w:rsid w:val="007254FD"/>
    <w:rsid w:val="00730D5B"/>
    <w:rsid w:val="0074181E"/>
    <w:rsid w:val="00840B7E"/>
    <w:rsid w:val="00867C24"/>
    <w:rsid w:val="009323B0"/>
    <w:rsid w:val="0094180C"/>
    <w:rsid w:val="00955655"/>
    <w:rsid w:val="00982151"/>
    <w:rsid w:val="00984BE1"/>
    <w:rsid w:val="009A7AB3"/>
    <w:rsid w:val="009F41A6"/>
    <w:rsid w:val="00B25489"/>
    <w:rsid w:val="00B43D85"/>
    <w:rsid w:val="00B67AE9"/>
    <w:rsid w:val="00BA4300"/>
    <w:rsid w:val="00BA5D30"/>
    <w:rsid w:val="00BD0F3F"/>
    <w:rsid w:val="00BE721B"/>
    <w:rsid w:val="00CB4752"/>
    <w:rsid w:val="00CF1FF3"/>
    <w:rsid w:val="00D13E6C"/>
    <w:rsid w:val="00D52B2C"/>
    <w:rsid w:val="00DD2774"/>
    <w:rsid w:val="00E232EF"/>
    <w:rsid w:val="00E75DEB"/>
    <w:rsid w:val="00E84937"/>
    <w:rsid w:val="00F172B9"/>
    <w:rsid w:val="00F22EE4"/>
    <w:rsid w:val="00F6653C"/>
    <w:rsid w:val="00FD5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7E9FE"/>
  <w15:chartTrackingRefBased/>
  <w15:docId w15:val="{327C58F4-968B-4AB5-BEEB-AC371A6A6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4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54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54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54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54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54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54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54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54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4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54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54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54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54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54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54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54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54FD"/>
    <w:rPr>
      <w:rFonts w:eastAsiaTheme="majorEastAsia" w:cstheme="majorBidi"/>
      <w:color w:val="272727" w:themeColor="text1" w:themeTint="D8"/>
    </w:rPr>
  </w:style>
  <w:style w:type="paragraph" w:styleId="Title">
    <w:name w:val="Title"/>
    <w:basedOn w:val="Normal"/>
    <w:next w:val="Normal"/>
    <w:link w:val="TitleChar"/>
    <w:uiPriority w:val="10"/>
    <w:qFormat/>
    <w:rsid w:val="007254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4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54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54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54FD"/>
    <w:pPr>
      <w:spacing w:before="160"/>
      <w:jc w:val="center"/>
    </w:pPr>
    <w:rPr>
      <w:i/>
      <w:iCs/>
      <w:color w:val="404040" w:themeColor="text1" w:themeTint="BF"/>
    </w:rPr>
  </w:style>
  <w:style w:type="character" w:customStyle="1" w:styleId="QuoteChar">
    <w:name w:val="Quote Char"/>
    <w:basedOn w:val="DefaultParagraphFont"/>
    <w:link w:val="Quote"/>
    <w:uiPriority w:val="29"/>
    <w:rsid w:val="007254FD"/>
    <w:rPr>
      <w:i/>
      <w:iCs/>
      <w:color w:val="404040" w:themeColor="text1" w:themeTint="BF"/>
    </w:rPr>
  </w:style>
  <w:style w:type="paragraph" w:styleId="ListParagraph">
    <w:name w:val="List Paragraph"/>
    <w:basedOn w:val="Normal"/>
    <w:uiPriority w:val="34"/>
    <w:qFormat/>
    <w:rsid w:val="007254FD"/>
    <w:pPr>
      <w:ind w:left="720"/>
      <w:contextualSpacing/>
    </w:pPr>
  </w:style>
  <w:style w:type="character" w:styleId="IntenseEmphasis">
    <w:name w:val="Intense Emphasis"/>
    <w:basedOn w:val="DefaultParagraphFont"/>
    <w:uiPriority w:val="21"/>
    <w:qFormat/>
    <w:rsid w:val="007254FD"/>
    <w:rPr>
      <w:i/>
      <w:iCs/>
      <w:color w:val="0F4761" w:themeColor="accent1" w:themeShade="BF"/>
    </w:rPr>
  </w:style>
  <w:style w:type="paragraph" w:styleId="IntenseQuote">
    <w:name w:val="Intense Quote"/>
    <w:basedOn w:val="Normal"/>
    <w:next w:val="Normal"/>
    <w:link w:val="IntenseQuoteChar"/>
    <w:uiPriority w:val="30"/>
    <w:qFormat/>
    <w:rsid w:val="007254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54FD"/>
    <w:rPr>
      <w:i/>
      <w:iCs/>
      <w:color w:val="0F4761" w:themeColor="accent1" w:themeShade="BF"/>
    </w:rPr>
  </w:style>
  <w:style w:type="character" w:styleId="IntenseReference">
    <w:name w:val="Intense Reference"/>
    <w:basedOn w:val="DefaultParagraphFont"/>
    <w:uiPriority w:val="32"/>
    <w:qFormat/>
    <w:rsid w:val="007254FD"/>
    <w:rPr>
      <w:b/>
      <w:bCs/>
      <w:smallCaps/>
      <w:color w:val="0F4761" w:themeColor="accent1" w:themeShade="BF"/>
      <w:spacing w:val="5"/>
    </w:rPr>
  </w:style>
  <w:style w:type="character" w:styleId="PlaceholderText">
    <w:name w:val="Placeholder Text"/>
    <w:basedOn w:val="DefaultParagraphFont"/>
    <w:uiPriority w:val="99"/>
    <w:semiHidden/>
    <w:rsid w:val="007254FD"/>
    <w:rPr>
      <w:color w:val="666666"/>
    </w:rPr>
  </w:style>
  <w:style w:type="paragraph" w:styleId="FootnoteText">
    <w:name w:val="footnote text"/>
    <w:basedOn w:val="Normal"/>
    <w:link w:val="FootnoteTextChar"/>
    <w:uiPriority w:val="99"/>
    <w:semiHidden/>
    <w:unhideWhenUsed/>
    <w:rsid w:val="00B67A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67AE9"/>
    <w:rPr>
      <w:sz w:val="20"/>
      <w:szCs w:val="20"/>
    </w:rPr>
  </w:style>
  <w:style w:type="character" w:styleId="FootnoteReference">
    <w:name w:val="footnote reference"/>
    <w:basedOn w:val="DefaultParagraphFont"/>
    <w:uiPriority w:val="99"/>
    <w:semiHidden/>
    <w:unhideWhenUsed/>
    <w:rsid w:val="00B67AE9"/>
    <w:rPr>
      <w:vertAlign w:val="superscript"/>
    </w:rPr>
  </w:style>
  <w:style w:type="character" w:styleId="Hyperlink">
    <w:name w:val="Hyperlink"/>
    <w:basedOn w:val="DefaultParagraphFont"/>
    <w:uiPriority w:val="99"/>
    <w:unhideWhenUsed/>
    <w:rsid w:val="00B67AE9"/>
    <w:rPr>
      <w:color w:val="467886" w:themeColor="hyperlink"/>
      <w:u w:val="single"/>
    </w:rPr>
  </w:style>
  <w:style w:type="character" w:styleId="UnresolvedMention">
    <w:name w:val="Unresolved Mention"/>
    <w:basedOn w:val="DefaultParagraphFont"/>
    <w:uiPriority w:val="99"/>
    <w:semiHidden/>
    <w:unhideWhenUsed/>
    <w:rsid w:val="00B67A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448021">
      <w:bodyDiv w:val="1"/>
      <w:marLeft w:val="0"/>
      <w:marRight w:val="0"/>
      <w:marTop w:val="0"/>
      <w:marBottom w:val="0"/>
      <w:divBdr>
        <w:top w:val="none" w:sz="0" w:space="0" w:color="auto"/>
        <w:left w:val="none" w:sz="0" w:space="0" w:color="auto"/>
        <w:bottom w:val="none" w:sz="0" w:space="0" w:color="auto"/>
        <w:right w:val="none" w:sz="0" w:space="0" w:color="auto"/>
      </w:divBdr>
      <w:divsChild>
        <w:div w:id="89544187">
          <w:marLeft w:val="0"/>
          <w:marRight w:val="0"/>
          <w:marTop w:val="0"/>
          <w:marBottom w:val="0"/>
          <w:divBdr>
            <w:top w:val="none" w:sz="0" w:space="0" w:color="auto"/>
            <w:left w:val="none" w:sz="0" w:space="0" w:color="auto"/>
            <w:bottom w:val="none" w:sz="0" w:space="0" w:color="auto"/>
            <w:right w:val="none" w:sz="0" w:space="0" w:color="auto"/>
          </w:divBdr>
          <w:divsChild>
            <w:div w:id="821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28174">
      <w:bodyDiv w:val="1"/>
      <w:marLeft w:val="0"/>
      <w:marRight w:val="0"/>
      <w:marTop w:val="0"/>
      <w:marBottom w:val="0"/>
      <w:divBdr>
        <w:top w:val="none" w:sz="0" w:space="0" w:color="auto"/>
        <w:left w:val="none" w:sz="0" w:space="0" w:color="auto"/>
        <w:bottom w:val="none" w:sz="0" w:space="0" w:color="auto"/>
        <w:right w:val="none" w:sz="0" w:space="0" w:color="auto"/>
      </w:divBdr>
      <w:divsChild>
        <w:div w:id="1989047913">
          <w:marLeft w:val="0"/>
          <w:marRight w:val="0"/>
          <w:marTop w:val="0"/>
          <w:marBottom w:val="0"/>
          <w:divBdr>
            <w:top w:val="none" w:sz="0" w:space="0" w:color="auto"/>
            <w:left w:val="none" w:sz="0" w:space="0" w:color="auto"/>
            <w:bottom w:val="none" w:sz="0" w:space="0" w:color="auto"/>
            <w:right w:val="none" w:sz="0" w:space="0" w:color="auto"/>
          </w:divBdr>
          <w:divsChild>
            <w:div w:id="188077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sciencedirect.com/science/article/abs/pii/S01677187140001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DDB0C-84BF-4ED4-95F8-2BA0FFFF0D76}">
  <ds:schemaRefs>
    <ds:schemaRef ds:uri="http://schemas.openxmlformats.org/officeDocument/2006/bibliography"/>
  </ds:schemaRefs>
</ds:datastoreItem>
</file>

<file path=docMetadata/LabelInfo.xml><?xml version="1.0" encoding="utf-8"?>
<clbl:labelList xmlns:clbl="http://schemas.microsoft.com/office/2020/mipLabelMetadata">
  <clbl:label id="{dffd51a4-5314-4c60-bce6-0affc34d9cd7}" enabled="1" method="Standard" siteId="{4a156c19-bc94-41ac-aacf-954686490869}" contentBits="0" removed="0"/>
</clbl:labelList>
</file>

<file path=docProps/app.xml><?xml version="1.0" encoding="utf-8"?>
<Properties xmlns="http://schemas.openxmlformats.org/officeDocument/2006/extended-properties" xmlns:vt="http://schemas.openxmlformats.org/officeDocument/2006/docPropsVTypes">
  <Template>Normal.dotm</Template>
  <TotalTime>673</TotalTime>
  <Pages>6</Pages>
  <Words>1579</Words>
  <Characters>9002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 Tirth</dc:creator>
  <cp:keywords/>
  <dc:description/>
  <cp:lastModifiedBy>Bhatt, Tirth</cp:lastModifiedBy>
  <cp:revision>28</cp:revision>
  <dcterms:created xsi:type="dcterms:W3CDTF">2025-05-09T13:53:00Z</dcterms:created>
  <dcterms:modified xsi:type="dcterms:W3CDTF">2025-05-10T01:07:00Z</dcterms:modified>
</cp:coreProperties>
</file>