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CFO Briefing — NSW Drought Fund: Initial Portfolio Recommendation</w:t>
      </w:r>
    </w:p>
    <w:p>
      <w:pPr>
        <w:pStyle w:val="Heading2"/>
      </w:pPr>
      <w:r>
        <w:t>Section 1: Recommendations</w:t>
      </w:r>
    </w:p>
    <w:p>
      <w:pPr>
        <w:spacing w:line="276" w:lineRule="auto"/>
      </w:pPr>
      <w:r>
        <w:rPr>
          <w:rFonts w:ascii="Calibri" w:hAnsi="Calibri"/>
          <w:sz w:val="24"/>
        </w:rPr>
        <w:t xml:space="preserve">Under a disinflationary base case (Australian CPI 2.7%, RBA easing 75–100 bps over 2026–27), we recommend </w:t>
      </w:r>
      <w:r>
        <w:rPr>
          <w:rFonts w:ascii="Calibri" w:hAnsi="Calibri"/>
          <w:b/>
          <w:sz w:val="24"/>
        </w:rPr>
        <w:t>18% STI / 22% MTG / 60% LTG</w:t>
      </w:r>
      <w:r>
        <w:rPr>
          <w:rFonts w:ascii="Calibri" w:hAnsi="Calibri"/>
          <w:sz w:val="24"/>
        </w:rPr>
        <w:t xml:space="preserve"> — tilting toward long-term growth to maximise real returns over the Fund's 10-year horizon. The optimised portfolio delivers a forecast </w:t>
      </w:r>
      <w:r>
        <w:rPr>
          <w:rFonts w:ascii="Calibri" w:hAnsi="Calibri"/>
          <w:b/>
          <w:sz w:val="24"/>
        </w:rPr>
        <w:t>4.86% p.a. net return at 7.71% risk</w:t>
      </w:r>
      <w:r>
        <w:rPr>
          <w:rFonts w:ascii="Calibri" w:hAnsi="Calibri"/>
          <w:sz w:val="24"/>
        </w:rPr>
        <w:t xml:space="preserve"> (Table 3).</w:t>
      </w:r>
    </w:p>
    <w:p>
      <w:pPr>
        <w:pStyle w:val="Heading2"/>
      </w:pPr>
      <w:r>
        <w:t>Section 2: Key Implications</w:t>
      </w:r>
    </w:p>
    <w:p>
      <w:pPr>
        <w:pStyle w:val="ListBullet"/>
        <w:spacing w:line="276" w:lineRule="auto"/>
      </w:pPr>
      <w:r>
        <w:rPr>
          <w:rFonts w:ascii="Calibri" w:hAnsi="Calibri"/>
          <w:b/>
          <w:sz w:val="24"/>
        </w:rPr>
        <w:t xml:space="preserve">Return vs hurdle: </w:t>
      </w:r>
      <w:r>
        <w:rPr>
          <w:rFonts w:ascii="Calibri" w:hAnsi="Calibri"/>
          <w:sz w:val="24"/>
        </w:rPr>
        <w:t>The 4.86% net return falls 34 bps short of the CPI + 2.5% hurdle (5.2%) under CMA v2 building-block assumptions. This reflects deliberately conservative equity forecasts (5.4–8.2% vs 9.8–11.5% historical; Table 1). Any equity outperformance relative to CMA v2 clears the hurdle; the 60% LTG tilt maximises that probability over the Fund's intergenerational investment horizon (RBA, 2026).</w:t>
      </w:r>
    </w:p>
    <w:p>
      <w:pPr>
        <w:pStyle w:val="ListBullet"/>
        <w:spacing w:line="276" w:lineRule="auto"/>
      </w:pPr>
      <w:r>
        <w:rPr>
          <w:rFonts w:ascii="Calibri" w:hAnsi="Calibri"/>
          <w:b/>
          <w:sz w:val="24"/>
        </w:rPr>
        <w:t xml:space="preserve">Liquidity: </w:t>
      </w:r>
      <w:r>
        <w:rPr>
          <w:rFonts w:ascii="Calibri" w:hAnsi="Calibri"/>
          <w:sz w:val="24"/>
        </w:rPr>
        <w:t>STI (18%) exceeds the 10%-within-12-months requirement; STI plus MTG (40%) exceeds the 25%-within-3-years threshold. Both mandates are satisfied with margin.</w:t>
      </w:r>
    </w:p>
    <w:p>
      <w:pPr>
        <w:pStyle w:val="ListBullet"/>
        <w:spacing w:line="276" w:lineRule="auto"/>
      </w:pPr>
      <w:r>
        <w:rPr>
          <w:rFonts w:ascii="Calibri" w:hAnsi="Calibri"/>
          <w:b/>
          <w:sz w:val="24"/>
        </w:rPr>
        <w:t xml:space="preserve">Risk appetite: </w:t>
      </w:r>
      <w:r>
        <w:rPr>
          <w:rFonts w:ascii="Calibri" w:hAnsi="Calibri"/>
          <w:sz w:val="24"/>
        </w:rPr>
        <w:t>Portfolio risk of 7.71% sits within the Board's moderate-high tolerance. STI anchors near-term volatility at 0.90%; LTG's 10-year horizon absorbs short-term drawdowns (Table 2).</w:t>
      </w:r>
    </w:p>
    <w:p>
      <w:pPr>
        <w:pStyle w:val="Heading2"/>
      </w:pPr>
      <w:r>
        <w:t>Section 3: Key Findings</w:t>
      </w:r>
    </w:p>
    <w:p>
      <w:pPr>
        <w:pStyle w:val="Heading3"/>
      </w:pPr>
      <w:r>
        <w:t>A. Macro Regime</w:t>
      </w:r>
    </w:p>
    <w:p>
      <w:pPr>
        <w:pStyle w:val="ListBullet"/>
        <w:spacing w:line="276" w:lineRule="auto"/>
      </w:pPr>
      <w:r>
        <w:rPr>
          <w:rFonts w:ascii="Calibri" w:hAnsi="Calibri"/>
          <w:b/>
          <w:sz w:val="24"/>
        </w:rPr>
        <w:t xml:space="preserve">Australia: </w:t>
      </w:r>
      <w:r>
        <w:rPr>
          <w:rFonts w:ascii="Calibri" w:hAnsi="Calibri"/>
          <w:sz w:val="24"/>
        </w:rPr>
        <w:t>CPI at 2.7% sits within the RBA's 2–3% target band. The anticipated easing cycle compresses bond yields — generating fixed-income capital gains — and reduces corporate borrowing costs, supporting equity valuations (RBA, 2026).</w:t>
      </w:r>
    </w:p>
    <w:p>
      <w:pPr>
        <w:pStyle w:val="ListBullet"/>
        <w:spacing w:line="276" w:lineRule="auto"/>
      </w:pPr>
      <w:r>
        <w:rPr>
          <w:rFonts w:ascii="Calibri" w:hAnsi="Calibri"/>
          <w:b/>
          <w:sz w:val="24"/>
        </w:rPr>
        <w:t xml:space="preserve">Global: </w:t>
      </w:r>
      <w:r>
        <w:rPr>
          <w:rFonts w:ascii="Calibri" w:hAnsi="Calibri"/>
          <w:sz w:val="24"/>
        </w:rPr>
        <w:t>US CPI at 2.3%; IMF projects global growth at 3.3% (IMF, 2026). AUD depreciation of ~5% YTD boosts unhedged global equity and infrastructure returns for AUD-based investors.</w:t>
      </w:r>
    </w:p>
    <w:p>
      <w:pPr>
        <w:pStyle w:val="Heading3"/>
      </w:pPr>
      <w:r>
        <w:t>B. Asset Class Outlook (NSWDF CMA v2, Building-Block)</w:t>
      </w:r>
    </w:p>
    <w:p>
      <w:pPr>
        <w:spacing w:line="276" w:lineRule="auto"/>
      </w:pPr>
      <w:r>
        <w:rPr>
          <w:rFonts w:ascii="Calibri" w:hAnsi="Calibri"/>
          <w:sz w:val="24"/>
        </w:rPr>
        <w:t>Fixed-income forecasts exceed 10-year history by 1.2–2.3 pp because 2026 starting yields sit above the decade average. Equity forecasts fall 2.4–5.3 pp below history due to elevated starting valuations compressing forward returns (Table 1). This asymmetry drives the conservative net-return estimate and motivates the LTG overweight to capture equity upside should valuations normalise.</w:t>
      </w:r>
    </w:p>
    <w:p>
      <w:pPr>
        <w:pStyle w:val="Heading3"/>
      </w:pPr>
      <w:r>
        <w:t>C. Unit Trust Construction</w:t>
      </w:r>
    </w:p>
    <w:p>
      <w:pPr>
        <w:pStyle w:val="ListBullet"/>
        <w:spacing w:line="276" w:lineRule="auto"/>
      </w:pPr>
      <w:r>
        <w:rPr>
          <w:rFonts w:ascii="Calibri" w:hAnsi="Calibri"/>
          <w:b/>
          <w:sz w:val="24"/>
        </w:rPr>
        <w:t xml:space="preserve">STI </w:t>
      </w:r>
      <w:r>
        <w:rPr>
          <w:rFonts w:ascii="Calibri" w:hAnsi="Calibri"/>
          <w:sz w:val="24"/>
        </w:rPr>
        <w:t>(50% cash / 50% short bonds → 3.57% net, 0.90% vol) is a pure liquidity vehicle.</w:t>
      </w:r>
    </w:p>
    <w:p>
      <w:pPr>
        <w:pStyle w:val="ListBullet"/>
        <w:spacing w:line="276" w:lineRule="auto"/>
      </w:pPr>
      <w:r>
        <w:rPr>
          <w:rFonts w:ascii="Calibri" w:hAnsi="Calibri"/>
          <w:b/>
          <w:sz w:val="24"/>
        </w:rPr>
        <w:t xml:space="preserve">MTG </w:t>
      </w:r>
      <w:r>
        <w:rPr>
          <w:rFonts w:ascii="Calibri" w:hAnsi="Calibri"/>
          <w:sz w:val="24"/>
        </w:rPr>
        <w:t>(45% equity / 35% FI → 4.67% net) balances growth and stability.</w:t>
      </w:r>
    </w:p>
    <w:p>
      <w:pPr>
        <w:pStyle w:val="ListBullet"/>
        <w:spacing w:line="276" w:lineRule="auto"/>
      </w:pPr>
      <w:r>
        <w:rPr>
          <w:rFonts w:ascii="Calibri" w:hAnsi="Calibri"/>
          <w:b/>
          <w:sz w:val="24"/>
        </w:rPr>
        <w:t xml:space="preserve">LTG </w:t>
      </w:r>
      <w:r>
        <w:rPr>
          <w:rFonts w:ascii="Calibri" w:hAnsi="Calibri"/>
          <w:sz w:val="24"/>
        </w:rPr>
        <w:t>(60% equities / 15% PE / 10% infrastructure → 5.31% net) overweights assets forecast to outperform under disinflation and rate easing (Table 2).</w:t>
      </w:r>
    </w:p>
    <w:p>
      <w:pPr>
        <w:pStyle w:val="Heading3"/>
      </w:pPr>
      <w:r>
        <w:t>D. Allocation Rationale</w:t>
      </w:r>
    </w:p>
    <w:p>
      <w:pPr>
        <w:spacing w:line="276" w:lineRule="auto"/>
      </w:pPr>
      <w:r>
        <w:rPr>
          <w:rFonts w:ascii="Calibri" w:hAnsi="Calibri"/>
          <w:sz w:val="24"/>
        </w:rPr>
        <w:t xml:space="preserve">0.18 × 3.57 + 0.22 × 4.67 + 0.60 × 5.31 = </w:t>
      </w:r>
      <w:r>
        <w:rPr>
          <w:rFonts w:ascii="Calibri" w:hAnsi="Calibri"/>
          <w:b/>
          <w:sz w:val="24"/>
        </w:rPr>
        <w:t>4.86% net</w:t>
      </w:r>
      <w:r>
        <w:rPr>
          <w:rFonts w:ascii="Calibri" w:hAnsi="Calibri"/>
          <w:sz w:val="24"/>
        </w:rPr>
        <w:t xml:space="preserve"> at 7.71% risk (Table 3). LTG maximises real returns; MTG provides growth-stability balance; STI buffers near-term obligations.</w:t>
      </w:r>
    </w:p>
    <w:p>
      <w:r>
        <w:br w:type="page"/>
      </w:r>
    </w:p>
    <w:p>
      <w:pPr>
        <w:pStyle w:val="Heading1"/>
      </w:pPr>
      <w:r>
        <w:t>Data Appendix</w:t>
      </w:r>
    </w:p>
    <w:p>
      <w:pPr>
        <w:pStyle w:val="Heading2"/>
      </w:pPr>
      <w:r>
        <w:t>Table 1: Asset Class Review</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118"/>
            <w:shd w:fill="1F3864"/>
          </w:tcPr>
          <w:p>
            <w:pPr>
              <w:spacing w:before="20" w:after="20" w:line="240" w:lineRule="exact"/>
              <w:jc w:val="center"/>
            </w:pPr>
            <w:r/>
            <w:r>
              <w:rPr>
                <w:rFonts w:ascii="Calibri" w:hAnsi="Calibri"/>
                <w:b/>
                <w:color w:val="FFFFFF"/>
                <w:sz w:val="18"/>
              </w:rPr>
              <w:t>Asset Class</w:t>
            </w:r>
          </w:p>
        </w:tc>
        <w:tc>
          <w:tcPr>
            <w:tcW w:type="dxa" w:w="1587"/>
            <w:shd w:fill="1F3864"/>
          </w:tcPr>
          <w:p>
            <w:pPr>
              <w:spacing w:before="20" w:after="20" w:line="240" w:lineRule="exact"/>
              <w:jc w:val="center"/>
            </w:pPr>
            <w:r/>
            <w:r>
              <w:rPr>
                <w:rFonts w:ascii="Calibri" w:hAnsi="Calibri"/>
                <w:b/>
                <w:color w:val="FFFFFF"/>
                <w:sz w:val="18"/>
              </w:rPr>
              <w:t>Historical Returns</w:t>
            </w:r>
          </w:p>
        </w:tc>
        <w:tc>
          <w:tcPr>
            <w:tcW w:type="dxa" w:w="1587"/>
            <w:shd w:fill="1F3864"/>
          </w:tcPr>
          <w:p>
            <w:pPr>
              <w:spacing w:before="20" w:after="20" w:line="240" w:lineRule="exact"/>
              <w:jc w:val="center"/>
            </w:pPr>
            <w:r/>
            <w:r>
              <w:rPr>
                <w:rFonts w:ascii="Calibri" w:hAnsi="Calibri"/>
                <w:b/>
                <w:color w:val="FFFFFF"/>
                <w:sz w:val="18"/>
              </w:rPr>
              <w:t>Forecast Returns</w:t>
            </w:r>
          </w:p>
        </w:tc>
        <w:tc>
          <w:tcPr>
            <w:tcW w:type="dxa" w:w="1247"/>
            <w:shd w:fill="1F3864"/>
          </w:tcPr>
          <w:p>
            <w:pPr>
              <w:spacing w:before="20" w:after="20" w:line="240" w:lineRule="exact"/>
              <w:jc w:val="center"/>
            </w:pPr>
            <w:r/>
            <w:r>
              <w:rPr>
                <w:rFonts w:ascii="Calibri" w:hAnsi="Calibri"/>
                <w:b/>
                <w:color w:val="FFFFFF"/>
                <w:sz w:val="18"/>
              </w:rPr>
              <w:t>Difference</w:t>
            </w:r>
          </w:p>
        </w:tc>
        <w:tc>
          <w:tcPr>
            <w:tcW w:type="dxa" w:w="1361"/>
            <w:shd w:fill="1F3864"/>
          </w:tcPr>
          <w:p>
            <w:pPr>
              <w:spacing w:before="20" w:after="20" w:line="240" w:lineRule="exact"/>
              <w:jc w:val="center"/>
            </w:pPr>
            <w:r/>
            <w:r>
              <w:rPr>
                <w:rFonts w:ascii="Calibri" w:hAnsi="Calibri"/>
                <w:b/>
                <w:color w:val="FFFFFF"/>
                <w:sz w:val="18"/>
              </w:rPr>
              <w:t>Historical Risk</w:t>
            </w:r>
          </w:p>
        </w:tc>
      </w:tr>
      <w:tr>
        <w:tc>
          <w:tcPr>
            <w:tcW w:type="dxa" w:w="3118"/>
          </w:tcPr>
          <w:p>
            <w:pPr>
              <w:spacing w:before="20" w:after="20" w:line="240" w:lineRule="exact"/>
            </w:pPr>
            <w:r/>
            <w:r>
              <w:rPr>
                <w:rFonts w:ascii="Calibri" w:hAnsi="Calibri"/>
                <w:b w:val="0"/>
                <w:sz w:val="18"/>
              </w:rPr>
              <w:t>Cash</w:t>
            </w:r>
          </w:p>
        </w:tc>
        <w:tc>
          <w:tcPr>
            <w:tcW w:type="dxa" w:w="1587"/>
          </w:tcPr>
          <w:p>
            <w:pPr>
              <w:spacing w:before="20" w:after="20" w:line="240" w:lineRule="exact"/>
              <w:jc w:val="center"/>
            </w:pPr>
            <w:r/>
            <w:r>
              <w:rPr>
                <w:rFonts w:ascii="Calibri" w:hAnsi="Calibri"/>
                <w:b w:val="0"/>
                <w:sz w:val="18"/>
              </w:rPr>
              <w:t>2.14%</w:t>
            </w:r>
          </w:p>
        </w:tc>
        <w:tc>
          <w:tcPr>
            <w:tcW w:type="dxa" w:w="1587"/>
          </w:tcPr>
          <w:p>
            <w:pPr>
              <w:spacing w:before="20" w:after="20" w:line="240" w:lineRule="exact"/>
              <w:jc w:val="center"/>
            </w:pPr>
            <w:r/>
            <w:r>
              <w:rPr>
                <w:rFonts w:ascii="Calibri" w:hAnsi="Calibri"/>
                <w:b w:val="0"/>
                <w:sz w:val="18"/>
              </w:rPr>
              <w:t>3.35%</w:t>
            </w:r>
          </w:p>
        </w:tc>
        <w:tc>
          <w:tcPr>
            <w:tcW w:type="dxa" w:w="1247"/>
          </w:tcPr>
          <w:p>
            <w:pPr>
              <w:spacing w:before="20" w:after="20" w:line="240" w:lineRule="exact"/>
              <w:jc w:val="center"/>
            </w:pPr>
            <w:r/>
            <w:r>
              <w:rPr>
                <w:rFonts w:ascii="Calibri" w:hAnsi="Calibri"/>
                <w:b w:val="0"/>
                <w:sz w:val="18"/>
              </w:rPr>
              <w:t>+1.21%</w:t>
            </w:r>
          </w:p>
        </w:tc>
        <w:tc>
          <w:tcPr>
            <w:tcW w:type="dxa" w:w="1361"/>
          </w:tcPr>
          <w:p>
            <w:pPr>
              <w:spacing w:before="20" w:after="20" w:line="240" w:lineRule="exact"/>
              <w:jc w:val="center"/>
            </w:pPr>
            <w:r/>
            <w:r>
              <w:rPr>
                <w:rFonts w:ascii="Calibri" w:hAnsi="Calibri"/>
                <w:b w:val="0"/>
                <w:sz w:val="18"/>
              </w:rPr>
              <w:t>0.43%</w:t>
            </w:r>
          </w:p>
        </w:tc>
      </w:tr>
      <w:tr>
        <w:tc>
          <w:tcPr>
            <w:tcW w:type="dxa" w:w="3118"/>
            <w:shd w:fill="D6E4F0"/>
          </w:tcPr>
          <w:p>
            <w:pPr>
              <w:spacing w:before="20" w:after="20" w:line="240" w:lineRule="exact"/>
            </w:pPr>
            <w:r/>
            <w:r>
              <w:rPr>
                <w:rFonts w:ascii="Calibri" w:hAnsi="Calibri"/>
                <w:b w:val="0"/>
                <w:sz w:val="18"/>
              </w:rPr>
              <w:t>Australian Short Duration Bond</w:t>
            </w:r>
          </w:p>
        </w:tc>
        <w:tc>
          <w:tcPr>
            <w:tcW w:type="dxa" w:w="1587"/>
            <w:shd w:fill="D6E4F0"/>
          </w:tcPr>
          <w:p>
            <w:pPr>
              <w:spacing w:before="20" w:after="20" w:line="240" w:lineRule="exact"/>
              <w:jc w:val="center"/>
            </w:pPr>
            <w:r/>
            <w:r>
              <w:rPr>
                <w:rFonts w:ascii="Calibri" w:hAnsi="Calibri"/>
                <w:b w:val="0"/>
                <w:sz w:val="18"/>
              </w:rPr>
              <w:t>2.79%</w:t>
            </w:r>
          </w:p>
        </w:tc>
        <w:tc>
          <w:tcPr>
            <w:tcW w:type="dxa" w:w="1587"/>
            <w:shd w:fill="D6E4F0"/>
          </w:tcPr>
          <w:p>
            <w:pPr>
              <w:spacing w:before="20" w:after="20" w:line="240" w:lineRule="exact"/>
              <w:jc w:val="center"/>
            </w:pPr>
            <w:r/>
            <w:r>
              <w:rPr>
                <w:rFonts w:ascii="Calibri" w:hAnsi="Calibri"/>
                <w:b w:val="0"/>
                <w:sz w:val="18"/>
              </w:rPr>
              <w:t>4.15%</w:t>
            </w:r>
          </w:p>
        </w:tc>
        <w:tc>
          <w:tcPr>
            <w:tcW w:type="dxa" w:w="1247"/>
            <w:shd w:fill="D6E4F0"/>
          </w:tcPr>
          <w:p>
            <w:pPr>
              <w:spacing w:before="20" w:after="20" w:line="240" w:lineRule="exact"/>
              <w:jc w:val="center"/>
            </w:pPr>
            <w:r/>
            <w:r>
              <w:rPr>
                <w:rFonts w:ascii="Calibri" w:hAnsi="Calibri"/>
                <w:b w:val="0"/>
                <w:sz w:val="18"/>
              </w:rPr>
              <w:t>+1.36%</w:t>
            </w:r>
          </w:p>
        </w:tc>
        <w:tc>
          <w:tcPr>
            <w:tcW w:type="dxa" w:w="1361"/>
            <w:shd w:fill="D6E4F0"/>
          </w:tcPr>
          <w:p>
            <w:pPr>
              <w:spacing w:before="20" w:after="20" w:line="240" w:lineRule="exact"/>
              <w:jc w:val="center"/>
            </w:pPr>
            <w:r/>
            <w:r>
              <w:rPr>
                <w:rFonts w:ascii="Calibri" w:hAnsi="Calibri"/>
                <w:b w:val="0"/>
                <w:sz w:val="18"/>
              </w:rPr>
              <w:t>1.24%</w:t>
            </w:r>
          </w:p>
        </w:tc>
      </w:tr>
      <w:tr>
        <w:tc>
          <w:tcPr>
            <w:tcW w:type="dxa" w:w="3118"/>
          </w:tcPr>
          <w:p>
            <w:pPr>
              <w:spacing w:before="20" w:after="20" w:line="240" w:lineRule="exact"/>
            </w:pPr>
            <w:r/>
            <w:r>
              <w:rPr>
                <w:rFonts w:ascii="Calibri" w:hAnsi="Calibri"/>
                <w:b w:val="0"/>
                <w:sz w:val="18"/>
              </w:rPr>
              <w:t>Australian Fixed Income</w:t>
            </w:r>
          </w:p>
        </w:tc>
        <w:tc>
          <w:tcPr>
            <w:tcW w:type="dxa" w:w="1587"/>
          </w:tcPr>
          <w:p>
            <w:pPr>
              <w:spacing w:before="20" w:after="20" w:line="240" w:lineRule="exact"/>
              <w:jc w:val="center"/>
            </w:pPr>
            <w:r/>
            <w:r>
              <w:rPr>
                <w:rFonts w:ascii="Calibri" w:hAnsi="Calibri"/>
                <w:b w:val="0"/>
                <w:sz w:val="18"/>
              </w:rPr>
              <w:t>2.11%</w:t>
            </w:r>
          </w:p>
        </w:tc>
        <w:tc>
          <w:tcPr>
            <w:tcW w:type="dxa" w:w="1587"/>
          </w:tcPr>
          <w:p>
            <w:pPr>
              <w:spacing w:before="20" w:after="20" w:line="240" w:lineRule="exact"/>
              <w:jc w:val="center"/>
            </w:pPr>
            <w:r/>
            <w:r>
              <w:rPr>
                <w:rFonts w:ascii="Calibri" w:hAnsi="Calibri"/>
                <w:b w:val="0"/>
                <w:sz w:val="18"/>
              </w:rPr>
              <w:t>4.35%</w:t>
            </w:r>
          </w:p>
        </w:tc>
        <w:tc>
          <w:tcPr>
            <w:tcW w:type="dxa" w:w="1247"/>
          </w:tcPr>
          <w:p>
            <w:pPr>
              <w:spacing w:before="20" w:after="20" w:line="240" w:lineRule="exact"/>
              <w:jc w:val="center"/>
            </w:pPr>
            <w:r/>
            <w:r>
              <w:rPr>
                <w:rFonts w:ascii="Calibri" w:hAnsi="Calibri"/>
                <w:b w:val="0"/>
                <w:sz w:val="18"/>
              </w:rPr>
              <w:t>+2.24%</w:t>
            </w:r>
          </w:p>
        </w:tc>
        <w:tc>
          <w:tcPr>
            <w:tcW w:type="dxa" w:w="1361"/>
          </w:tcPr>
          <w:p>
            <w:pPr>
              <w:spacing w:before="20" w:after="20" w:line="240" w:lineRule="exact"/>
              <w:jc w:val="center"/>
            </w:pPr>
            <w:r/>
            <w:r>
              <w:rPr>
                <w:rFonts w:ascii="Calibri" w:hAnsi="Calibri"/>
                <w:b w:val="0"/>
                <w:sz w:val="18"/>
              </w:rPr>
              <w:t>4.40%</w:t>
            </w:r>
          </w:p>
        </w:tc>
      </w:tr>
      <w:tr>
        <w:tc>
          <w:tcPr>
            <w:tcW w:type="dxa" w:w="3118"/>
            <w:shd w:fill="D6E4F0"/>
          </w:tcPr>
          <w:p>
            <w:pPr>
              <w:spacing w:before="20" w:after="20" w:line="240" w:lineRule="exact"/>
            </w:pPr>
            <w:r/>
            <w:r>
              <w:rPr>
                <w:rFonts w:ascii="Calibri" w:hAnsi="Calibri"/>
                <w:b w:val="0"/>
                <w:sz w:val="18"/>
              </w:rPr>
              <w:t>Global Fixed Income (Hedged)</w:t>
            </w:r>
          </w:p>
        </w:tc>
        <w:tc>
          <w:tcPr>
            <w:tcW w:type="dxa" w:w="1587"/>
            <w:shd w:fill="D6E4F0"/>
          </w:tcPr>
          <w:p>
            <w:pPr>
              <w:spacing w:before="20" w:after="20" w:line="240" w:lineRule="exact"/>
              <w:jc w:val="center"/>
            </w:pPr>
            <w:r/>
            <w:r>
              <w:rPr>
                <w:rFonts w:ascii="Calibri" w:hAnsi="Calibri"/>
                <w:b w:val="0"/>
                <w:sz w:val="18"/>
              </w:rPr>
              <w:t>2.08%</w:t>
            </w:r>
          </w:p>
        </w:tc>
        <w:tc>
          <w:tcPr>
            <w:tcW w:type="dxa" w:w="1587"/>
            <w:shd w:fill="D6E4F0"/>
          </w:tcPr>
          <w:p>
            <w:pPr>
              <w:spacing w:before="20" w:after="20" w:line="240" w:lineRule="exact"/>
              <w:jc w:val="center"/>
            </w:pPr>
            <w:r/>
            <w:r>
              <w:rPr>
                <w:rFonts w:ascii="Calibri" w:hAnsi="Calibri"/>
                <w:b w:val="0"/>
                <w:sz w:val="18"/>
              </w:rPr>
              <w:t>4.15%</w:t>
            </w:r>
          </w:p>
        </w:tc>
        <w:tc>
          <w:tcPr>
            <w:tcW w:type="dxa" w:w="1247"/>
            <w:shd w:fill="D6E4F0"/>
          </w:tcPr>
          <w:p>
            <w:pPr>
              <w:spacing w:before="20" w:after="20" w:line="240" w:lineRule="exact"/>
              <w:jc w:val="center"/>
            </w:pPr>
            <w:r/>
            <w:r>
              <w:rPr>
                <w:rFonts w:ascii="Calibri" w:hAnsi="Calibri"/>
                <w:b w:val="0"/>
                <w:sz w:val="18"/>
              </w:rPr>
              <w:t>+2.07%</w:t>
            </w:r>
          </w:p>
        </w:tc>
        <w:tc>
          <w:tcPr>
            <w:tcW w:type="dxa" w:w="1361"/>
            <w:shd w:fill="D6E4F0"/>
          </w:tcPr>
          <w:p>
            <w:pPr>
              <w:spacing w:before="20" w:after="20" w:line="240" w:lineRule="exact"/>
              <w:jc w:val="center"/>
            </w:pPr>
            <w:r/>
            <w:r>
              <w:rPr>
                <w:rFonts w:ascii="Calibri" w:hAnsi="Calibri"/>
                <w:b w:val="0"/>
                <w:sz w:val="18"/>
              </w:rPr>
              <w:t>4.00%</w:t>
            </w:r>
          </w:p>
        </w:tc>
      </w:tr>
      <w:tr>
        <w:tc>
          <w:tcPr>
            <w:tcW w:type="dxa" w:w="3118"/>
          </w:tcPr>
          <w:p>
            <w:pPr>
              <w:spacing w:before="20" w:after="20" w:line="240" w:lineRule="exact"/>
            </w:pPr>
            <w:r/>
            <w:r>
              <w:rPr>
                <w:rFonts w:ascii="Calibri" w:hAnsi="Calibri"/>
                <w:b w:val="0"/>
                <w:sz w:val="18"/>
              </w:rPr>
              <w:t>Global Credit (Hedged)</w:t>
            </w:r>
          </w:p>
        </w:tc>
        <w:tc>
          <w:tcPr>
            <w:tcW w:type="dxa" w:w="1587"/>
          </w:tcPr>
          <w:p>
            <w:pPr>
              <w:spacing w:before="20" w:after="20" w:line="240" w:lineRule="exact"/>
              <w:jc w:val="center"/>
            </w:pPr>
            <w:r/>
            <w:r>
              <w:rPr>
                <w:rFonts w:ascii="Calibri" w:hAnsi="Calibri"/>
                <w:b w:val="0"/>
                <w:sz w:val="18"/>
              </w:rPr>
              <w:t>2.68%</w:t>
            </w:r>
          </w:p>
        </w:tc>
        <w:tc>
          <w:tcPr>
            <w:tcW w:type="dxa" w:w="1587"/>
          </w:tcPr>
          <w:p>
            <w:pPr>
              <w:spacing w:before="20" w:after="20" w:line="240" w:lineRule="exact"/>
              <w:jc w:val="center"/>
            </w:pPr>
            <w:r/>
            <w:r>
              <w:rPr>
                <w:rFonts w:ascii="Calibri" w:hAnsi="Calibri"/>
                <w:b w:val="0"/>
                <w:sz w:val="18"/>
              </w:rPr>
              <w:t>5.00%</w:t>
            </w:r>
          </w:p>
        </w:tc>
        <w:tc>
          <w:tcPr>
            <w:tcW w:type="dxa" w:w="1247"/>
          </w:tcPr>
          <w:p>
            <w:pPr>
              <w:spacing w:before="20" w:after="20" w:line="240" w:lineRule="exact"/>
              <w:jc w:val="center"/>
            </w:pPr>
            <w:r/>
            <w:r>
              <w:rPr>
                <w:rFonts w:ascii="Calibri" w:hAnsi="Calibri"/>
                <w:b w:val="0"/>
                <w:sz w:val="18"/>
              </w:rPr>
              <w:t>+2.32%</w:t>
            </w:r>
          </w:p>
        </w:tc>
        <w:tc>
          <w:tcPr>
            <w:tcW w:type="dxa" w:w="1361"/>
          </w:tcPr>
          <w:p>
            <w:pPr>
              <w:spacing w:before="20" w:after="20" w:line="240" w:lineRule="exact"/>
              <w:jc w:val="center"/>
            </w:pPr>
            <w:r/>
            <w:r>
              <w:rPr>
                <w:rFonts w:ascii="Calibri" w:hAnsi="Calibri"/>
                <w:b w:val="0"/>
                <w:sz w:val="18"/>
              </w:rPr>
              <w:t>5.50%</w:t>
            </w:r>
          </w:p>
        </w:tc>
      </w:tr>
      <w:tr>
        <w:tc>
          <w:tcPr>
            <w:tcW w:type="dxa" w:w="3118"/>
            <w:shd w:fill="D6E4F0"/>
          </w:tcPr>
          <w:p>
            <w:pPr>
              <w:spacing w:before="20" w:after="20" w:line="240" w:lineRule="exact"/>
            </w:pPr>
            <w:r/>
            <w:r>
              <w:rPr>
                <w:rFonts w:ascii="Calibri" w:hAnsi="Calibri"/>
                <w:b w:val="0"/>
                <w:sz w:val="18"/>
              </w:rPr>
              <w:t>Australian Listed Equity</w:t>
            </w:r>
          </w:p>
        </w:tc>
        <w:tc>
          <w:tcPr>
            <w:tcW w:type="dxa" w:w="1587"/>
            <w:shd w:fill="D6E4F0"/>
          </w:tcPr>
          <w:p>
            <w:pPr>
              <w:spacing w:before="20" w:after="20" w:line="240" w:lineRule="exact"/>
              <w:jc w:val="center"/>
            </w:pPr>
            <w:r/>
            <w:r>
              <w:rPr>
                <w:rFonts w:ascii="Calibri" w:hAnsi="Calibri"/>
                <w:b w:val="0"/>
                <w:sz w:val="18"/>
              </w:rPr>
              <w:t>9.75%</w:t>
            </w:r>
          </w:p>
        </w:tc>
        <w:tc>
          <w:tcPr>
            <w:tcW w:type="dxa" w:w="1587"/>
            <w:shd w:fill="D6E4F0"/>
          </w:tcPr>
          <w:p>
            <w:pPr>
              <w:spacing w:before="20" w:after="20" w:line="240" w:lineRule="exact"/>
              <w:jc w:val="center"/>
            </w:pPr>
            <w:r/>
            <w:r>
              <w:rPr>
                <w:rFonts w:ascii="Calibri" w:hAnsi="Calibri"/>
                <w:b w:val="0"/>
                <w:sz w:val="18"/>
              </w:rPr>
              <w:t>5.40%</w:t>
            </w:r>
          </w:p>
        </w:tc>
        <w:tc>
          <w:tcPr>
            <w:tcW w:type="dxa" w:w="1247"/>
            <w:shd w:fill="D6E4F0"/>
          </w:tcPr>
          <w:p>
            <w:pPr>
              <w:spacing w:before="20" w:after="20" w:line="240" w:lineRule="exact"/>
              <w:jc w:val="center"/>
            </w:pPr>
            <w:r/>
            <w:r>
              <w:rPr>
                <w:rFonts w:ascii="Calibri" w:hAnsi="Calibri"/>
                <w:b w:val="0"/>
                <w:sz w:val="18"/>
              </w:rPr>
              <w:t>−4.35%</w:t>
            </w:r>
          </w:p>
        </w:tc>
        <w:tc>
          <w:tcPr>
            <w:tcW w:type="dxa" w:w="1361"/>
            <w:shd w:fill="D6E4F0"/>
          </w:tcPr>
          <w:p>
            <w:pPr>
              <w:spacing w:before="20" w:after="20" w:line="240" w:lineRule="exact"/>
              <w:jc w:val="center"/>
            </w:pPr>
            <w:r/>
            <w:r>
              <w:rPr>
                <w:rFonts w:ascii="Calibri" w:hAnsi="Calibri"/>
                <w:b w:val="0"/>
                <w:sz w:val="18"/>
              </w:rPr>
              <w:t>13.47%</w:t>
            </w:r>
          </w:p>
        </w:tc>
      </w:tr>
      <w:tr>
        <w:tc>
          <w:tcPr>
            <w:tcW w:type="dxa" w:w="3118"/>
          </w:tcPr>
          <w:p>
            <w:pPr>
              <w:spacing w:before="20" w:after="20" w:line="240" w:lineRule="exact"/>
            </w:pPr>
            <w:r/>
            <w:r>
              <w:rPr>
                <w:rFonts w:ascii="Calibri" w:hAnsi="Calibri"/>
                <w:b w:val="0"/>
                <w:sz w:val="18"/>
              </w:rPr>
              <w:t>Global Listed Equity (Unhedged)</w:t>
            </w:r>
          </w:p>
        </w:tc>
        <w:tc>
          <w:tcPr>
            <w:tcW w:type="dxa" w:w="1587"/>
          </w:tcPr>
          <w:p>
            <w:pPr>
              <w:spacing w:before="20" w:after="20" w:line="240" w:lineRule="exact"/>
              <w:jc w:val="center"/>
            </w:pPr>
            <w:r/>
            <w:r>
              <w:rPr>
                <w:rFonts w:ascii="Calibri" w:hAnsi="Calibri"/>
                <w:b w:val="0"/>
                <w:sz w:val="18"/>
              </w:rPr>
              <w:t>10.14%</w:t>
            </w:r>
          </w:p>
        </w:tc>
        <w:tc>
          <w:tcPr>
            <w:tcW w:type="dxa" w:w="1587"/>
          </w:tcPr>
          <w:p>
            <w:pPr>
              <w:spacing w:before="20" w:after="20" w:line="240" w:lineRule="exact"/>
              <w:jc w:val="center"/>
            </w:pPr>
            <w:r/>
            <w:r>
              <w:rPr>
                <w:rFonts w:ascii="Calibri" w:hAnsi="Calibri"/>
                <w:b w:val="0"/>
                <w:sz w:val="18"/>
              </w:rPr>
              <w:t>6.35%</w:t>
            </w:r>
          </w:p>
        </w:tc>
        <w:tc>
          <w:tcPr>
            <w:tcW w:type="dxa" w:w="1247"/>
          </w:tcPr>
          <w:p>
            <w:pPr>
              <w:spacing w:before="20" w:after="20" w:line="240" w:lineRule="exact"/>
              <w:jc w:val="center"/>
            </w:pPr>
            <w:r/>
            <w:r>
              <w:rPr>
                <w:rFonts w:ascii="Calibri" w:hAnsi="Calibri"/>
                <w:b w:val="0"/>
                <w:sz w:val="18"/>
              </w:rPr>
              <w:t>−3.79%</w:t>
            </w:r>
          </w:p>
        </w:tc>
        <w:tc>
          <w:tcPr>
            <w:tcW w:type="dxa" w:w="1361"/>
          </w:tcPr>
          <w:p>
            <w:pPr>
              <w:spacing w:before="20" w:after="20" w:line="240" w:lineRule="exact"/>
              <w:jc w:val="center"/>
            </w:pPr>
            <w:r/>
            <w:r>
              <w:rPr>
                <w:rFonts w:ascii="Calibri" w:hAnsi="Calibri"/>
                <w:b w:val="0"/>
                <w:sz w:val="18"/>
              </w:rPr>
              <w:t>14.32%</w:t>
            </w:r>
          </w:p>
        </w:tc>
      </w:tr>
      <w:tr>
        <w:tc>
          <w:tcPr>
            <w:tcW w:type="dxa" w:w="3118"/>
            <w:shd w:fill="D6E4F0"/>
          </w:tcPr>
          <w:p>
            <w:pPr>
              <w:spacing w:before="20" w:after="20" w:line="240" w:lineRule="exact"/>
            </w:pPr>
            <w:r/>
            <w:r>
              <w:rPr>
                <w:rFonts w:ascii="Calibri" w:hAnsi="Calibri"/>
                <w:b w:val="0"/>
                <w:sz w:val="18"/>
              </w:rPr>
              <w:t>Global Listed Equity (Hedged)</w:t>
            </w:r>
          </w:p>
        </w:tc>
        <w:tc>
          <w:tcPr>
            <w:tcW w:type="dxa" w:w="1587"/>
            <w:shd w:fill="D6E4F0"/>
          </w:tcPr>
          <w:p>
            <w:pPr>
              <w:spacing w:before="20" w:after="20" w:line="240" w:lineRule="exact"/>
              <w:jc w:val="center"/>
            </w:pPr>
            <w:r/>
            <w:r>
              <w:rPr>
                <w:rFonts w:ascii="Calibri" w:hAnsi="Calibri"/>
                <w:b w:val="0"/>
                <w:sz w:val="18"/>
              </w:rPr>
              <w:t>11.46%</w:t>
            </w:r>
          </w:p>
        </w:tc>
        <w:tc>
          <w:tcPr>
            <w:tcW w:type="dxa" w:w="1587"/>
            <w:shd w:fill="D6E4F0"/>
          </w:tcPr>
          <w:p>
            <w:pPr>
              <w:spacing w:before="20" w:after="20" w:line="240" w:lineRule="exact"/>
              <w:jc w:val="center"/>
            </w:pPr>
            <w:r/>
            <w:r>
              <w:rPr>
                <w:rFonts w:ascii="Calibri" w:hAnsi="Calibri"/>
                <w:b w:val="0"/>
                <w:sz w:val="18"/>
              </w:rPr>
              <w:t>6.20%</w:t>
            </w:r>
          </w:p>
        </w:tc>
        <w:tc>
          <w:tcPr>
            <w:tcW w:type="dxa" w:w="1247"/>
            <w:shd w:fill="D6E4F0"/>
          </w:tcPr>
          <w:p>
            <w:pPr>
              <w:spacing w:before="20" w:after="20" w:line="240" w:lineRule="exact"/>
              <w:jc w:val="center"/>
            </w:pPr>
            <w:r/>
            <w:r>
              <w:rPr>
                <w:rFonts w:ascii="Calibri" w:hAnsi="Calibri"/>
                <w:b w:val="0"/>
                <w:sz w:val="18"/>
              </w:rPr>
              <w:t>−5.26%</w:t>
            </w:r>
          </w:p>
        </w:tc>
        <w:tc>
          <w:tcPr>
            <w:tcW w:type="dxa" w:w="1361"/>
            <w:shd w:fill="D6E4F0"/>
          </w:tcPr>
          <w:p>
            <w:pPr>
              <w:spacing w:before="20" w:after="20" w:line="240" w:lineRule="exact"/>
              <w:jc w:val="center"/>
            </w:pPr>
            <w:r/>
            <w:r>
              <w:rPr>
                <w:rFonts w:ascii="Calibri" w:hAnsi="Calibri"/>
                <w:b w:val="0"/>
                <w:sz w:val="18"/>
              </w:rPr>
              <w:t>13.31%</w:t>
            </w:r>
          </w:p>
        </w:tc>
      </w:tr>
      <w:tr>
        <w:tc>
          <w:tcPr>
            <w:tcW w:type="dxa" w:w="3118"/>
          </w:tcPr>
          <w:p>
            <w:pPr>
              <w:spacing w:before="20" w:after="20" w:line="240" w:lineRule="exact"/>
            </w:pPr>
            <w:r/>
            <w:r>
              <w:rPr>
                <w:rFonts w:ascii="Calibri" w:hAnsi="Calibri"/>
                <w:b w:val="0"/>
                <w:sz w:val="18"/>
              </w:rPr>
              <w:t>Australian Listed Property</w:t>
            </w:r>
          </w:p>
        </w:tc>
        <w:tc>
          <w:tcPr>
            <w:tcW w:type="dxa" w:w="1587"/>
          </w:tcPr>
          <w:p>
            <w:pPr>
              <w:spacing w:before="20" w:after="20" w:line="240" w:lineRule="exact"/>
              <w:jc w:val="center"/>
            </w:pPr>
            <w:r/>
            <w:r>
              <w:rPr>
                <w:rFonts w:ascii="Calibri" w:hAnsi="Calibri"/>
                <w:b w:val="0"/>
                <w:sz w:val="18"/>
              </w:rPr>
              <w:t>7.36%</w:t>
            </w:r>
          </w:p>
        </w:tc>
        <w:tc>
          <w:tcPr>
            <w:tcW w:type="dxa" w:w="1587"/>
          </w:tcPr>
          <w:p>
            <w:pPr>
              <w:spacing w:before="20" w:after="20" w:line="240" w:lineRule="exact"/>
              <w:jc w:val="center"/>
            </w:pPr>
            <w:r/>
            <w:r>
              <w:rPr>
                <w:rFonts w:ascii="Calibri" w:hAnsi="Calibri"/>
                <w:b w:val="0"/>
                <w:sz w:val="18"/>
              </w:rPr>
              <w:t>6.80%</w:t>
            </w:r>
          </w:p>
        </w:tc>
        <w:tc>
          <w:tcPr>
            <w:tcW w:type="dxa" w:w="1247"/>
          </w:tcPr>
          <w:p>
            <w:pPr>
              <w:spacing w:before="20" w:after="20" w:line="240" w:lineRule="exact"/>
              <w:jc w:val="center"/>
            </w:pPr>
            <w:r/>
            <w:r>
              <w:rPr>
                <w:rFonts w:ascii="Calibri" w:hAnsi="Calibri"/>
                <w:b w:val="0"/>
                <w:sz w:val="18"/>
              </w:rPr>
              <w:t>−0.56%</w:t>
            </w:r>
          </w:p>
        </w:tc>
        <w:tc>
          <w:tcPr>
            <w:tcW w:type="dxa" w:w="1361"/>
          </w:tcPr>
          <w:p>
            <w:pPr>
              <w:spacing w:before="20" w:after="20" w:line="240" w:lineRule="exact"/>
              <w:jc w:val="center"/>
            </w:pPr>
            <w:r/>
            <w:r>
              <w:rPr>
                <w:rFonts w:ascii="Calibri" w:hAnsi="Calibri"/>
                <w:b w:val="0"/>
                <w:sz w:val="18"/>
              </w:rPr>
              <w:t>20.47%</w:t>
            </w:r>
          </w:p>
        </w:tc>
      </w:tr>
      <w:tr>
        <w:tc>
          <w:tcPr>
            <w:tcW w:type="dxa" w:w="3118"/>
            <w:shd w:fill="D6E4F0"/>
          </w:tcPr>
          <w:p>
            <w:pPr>
              <w:spacing w:before="20" w:after="20" w:line="240" w:lineRule="exact"/>
            </w:pPr>
            <w:r/>
            <w:r>
              <w:rPr>
                <w:rFonts w:ascii="Calibri" w:hAnsi="Calibri"/>
                <w:b w:val="0"/>
                <w:sz w:val="18"/>
              </w:rPr>
              <w:t>Global Infrastructure Unlisted (Unhedged)</w:t>
            </w:r>
          </w:p>
        </w:tc>
        <w:tc>
          <w:tcPr>
            <w:tcW w:type="dxa" w:w="1587"/>
            <w:shd w:fill="D6E4F0"/>
          </w:tcPr>
          <w:p>
            <w:pPr>
              <w:spacing w:before="20" w:after="20" w:line="240" w:lineRule="exact"/>
              <w:jc w:val="center"/>
            </w:pPr>
            <w:r/>
            <w:r>
              <w:rPr>
                <w:rFonts w:ascii="Calibri" w:hAnsi="Calibri"/>
                <w:b w:val="0"/>
                <w:sz w:val="18"/>
              </w:rPr>
              <w:t>6.68%</w:t>
            </w:r>
          </w:p>
        </w:tc>
        <w:tc>
          <w:tcPr>
            <w:tcW w:type="dxa" w:w="1587"/>
            <w:shd w:fill="D6E4F0"/>
          </w:tcPr>
          <w:p>
            <w:pPr>
              <w:spacing w:before="20" w:after="20" w:line="240" w:lineRule="exact"/>
              <w:jc w:val="center"/>
            </w:pPr>
            <w:r/>
            <w:r>
              <w:rPr>
                <w:rFonts w:ascii="Calibri" w:hAnsi="Calibri"/>
                <w:b w:val="0"/>
                <w:sz w:val="18"/>
              </w:rPr>
              <w:t>6.90%</w:t>
            </w:r>
          </w:p>
        </w:tc>
        <w:tc>
          <w:tcPr>
            <w:tcW w:type="dxa" w:w="1247"/>
            <w:shd w:fill="D6E4F0"/>
          </w:tcPr>
          <w:p>
            <w:pPr>
              <w:spacing w:before="20" w:after="20" w:line="240" w:lineRule="exact"/>
              <w:jc w:val="center"/>
            </w:pPr>
            <w:r/>
            <w:r>
              <w:rPr>
                <w:rFonts w:ascii="Calibri" w:hAnsi="Calibri"/>
                <w:b w:val="0"/>
                <w:sz w:val="18"/>
              </w:rPr>
              <w:t>+0.22%</w:t>
            </w:r>
          </w:p>
        </w:tc>
        <w:tc>
          <w:tcPr>
            <w:tcW w:type="dxa" w:w="1361"/>
            <w:shd w:fill="D6E4F0"/>
          </w:tcPr>
          <w:p>
            <w:pPr>
              <w:spacing w:before="20" w:after="20" w:line="240" w:lineRule="exact"/>
              <w:jc w:val="center"/>
            </w:pPr>
            <w:r/>
            <w:r>
              <w:rPr>
                <w:rFonts w:ascii="Calibri" w:hAnsi="Calibri"/>
                <w:b w:val="0"/>
                <w:sz w:val="18"/>
              </w:rPr>
              <w:t>10.35%</w:t>
            </w:r>
          </w:p>
        </w:tc>
      </w:tr>
      <w:tr>
        <w:tc>
          <w:tcPr>
            <w:tcW w:type="dxa" w:w="3118"/>
          </w:tcPr>
          <w:p>
            <w:pPr>
              <w:spacing w:before="20" w:after="20" w:line="240" w:lineRule="exact"/>
            </w:pPr>
            <w:r/>
            <w:r>
              <w:rPr>
                <w:rFonts w:ascii="Calibri" w:hAnsi="Calibri"/>
                <w:b w:val="0"/>
                <w:sz w:val="18"/>
              </w:rPr>
              <w:t>Global Private Equity</w:t>
            </w:r>
          </w:p>
        </w:tc>
        <w:tc>
          <w:tcPr>
            <w:tcW w:type="dxa" w:w="1587"/>
          </w:tcPr>
          <w:p>
            <w:pPr>
              <w:spacing w:before="20" w:after="20" w:line="240" w:lineRule="exact"/>
              <w:jc w:val="center"/>
            </w:pPr>
            <w:r/>
            <w:r>
              <w:rPr>
                <w:rFonts w:ascii="Calibri" w:hAnsi="Calibri"/>
                <w:b w:val="0"/>
                <w:sz w:val="18"/>
              </w:rPr>
              <w:t>10.56%</w:t>
            </w:r>
          </w:p>
        </w:tc>
        <w:tc>
          <w:tcPr>
            <w:tcW w:type="dxa" w:w="1587"/>
          </w:tcPr>
          <w:p>
            <w:pPr>
              <w:spacing w:before="20" w:after="20" w:line="240" w:lineRule="exact"/>
              <w:jc w:val="center"/>
            </w:pPr>
            <w:r/>
            <w:r>
              <w:rPr>
                <w:rFonts w:ascii="Calibri" w:hAnsi="Calibri"/>
                <w:b w:val="0"/>
                <w:sz w:val="18"/>
              </w:rPr>
              <w:t>8.20%</w:t>
            </w:r>
          </w:p>
        </w:tc>
        <w:tc>
          <w:tcPr>
            <w:tcW w:type="dxa" w:w="1247"/>
          </w:tcPr>
          <w:p>
            <w:pPr>
              <w:spacing w:before="20" w:after="20" w:line="240" w:lineRule="exact"/>
              <w:jc w:val="center"/>
            </w:pPr>
            <w:r/>
            <w:r>
              <w:rPr>
                <w:rFonts w:ascii="Calibri" w:hAnsi="Calibri"/>
                <w:b w:val="0"/>
                <w:sz w:val="18"/>
              </w:rPr>
              <w:t>−2.36%</w:t>
            </w:r>
          </w:p>
        </w:tc>
        <w:tc>
          <w:tcPr>
            <w:tcW w:type="dxa" w:w="1361"/>
          </w:tcPr>
          <w:p>
            <w:pPr>
              <w:spacing w:before="20" w:after="20" w:line="240" w:lineRule="exact"/>
              <w:jc w:val="center"/>
            </w:pPr>
            <w:r/>
            <w:r>
              <w:rPr>
                <w:rFonts w:ascii="Calibri" w:hAnsi="Calibri"/>
                <w:b w:val="0"/>
                <w:sz w:val="18"/>
              </w:rPr>
              <w:t>20.31%</w:t>
            </w:r>
          </w:p>
        </w:tc>
      </w:tr>
    </w:tbl>
    <w:p>
      <w:pPr>
        <w:spacing w:before="80" w:after="40" w:line="240" w:lineRule="auto"/>
      </w:pPr>
      <w:r>
        <w:rPr>
          <w:rFonts w:ascii="Calibri" w:hAnsi="Calibri"/>
          <w:i/>
          <w:color w:val="595959"/>
          <w:sz w:val="16"/>
        </w:rPr>
        <w:t>Notes. Historical Returns = annualised geometric mean (CAGR) of monthly index total returns, Jan 2016 – Feb 2026. Forecast Returns = 10-year gross compound return from building-block decomposition. Difference = Forecast minus Historical. Historical Risk = annualised standard deviation of monthly returns. Source: Historical — Refinitiv via Bloomberg proxy indices; Forecast — NSWDF 10Y CMA v2 (May 2026).</w:t>
      </w:r>
    </w:p>
    <w:p>
      <w:pPr>
        <w:pStyle w:val="Heading2"/>
      </w:pPr>
      <w:r>
        <w:t>Table 2: Unit Trust Performance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68"/>
            <w:shd w:fill="1F3864"/>
          </w:tcPr>
          <w:p>
            <w:pPr>
              <w:spacing w:before="20" w:after="20" w:line="240" w:lineRule="exact"/>
              <w:jc w:val="center"/>
            </w:pPr>
            <w:r/>
            <w:r>
              <w:rPr>
                <w:rFonts w:ascii="Calibri" w:hAnsi="Calibri"/>
                <w:b/>
                <w:color w:val="FFFFFF"/>
                <w:sz w:val="18"/>
              </w:rPr>
              <w:t>Metric</w:t>
            </w:r>
          </w:p>
        </w:tc>
        <w:tc>
          <w:tcPr>
            <w:tcW w:type="dxa" w:w="1984"/>
            <w:shd w:fill="1F3864"/>
          </w:tcPr>
          <w:p>
            <w:pPr>
              <w:spacing w:before="20" w:after="20" w:line="240" w:lineRule="exact"/>
              <w:jc w:val="center"/>
            </w:pPr>
            <w:r/>
            <w:r>
              <w:rPr>
                <w:rFonts w:ascii="Calibri" w:hAnsi="Calibri"/>
                <w:b/>
                <w:color w:val="FFFFFF"/>
                <w:sz w:val="18"/>
              </w:rPr>
              <w:t>STI</w:t>
            </w:r>
          </w:p>
        </w:tc>
        <w:tc>
          <w:tcPr>
            <w:tcW w:type="dxa" w:w="1984"/>
            <w:shd w:fill="1F3864"/>
          </w:tcPr>
          <w:p>
            <w:pPr>
              <w:spacing w:before="20" w:after="20" w:line="240" w:lineRule="exact"/>
              <w:jc w:val="center"/>
            </w:pPr>
            <w:r/>
            <w:r>
              <w:rPr>
                <w:rFonts w:ascii="Calibri" w:hAnsi="Calibri"/>
                <w:b/>
                <w:color w:val="FFFFFF"/>
                <w:sz w:val="18"/>
              </w:rPr>
              <w:t>MTG</w:t>
            </w:r>
          </w:p>
        </w:tc>
        <w:tc>
          <w:tcPr>
            <w:tcW w:type="dxa" w:w="1984"/>
            <w:shd w:fill="1F3864"/>
          </w:tcPr>
          <w:p>
            <w:pPr>
              <w:spacing w:before="20" w:after="20" w:line="240" w:lineRule="exact"/>
              <w:jc w:val="center"/>
            </w:pPr>
            <w:r/>
            <w:r>
              <w:rPr>
                <w:rFonts w:ascii="Calibri" w:hAnsi="Calibri"/>
                <w:b/>
                <w:color w:val="FFFFFF"/>
                <w:sz w:val="18"/>
              </w:rPr>
              <w:t>LTG</w:t>
            </w:r>
          </w:p>
        </w:tc>
      </w:tr>
      <w:tr>
        <w:tc>
          <w:tcPr>
            <w:tcW w:type="dxa" w:w="2268"/>
          </w:tcPr>
          <w:p>
            <w:pPr>
              <w:spacing w:before="20" w:after="20" w:line="240" w:lineRule="exact"/>
            </w:pPr>
            <w:r/>
            <w:r>
              <w:rPr>
                <w:rFonts w:ascii="Calibri" w:hAnsi="Calibri"/>
                <w:b w:val="0"/>
                <w:sz w:val="18"/>
              </w:rPr>
              <w:t>Expected Return</w:t>
            </w:r>
          </w:p>
        </w:tc>
        <w:tc>
          <w:tcPr>
            <w:tcW w:type="dxa" w:w="1984"/>
          </w:tcPr>
          <w:p>
            <w:pPr>
              <w:spacing w:before="20" w:after="20" w:line="240" w:lineRule="exact"/>
              <w:jc w:val="center"/>
            </w:pPr>
            <w:r/>
            <w:r>
              <w:rPr>
                <w:rFonts w:ascii="Calibri" w:hAnsi="Calibri"/>
                <w:b w:val="0"/>
                <w:sz w:val="18"/>
              </w:rPr>
              <w:t>3.57%</w:t>
            </w:r>
          </w:p>
        </w:tc>
        <w:tc>
          <w:tcPr>
            <w:tcW w:type="dxa" w:w="1984"/>
          </w:tcPr>
          <w:p>
            <w:pPr>
              <w:spacing w:before="20" w:after="20" w:line="240" w:lineRule="exact"/>
              <w:jc w:val="center"/>
            </w:pPr>
            <w:r/>
            <w:r>
              <w:rPr>
                <w:rFonts w:ascii="Calibri" w:hAnsi="Calibri"/>
                <w:b w:val="0"/>
                <w:sz w:val="18"/>
              </w:rPr>
              <w:t>4.67%</w:t>
            </w:r>
          </w:p>
        </w:tc>
        <w:tc>
          <w:tcPr>
            <w:tcW w:type="dxa" w:w="1984"/>
          </w:tcPr>
          <w:p>
            <w:pPr>
              <w:spacing w:before="20" w:after="20" w:line="240" w:lineRule="exact"/>
              <w:jc w:val="center"/>
            </w:pPr>
            <w:r/>
            <w:r>
              <w:rPr>
                <w:rFonts w:ascii="Calibri" w:hAnsi="Calibri"/>
                <w:b w:val="0"/>
                <w:sz w:val="18"/>
              </w:rPr>
              <w:t>5.31%</w:t>
            </w:r>
          </w:p>
        </w:tc>
      </w:tr>
      <w:tr>
        <w:tc>
          <w:tcPr>
            <w:tcW w:type="dxa" w:w="2268"/>
            <w:shd w:fill="D6E4F0"/>
          </w:tcPr>
          <w:p>
            <w:pPr>
              <w:spacing w:before="20" w:after="20" w:line="240" w:lineRule="exact"/>
            </w:pPr>
            <w:r/>
            <w:r>
              <w:rPr>
                <w:rFonts w:ascii="Calibri" w:hAnsi="Calibri"/>
                <w:b w:val="0"/>
                <w:sz w:val="18"/>
              </w:rPr>
              <w:t>Risk</w:t>
            </w:r>
          </w:p>
        </w:tc>
        <w:tc>
          <w:tcPr>
            <w:tcW w:type="dxa" w:w="1984"/>
            <w:shd w:fill="D6E4F0"/>
          </w:tcPr>
          <w:p>
            <w:pPr>
              <w:spacing w:before="20" w:after="20" w:line="240" w:lineRule="exact"/>
              <w:jc w:val="center"/>
            </w:pPr>
            <w:r/>
            <w:r>
              <w:rPr>
                <w:rFonts w:ascii="Calibri" w:hAnsi="Calibri"/>
                <w:b w:val="0"/>
                <w:sz w:val="18"/>
              </w:rPr>
              <w:t>0.90%</w:t>
            </w:r>
          </w:p>
        </w:tc>
        <w:tc>
          <w:tcPr>
            <w:tcW w:type="dxa" w:w="1984"/>
            <w:shd w:fill="D6E4F0"/>
          </w:tcPr>
          <w:p>
            <w:pPr>
              <w:spacing w:before="20" w:after="20" w:line="240" w:lineRule="exact"/>
              <w:jc w:val="center"/>
            </w:pPr>
            <w:r/>
            <w:r>
              <w:rPr>
                <w:rFonts w:ascii="Calibri" w:hAnsi="Calibri"/>
                <w:b w:val="0"/>
                <w:sz w:val="18"/>
              </w:rPr>
              <w:t>6.79%</w:t>
            </w:r>
          </w:p>
        </w:tc>
        <w:tc>
          <w:tcPr>
            <w:tcW w:type="dxa" w:w="1984"/>
            <w:shd w:fill="D6E4F0"/>
          </w:tcPr>
          <w:p>
            <w:pPr>
              <w:spacing w:before="20" w:after="20" w:line="240" w:lineRule="exact"/>
              <w:jc w:val="center"/>
            </w:pPr>
            <w:r/>
            <w:r>
              <w:rPr>
                <w:rFonts w:ascii="Calibri" w:hAnsi="Calibri"/>
                <w:b w:val="0"/>
                <w:sz w:val="18"/>
              </w:rPr>
              <w:t>10.54%</w:t>
            </w:r>
          </w:p>
        </w:tc>
      </w:tr>
    </w:tbl>
    <w:p>
      <w:pPr>
        <w:spacing w:before="80" w:after="40" w:line="240" w:lineRule="auto"/>
      </w:pPr>
      <w:r>
        <w:rPr>
          <w:rFonts w:ascii="Calibri" w:hAnsi="Calibri"/>
          <w:i/>
          <w:color w:val="595959"/>
          <w:sz w:val="16"/>
        </w:rPr>
        <w:t>Notes. Expected Return = weighted-average of 10-year forecast returns (Table 1) across each trust's underlying asset classes, net of asset-class proxy costs and trust-level ongoing fees. Risk = annualised standard deviation of the trust's portfolio return. Trust compositions per IM Table 4A. Source: Computed from NSWDF 10Y CMA v2 forecasts, IM Table 4A compositions, and IM Tables 3A/4A cost schedule.</w:t>
      </w:r>
    </w:p>
    <w:p>
      <w:pPr>
        <w:pStyle w:val="Heading2"/>
      </w:pPr>
      <w:r>
        <w:t>Table 3: NSWDF Portfolio</w:t>
      </w:r>
    </w:p>
    <w:tbl>
      <w:tblPr>
        <w:tblStyle w:val="TableGrid"/>
        <w:tblW w:type="auto" w:w="0"/>
        <w:jc w:val="center"/>
        <w:tblLook w:firstColumn="1" w:firstRow="1" w:lastColumn="0" w:lastRow="0" w:noHBand="0" w:noVBand="1" w:val="04A0"/>
      </w:tblPr>
      <w:tblGrid>
        <w:gridCol w:w="4513"/>
        <w:gridCol w:w="4513"/>
      </w:tblGrid>
      <w:tr>
        <w:tc>
          <w:tcPr>
            <w:tcW w:type="dxa" w:w="3402"/>
            <w:shd w:fill="1F3864"/>
          </w:tcPr>
          <w:p>
            <w:pPr>
              <w:spacing w:before="20" w:after="20" w:line="240" w:lineRule="exact"/>
              <w:jc w:val="center"/>
            </w:pPr>
            <w:r/>
            <w:r>
              <w:rPr>
                <w:rFonts w:ascii="Calibri" w:hAnsi="Calibri"/>
                <w:b/>
                <w:color w:val="FFFFFF"/>
                <w:sz w:val="18"/>
              </w:rPr>
              <w:t>Metric</w:t>
            </w:r>
          </w:p>
        </w:tc>
        <w:tc>
          <w:tcPr>
            <w:tcW w:type="dxa" w:w="4535"/>
            <w:shd w:fill="1F3864"/>
          </w:tcPr>
          <w:p>
            <w:pPr>
              <w:spacing w:before="20" w:after="20" w:line="240" w:lineRule="exact"/>
              <w:jc w:val="center"/>
            </w:pPr>
            <w:r/>
            <w:r>
              <w:rPr>
                <w:rFonts w:ascii="Calibri" w:hAnsi="Calibri"/>
                <w:b/>
                <w:color w:val="FFFFFF"/>
                <w:sz w:val="18"/>
              </w:rPr>
              <w:t>Value</w:t>
            </w:r>
          </w:p>
        </w:tc>
      </w:tr>
      <w:tr>
        <w:tc>
          <w:tcPr>
            <w:tcW w:type="dxa" w:w="3402"/>
          </w:tcPr>
          <w:p>
            <w:pPr>
              <w:spacing w:before="20" w:after="20" w:line="240" w:lineRule="exact"/>
            </w:pPr>
            <w:r/>
            <w:r>
              <w:rPr>
                <w:rFonts w:ascii="Calibri" w:hAnsi="Calibri"/>
                <w:b w:val="0"/>
                <w:sz w:val="18"/>
              </w:rPr>
              <w:t>Recommended Mix of Unit Trusts</w:t>
            </w:r>
          </w:p>
        </w:tc>
        <w:tc>
          <w:tcPr>
            <w:tcW w:type="dxa" w:w="4535"/>
          </w:tcPr>
          <w:p>
            <w:pPr>
              <w:spacing w:before="20" w:after="20" w:line="240" w:lineRule="exact"/>
              <w:jc w:val="center"/>
            </w:pPr>
            <w:r/>
            <w:r>
              <w:rPr>
                <w:rFonts w:ascii="Calibri" w:hAnsi="Calibri"/>
                <w:b w:val="0"/>
                <w:sz w:val="18"/>
              </w:rPr>
              <w:t>STI 18% / MTG 22% / LTG 60%</w:t>
            </w:r>
          </w:p>
        </w:tc>
      </w:tr>
      <w:tr>
        <w:tc>
          <w:tcPr>
            <w:tcW w:type="dxa" w:w="3402"/>
            <w:shd w:fill="D6E4F0"/>
          </w:tcPr>
          <w:p>
            <w:pPr>
              <w:spacing w:before="20" w:after="20" w:line="240" w:lineRule="exact"/>
            </w:pPr>
            <w:r/>
            <w:r>
              <w:rPr>
                <w:rFonts w:ascii="Calibri" w:hAnsi="Calibri"/>
                <w:b w:val="0"/>
                <w:sz w:val="18"/>
              </w:rPr>
              <w:t>Forecast Return</w:t>
            </w:r>
          </w:p>
        </w:tc>
        <w:tc>
          <w:tcPr>
            <w:tcW w:type="dxa" w:w="4535"/>
            <w:shd w:fill="D6E4F0"/>
          </w:tcPr>
          <w:p>
            <w:pPr>
              <w:spacing w:before="20" w:after="20" w:line="240" w:lineRule="exact"/>
              <w:jc w:val="center"/>
            </w:pPr>
            <w:r/>
            <w:r>
              <w:rPr>
                <w:rFonts w:ascii="Calibri" w:hAnsi="Calibri"/>
                <w:b w:val="0"/>
                <w:sz w:val="18"/>
              </w:rPr>
              <w:t>4.86% p.a.</w:t>
            </w:r>
          </w:p>
        </w:tc>
      </w:tr>
      <w:tr>
        <w:tc>
          <w:tcPr>
            <w:tcW w:type="dxa" w:w="3402"/>
          </w:tcPr>
          <w:p>
            <w:pPr>
              <w:spacing w:before="20" w:after="20" w:line="240" w:lineRule="exact"/>
            </w:pPr>
            <w:r/>
            <w:r>
              <w:rPr>
                <w:rFonts w:ascii="Calibri" w:hAnsi="Calibri"/>
                <w:b w:val="0"/>
                <w:sz w:val="18"/>
              </w:rPr>
              <w:t>Forecast Risk</w:t>
            </w:r>
          </w:p>
        </w:tc>
        <w:tc>
          <w:tcPr>
            <w:tcW w:type="dxa" w:w="4535"/>
          </w:tcPr>
          <w:p>
            <w:pPr>
              <w:spacing w:before="20" w:after="20" w:line="240" w:lineRule="exact"/>
              <w:jc w:val="center"/>
            </w:pPr>
            <w:r/>
            <w:r>
              <w:rPr>
                <w:rFonts w:ascii="Calibri" w:hAnsi="Calibri"/>
                <w:b w:val="0"/>
                <w:sz w:val="18"/>
              </w:rPr>
              <w:t>7.71% p.a.</w:t>
            </w:r>
          </w:p>
        </w:tc>
      </w:tr>
    </w:tbl>
    <w:p>
      <w:pPr>
        <w:spacing w:before="80" w:after="40" w:line="240" w:lineRule="auto"/>
      </w:pPr>
      <w:r>
        <w:rPr>
          <w:rFonts w:ascii="Calibri" w:hAnsi="Calibri"/>
          <w:i/>
          <w:color w:val="595959"/>
          <w:sz w:val="16"/>
        </w:rPr>
        <w:t>Notes. The recommended mix maximises forecast net return subject to: (i) portfolio volatility capped at 10% p.a., (ii) STI ≥ 15% to meet the 10%-within-12-months liquidity call plus a 5% buffer, (iii) STI + MTG ≥ 40% to meet the 25%-within-3-years call plus buffer, (iv) LTG ≤ 60% concentration cap, and (v) parametric 95% VaR ≤ 10%. Fund size: AUD 3 billion; Board Policy target: CPI + 2.5% = 5.1% p.a. over a rolling 10-year period. Source: Constrained optimisation (SciPy SLSQP) using NSWDF 10Y CMA v2 inputs; Board Policy and Investment Directive.</w:t>
      </w:r>
    </w:p>
    <w:p/>
    <w:p>
      <w:pPr>
        <w:spacing w:before="240" w:line="276" w:lineRule="auto"/>
      </w:pPr>
      <w:r>
        <w:rPr>
          <w:rFonts w:ascii="Calibri" w:hAnsi="Calibri"/>
          <w:b/>
          <w:sz w:val="22"/>
        </w:rPr>
        <w:t>AI Acknowledgement Statement</w:t>
      </w:r>
    </w:p>
    <w:p>
      <w:pPr>
        <w:spacing w:line="276" w:lineRule="auto"/>
      </w:pPr>
      <w:r>
        <w:rPr>
          <w:rFonts w:ascii="Calibri" w:hAnsi="Calibri"/>
          <w:i/>
          <w:color w:val="595959"/>
          <w:sz w:val="20"/>
        </w:rPr>
        <w:t>This briefing document was prepared with the assistance of generative AI tools (Claude, Anthropic). AI was used to structure content, draft narrative text, and format tables from source data. All quantitative inputs (capital market assumptions, historical returns, optimisation outputs) were produced independently by the project team using documented methodologies. The final document was reviewed, verified, and approved by the team prior to submission.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76" w:lineRule="auto"/>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