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Strategic Asset Allocation Brief: Risk, Return and Liquidity Analysis</w:t>
      </w:r>
    </w:p>
    <w:p>
      <w:pPr>
        <w:spacing w:after="40"/>
        <w:jc w:val="center"/>
      </w:pPr>
      <w:r>
        <w:rPr>
          <w:rFonts w:ascii="Calibri" w:hAnsi="Calibri"/>
          <w:sz w:val="24"/>
        </w:rPr>
        <w:t>Course: QBUS3600</w:t>
      </w:r>
    </w:p>
    <w:p>
      <w:pPr>
        <w:spacing w:after="40"/>
        <w:jc w:val="center"/>
      </w:pPr>
      <w:r>
        <w:rPr>
          <w:rFonts w:ascii="Calibri" w:hAnsi="Calibri"/>
          <w:sz w:val="24"/>
        </w:rPr>
        <w:t>Date: 2 May 2026</w:t>
      </w:r>
    </w:p>
    <w:p>
      <w:pPr>
        <w:pStyle w:val="Heading2"/>
      </w:pPr>
      <w:r>
        <w:t>1. Executive Overview</w:t>
      </w:r>
    </w:p>
    <w:p>
      <w:pPr>
        <w:spacing w:line="360" w:lineRule="auto"/>
      </w:pPr>
      <w:r>
        <w:rPr>
          <w:rFonts w:ascii="Calibri" w:hAnsi="Calibri"/>
          <w:sz w:val="24"/>
        </w:rPr>
        <w:t>This brief examines [DATA REQUIRED — number] asset classes across three dimensions — expected return, risk, and ease of exit — and recommends a strategic portfolio allocation designed to [DATA REQUIRED — investment objective: capital preservation / balanced growth / long-term capital appreciation].</w:t>
      </w:r>
    </w:p>
    <w:p>
      <w:pPr>
        <w:spacing w:line="360" w:lineRule="auto"/>
      </w:pPr>
      <w:r>
        <w:rPr>
          <w:rFonts w:ascii="Calibri" w:hAnsi="Calibri"/>
          <w:b/>
          <w:sz w:val="24"/>
        </w:rPr>
        <w:t>Why this matters.</w:t>
      </w:r>
      <w:r>
        <w:rPr>
          <w:rFonts w:ascii="Calibri" w:hAnsi="Calibri"/>
          <w:sz w:val="24"/>
        </w:rPr>
        <w:t xml:space="preserve"> How capital is divided among asset classes is the single most consequential investment decision an organisation makes. The mix of equities, bonds, alternatives, and other holdings explains roughly nine-tenths of the variation in portfolio returns over time (Brinson et al., 1986; Ibbotson &amp; Kaplan, 2000). Getting this structural decision right matters more than any subsequent choice about individual managers or market timing.</w:t>
      </w:r>
    </w:p>
    <w:p>
      <w:pPr>
        <w:spacing w:line="360" w:lineRule="auto"/>
      </w:pPr>
      <w:r>
        <w:rPr>
          <w:rFonts w:ascii="Calibri" w:hAnsi="Calibri"/>
          <w:b/>
          <w:sz w:val="24"/>
        </w:rPr>
        <w:t>What the analysis shows.</w:t>
      </w:r>
      <w:r>
        <w:rPr>
          <w:rFonts w:ascii="Calibri" w:hAnsi="Calibri"/>
          <w:sz w:val="24"/>
        </w:rPr>
        <w:t xml:space="preserve"> [DATA REQUIRED — 2–3 sentence summary of key findings from Sections 2–4. Example structure: "Among the asset classes examined, [highest risk-adjusted performer] offers the strongest return per unit of risk, while [low-correlation pair] provides the greatest diversification benefit. Several high-returning asset classes, however, carry liquidity constraints that limit practical allocation sizes."]</w:t>
      </w:r>
    </w:p>
    <w:p>
      <w:pPr>
        <w:spacing w:line="360" w:lineRule="auto"/>
      </w:pPr>
      <w:r>
        <w:rPr>
          <w:rFonts w:ascii="Calibri" w:hAnsi="Calibri"/>
          <w:sz w:val="24"/>
        </w:rPr>
        <w:t>The recommended allocation (Section 4) balances three considerations: (i) favouring asset classes that deliver stronger returns relative to the risk they introduce, (ii) combining asset classes whose performance patterns diverge to reduce overall portfolio risk below what any single holding could achieve alone, and (iii) maintaining sufficient liquidity for rebalancing and redemption without forced selling at distressed prices.</w:t>
      </w:r>
    </w:p>
    <w:p>
      <w:pPr>
        <w:spacing w:line="360" w:lineRule="auto"/>
      </w:pPr>
      <w:r>
        <w:rPr>
          <w:rFonts w:ascii="Calibri" w:hAnsi="Calibri"/>
          <w:b/>
          <w:sz w:val="24"/>
        </w:rPr>
        <w:t>Recommended next steps.</w:t>
      </w:r>
    </w:p>
    <w:p>
      <w:pPr>
        <w:pStyle w:val="ListNumber"/>
        <w:spacing w:line="360" w:lineRule="auto"/>
      </w:pPr>
      <w:r>
        <w:rPr>
          <w:rFonts w:ascii="Calibri" w:hAnsi="Calibri"/>
          <w:b/>
          <w:sz w:val="24"/>
        </w:rPr>
        <w:t>Adopt the recommended strategic allocation</w:t>
      </w:r>
      <w:r>
        <w:rPr>
          <w:rFonts w:ascii="Calibri" w:hAnsi="Calibri"/>
          <w:sz w:val="24"/>
        </w:rPr>
        <w:t xml:space="preserve"> as the baseline investment policy, targeting the return and risk parameters in Section 4 [DATA REQUIRED — specify targets].</w:t>
      </w:r>
    </w:p>
    <w:p>
      <w:pPr>
        <w:pStyle w:val="ListNumber"/>
        <w:spacing w:line="360" w:lineRule="auto"/>
      </w:pPr>
      <w:r>
        <w:rPr>
          <w:rFonts w:ascii="Calibri" w:hAnsi="Calibri"/>
          <w:b/>
          <w:sz w:val="24"/>
        </w:rPr>
        <w:t>Cap illiquid exposure</w:t>
      </w:r>
      <w:r>
        <w:rPr>
          <w:rFonts w:ascii="Calibri" w:hAnsi="Calibri"/>
          <w:sz w:val="24"/>
        </w:rPr>
        <w:t xml:space="preserve"> — limit combined holdings in restricted-redemption asset classes to a level that permits at least quarterly partial rebalancing without material price impact (Section 2).</w:t>
      </w:r>
    </w:p>
    <w:p>
      <w:pPr>
        <w:pStyle w:val="ListNumber"/>
        <w:spacing w:line="360" w:lineRule="auto"/>
      </w:pPr>
      <w:r>
        <w:rPr>
          <w:rFonts w:ascii="Calibri" w:hAnsi="Calibri"/>
          <w:b/>
          <w:sz w:val="24"/>
        </w:rPr>
        <w:t>Stress-test before implementation</w:t>
      </w:r>
      <w:r>
        <w:rPr>
          <w:rFonts w:ascii="Calibri" w:hAnsi="Calibri"/>
          <w:sz w:val="24"/>
        </w:rPr>
        <w:t xml:space="preserve"> — vary the return assumptions to confirm the recommended mix remains robust under plausible alternative scenarios (Section 5).</w:t>
      </w:r>
    </w:p>
    <w:p>
      <w:pPr>
        <w:pStyle w:val="Heading2"/>
      </w:pPr>
      <w:r>
        <w:t>2. Asset Class Profiles — Risk, Return, and Liquidity</w:t>
      </w:r>
    </w:p>
    <w:p>
      <w:pPr>
        <w:spacing w:line="360" w:lineRule="auto"/>
      </w:pPr>
      <w:r>
        <w:rPr>
          <w:rFonts w:ascii="Calibri" w:hAnsi="Calibri"/>
          <w:sz w:val="24"/>
        </w:rPr>
        <w:t>An effective strategic allocation begins with a rigorous characterisation of each asset class along three dimensions: expected return, risk, and liquidity. This section profiles the candidate asset classes on those dimensions, drawing on the summary statistics compiled in Table 1 and the liquidity comparison in Table 2.</w:t>
      </w:r>
    </w:p>
    <w:p>
      <w:pPr>
        <w:pStyle w:val="Heading3"/>
      </w:pPr>
      <w:r>
        <w:t>2.1 Return and Risk Characteristics</w:t>
      </w:r>
    </w:p>
    <w:p>
      <w:pPr>
        <w:spacing w:line="360" w:lineRule="auto"/>
      </w:pPr>
      <w:r>
        <w:rPr>
          <w:rFonts w:ascii="Calibri" w:hAnsi="Calibri"/>
          <w:sz w:val="24"/>
        </w:rPr>
        <w:t>Table 1 presents the annualised return, annualised volatility, maximum drawdown, and Sharpe ratio for each asset class over the sample period [DATA REQUIRED — specify date range]. The Sharpe ratio — excess return over the risk-free rate divided by volatility — provides a standardised measure of risk-adjusted performance that facilitates cross-asset comparison.</w:t>
      </w:r>
    </w:p>
    <w:p>
      <w:pPr>
        <w:spacing w:before="240" w:after="80"/>
      </w:pPr>
      <w:r>
        <w:rPr>
          <w:rFonts w:ascii="Calibri" w:hAnsi="Calibri"/>
          <w:b/>
          <w:sz w:val="22"/>
        </w:rPr>
        <w:t>Table 1: Asset Class Risk-Return Summary</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560"/>
        <w:gridCol w:w="1560"/>
        <w:gridCol w:w="1560"/>
        <w:gridCol w:w="1560"/>
        <w:gridCol w:w="1560"/>
        <w:gridCol w:w="1560"/>
      </w:tblGrid>
      <w:tr>
        <w:tc>
          <w:tcPr>
            <w:tcW w:type="dxa" w:w="1560"/>
            <w:shd w:fill="1F497D" w:val="clear"/>
          </w:tcPr>
          <w:p>
            <w:pPr>
              <w:spacing w:before="40" w:after="40" w:line="240" w:lineRule="auto"/>
              <w:jc w:val="center"/>
            </w:pPr>
            <w:r>
              <w:rPr>
                <w:b/>
                <w:color w:val="FFFFFF"/>
              </w:rPr>
            </w:r>
            <w:r>
              <w:rPr>
                <w:rFonts w:ascii="Calibri" w:hAnsi="Calibri"/>
                <w:b/>
                <w:i w:val="0"/>
                <w:color w:val="FFFFFF"/>
                <w:sz w:val="20"/>
              </w:rPr>
              <w:t>#</w:t>
            </w:r>
          </w:p>
        </w:tc>
        <w:tc>
          <w:tcPr>
            <w:tcW w:type="dxa" w:w="1560"/>
            <w:shd w:fill="1F497D" w:val="clear"/>
          </w:tcPr>
          <w:p>
            <w:pPr>
              <w:spacing w:before="40" w:after="40" w:line="240" w:lineRule="auto"/>
              <w:jc w:val="center"/>
            </w:pPr>
            <w:r>
              <w:rPr>
                <w:b/>
                <w:color w:val="FFFFFF"/>
              </w:rPr>
            </w:r>
            <w:r>
              <w:rPr>
                <w:rFonts w:ascii="Calibri" w:hAnsi="Calibri"/>
                <w:b/>
                <w:i w:val="0"/>
                <w:color w:val="FFFFFF"/>
                <w:sz w:val="20"/>
              </w:rPr>
              <w:t>Asset Class</w:t>
            </w:r>
          </w:p>
        </w:tc>
        <w:tc>
          <w:tcPr>
            <w:tcW w:type="dxa" w:w="1560"/>
            <w:shd w:fill="1F497D" w:val="clear"/>
          </w:tcPr>
          <w:p>
            <w:pPr>
              <w:spacing w:before="40" w:after="40" w:line="240" w:lineRule="auto"/>
              <w:jc w:val="center"/>
            </w:pPr>
            <w:r>
              <w:rPr>
                <w:b/>
                <w:color w:val="FFFFFF"/>
              </w:rPr>
            </w:r>
            <w:r>
              <w:rPr>
                <w:rFonts w:ascii="Calibri" w:hAnsi="Calibri"/>
                <w:b/>
                <w:i w:val="0"/>
                <w:color w:val="FFFFFF"/>
                <w:sz w:val="20"/>
              </w:rPr>
              <w:t>Ann. Return (%)</w:t>
            </w:r>
          </w:p>
        </w:tc>
        <w:tc>
          <w:tcPr>
            <w:tcW w:type="dxa" w:w="1560"/>
            <w:shd w:fill="1F497D" w:val="clear"/>
          </w:tcPr>
          <w:p>
            <w:pPr>
              <w:spacing w:before="40" w:after="40" w:line="240" w:lineRule="auto"/>
              <w:jc w:val="center"/>
            </w:pPr>
            <w:r>
              <w:rPr>
                <w:b/>
                <w:color w:val="FFFFFF"/>
              </w:rPr>
            </w:r>
            <w:r>
              <w:rPr>
                <w:rFonts w:ascii="Calibri" w:hAnsi="Calibri"/>
                <w:b/>
                <w:i w:val="0"/>
                <w:color w:val="FFFFFF"/>
                <w:sz w:val="20"/>
              </w:rPr>
              <w:t>Ann. Volatility (%)</w:t>
            </w:r>
          </w:p>
        </w:tc>
        <w:tc>
          <w:tcPr>
            <w:tcW w:type="dxa" w:w="1560"/>
            <w:shd w:fill="1F497D" w:val="clear"/>
          </w:tcPr>
          <w:p>
            <w:pPr>
              <w:spacing w:before="40" w:after="40" w:line="240" w:lineRule="auto"/>
              <w:jc w:val="center"/>
            </w:pPr>
            <w:r>
              <w:rPr>
                <w:b/>
                <w:color w:val="FFFFFF"/>
              </w:rPr>
            </w:r>
            <w:r>
              <w:rPr>
                <w:rFonts w:ascii="Calibri" w:hAnsi="Calibri"/>
                <w:b/>
                <w:i w:val="0"/>
                <w:color w:val="FFFFFF"/>
                <w:sz w:val="20"/>
              </w:rPr>
              <w:t>Max Drawdown (%)</w:t>
            </w:r>
          </w:p>
        </w:tc>
        <w:tc>
          <w:tcPr>
            <w:tcW w:type="dxa" w:w="1560"/>
            <w:shd w:fill="1F497D" w:val="clear"/>
          </w:tcPr>
          <w:p>
            <w:pPr>
              <w:spacing w:before="40" w:after="40" w:line="240" w:lineRule="auto"/>
              <w:jc w:val="center"/>
            </w:pPr>
            <w:r>
              <w:rPr>
                <w:b/>
                <w:color w:val="FFFFFF"/>
              </w:rPr>
            </w:r>
            <w:r>
              <w:rPr>
                <w:rFonts w:ascii="Calibri" w:hAnsi="Calibri"/>
                <w:b/>
                <w:i w:val="0"/>
                <w:color w:val="FFFFFF"/>
                <w:sz w:val="20"/>
              </w:rPr>
              <w:t>Sharpe Ratio</w:t>
            </w:r>
          </w:p>
        </w:tc>
      </w:tr>
      <w:tr>
        <w:tc>
          <w:tcPr>
            <w:tcW w:type="dxa" w:w="1560"/>
          </w:tcPr>
          <w:p>
            <w:pPr>
              <w:spacing w:before="40" w:after="40" w:line="240" w:lineRule="auto"/>
              <w:jc w:val="center"/>
            </w:pPr>
            <w:r/>
            <w:r>
              <w:rPr>
                <w:rFonts w:ascii="Calibri" w:hAnsi="Calibri"/>
                <w:b w:val="0"/>
                <w:i w:val="0"/>
                <w:sz w:val="20"/>
              </w:rPr>
              <w:t>1</w:t>
            </w:r>
          </w:p>
        </w:tc>
        <w:tc>
          <w:tcPr>
            <w:tcW w:type="dxa" w:w="1560"/>
          </w:tcPr>
          <w:p>
            <w:pPr>
              <w:spacing w:before="40" w:after="40" w:line="240" w:lineRule="auto"/>
              <w:jc w:val="left"/>
            </w:pPr>
            <w:r/>
            <w:r>
              <w:rPr>
                <w:rFonts w:ascii="Calibri" w:hAnsi="Calibri"/>
                <w:b w:val="0"/>
                <w:i w:val="0"/>
                <w:sz w:val="20"/>
              </w:rPr>
              <w:t>[DR]</w:t>
            </w:r>
          </w:p>
        </w:tc>
        <w:tc>
          <w:tcPr>
            <w:tcW w:type="dxa" w:w="1560"/>
          </w:tcPr>
          <w:p>
            <w:pPr>
              <w:spacing w:before="40" w:after="40" w:line="240" w:lineRule="auto"/>
              <w:jc w:val="right"/>
            </w:pPr>
            <w:r/>
            <w:r>
              <w:rPr>
                <w:rFonts w:ascii="Calibri" w:hAnsi="Calibri"/>
                <w:b w:val="0"/>
                <w:i w:val="0"/>
                <w:sz w:val="20"/>
              </w:rPr>
              <w:t>[DR]</w:t>
            </w:r>
          </w:p>
        </w:tc>
        <w:tc>
          <w:tcPr>
            <w:tcW w:type="dxa" w:w="1560"/>
          </w:tcPr>
          <w:p>
            <w:pPr>
              <w:spacing w:before="40" w:after="40" w:line="240" w:lineRule="auto"/>
              <w:jc w:val="right"/>
            </w:pPr>
            <w:r/>
            <w:r>
              <w:rPr>
                <w:rFonts w:ascii="Calibri" w:hAnsi="Calibri"/>
                <w:b w:val="0"/>
                <w:i w:val="0"/>
                <w:sz w:val="20"/>
              </w:rPr>
              <w:t>[DR]</w:t>
            </w:r>
          </w:p>
        </w:tc>
        <w:tc>
          <w:tcPr>
            <w:tcW w:type="dxa" w:w="1560"/>
          </w:tcPr>
          <w:p>
            <w:pPr>
              <w:spacing w:before="40" w:after="40" w:line="240" w:lineRule="auto"/>
              <w:jc w:val="right"/>
            </w:pPr>
            <w:r/>
            <w:r>
              <w:rPr>
                <w:rFonts w:ascii="Calibri" w:hAnsi="Calibri"/>
                <w:b w:val="0"/>
                <w:i w:val="0"/>
                <w:sz w:val="20"/>
              </w:rPr>
              <w:t>[DR]</w:t>
            </w:r>
          </w:p>
        </w:tc>
        <w:tc>
          <w:tcPr>
            <w:tcW w:type="dxa" w:w="1560"/>
          </w:tcPr>
          <w:p>
            <w:pPr>
              <w:spacing w:before="40" w:after="40" w:line="240" w:lineRule="auto"/>
              <w:jc w:val="right"/>
            </w:pPr>
            <w:r/>
            <w:r>
              <w:rPr>
                <w:rFonts w:ascii="Calibri" w:hAnsi="Calibri"/>
                <w:b w:val="0"/>
                <w:i w:val="0"/>
                <w:sz w:val="20"/>
              </w:rPr>
              <w:t>[DR]</w:t>
            </w:r>
          </w:p>
        </w:tc>
      </w:tr>
      <w:tr>
        <w:tc>
          <w:tcPr>
            <w:tcW w:type="dxa" w:w="1560"/>
          </w:tcPr>
          <w:p>
            <w:pPr>
              <w:spacing w:before="40" w:after="40" w:line="240" w:lineRule="auto"/>
              <w:jc w:val="center"/>
            </w:pPr>
            <w:r/>
            <w:r>
              <w:rPr>
                <w:rFonts w:ascii="Calibri" w:hAnsi="Calibri"/>
                <w:b w:val="0"/>
                <w:i w:val="0"/>
                <w:sz w:val="20"/>
              </w:rPr>
              <w:t>2</w:t>
            </w:r>
          </w:p>
        </w:tc>
        <w:tc>
          <w:tcPr>
            <w:tcW w:type="dxa" w:w="1560"/>
          </w:tcPr>
          <w:p>
            <w:pPr>
              <w:spacing w:before="40" w:after="40" w:line="240" w:lineRule="auto"/>
              <w:jc w:val="left"/>
            </w:pPr>
            <w:r/>
            <w:r>
              <w:rPr>
                <w:rFonts w:ascii="Calibri" w:hAnsi="Calibri"/>
                <w:b w:val="0"/>
                <w:i w:val="0"/>
                <w:sz w:val="20"/>
              </w:rPr>
              <w:t>[DR]</w:t>
            </w:r>
          </w:p>
        </w:tc>
        <w:tc>
          <w:tcPr>
            <w:tcW w:type="dxa" w:w="1560"/>
          </w:tcPr>
          <w:p>
            <w:pPr>
              <w:spacing w:before="40" w:after="40" w:line="240" w:lineRule="auto"/>
              <w:jc w:val="right"/>
            </w:pPr>
            <w:r/>
            <w:r>
              <w:rPr>
                <w:rFonts w:ascii="Calibri" w:hAnsi="Calibri"/>
                <w:b w:val="0"/>
                <w:i w:val="0"/>
                <w:sz w:val="20"/>
              </w:rPr>
              <w:t>[DR]</w:t>
            </w:r>
          </w:p>
        </w:tc>
        <w:tc>
          <w:tcPr>
            <w:tcW w:type="dxa" w:w="1560"/>
          </w:tcPr>
          <w:p>
            <w:pPr>
              <w:spacing w:before="40" w:after="40" w:line="240" w:lineRule="auto"/>
              <w:jc w:val="right"/>
            </w:pPr>
            <w:r/>
            <w:r>
              <w:rPr>
                <w:rFonts w:ascii="Calibri" w:hAnsi="Calibri"/>
                <w:b w:val="0"/>
                <w:i w:val="0"/>
                <w:sz w:val="20"/>
              </w:rPr>
              <w:t>[DR]</w:t>
            </w:r>
          </w:p>
        </w:tc>
        <w:tc>
          <w:tcPr>
            <w:tcW w:type="dxa" w:w="1560"/>
          </w:tcPr>
          <w:p>
            <w:pPr>
              <w:spacing w:before="40" w:after="40" w:line="240" w:lineRule="auto"/>
              <w:jc w:val="right"/>
            </w:pPr>
            <w:r/>
            <w:r>
              <w:rPr>
                <w:rFonts w:ascii="Calibri" w:hAnsi="Calibri"/>
                <w:b w:val="0"/>
                <w:i w:val="0"/>
                <w:sz w:val="20"/>
              </w:rPr>
              <w:t>[DR]</w:t>
            </w:r>
          </w:p>
        </w:tc>
        <w:tc>
          <w:tcPr>
            <w:tcW w:type="dxa" w:w="1560"/>
          </w:tcPr>
          <w:p>
            <w:pPr>
              <w:spacing w:before="40" w:after="40" w:line="240" w:lineRule="auto"/>
              <w:jc w:val="right"/>
            </w:pPr>
            <w:r/>
            <w:r>
              <w:rPr>
                <w:rFonts w:ascii="Calibri" w:hAnsi="Calibri"/>
                <w:b w:val="0"/>
                <w:i w:val="0"/>
                <w:sz w:val="20"/>
              </w:rPr>
              <w:t>[DR]</w:t>
            </w:r>
          </w:p>
        </w:tc>
      </w:tr>
      <w:tr>
        <w:tc>
          <w:tcPr>
            <w:tcW w:type="dxa" w:w="1560"/>
          </w:tcPr>
          <w:p>
            <w:pPr>
              <w:spacing w:before="40" w:after="40" w:line="240" w:lineRule="auto"/>
              <w:jc w:val="center"/>
            </w:pPr>
            <w:r/>
            <w:r>
              <w:rPr>
                <w:rFonts w:ascii="Calibri" w:hAnsi="Calibri"/>
                <w:b w:val="0"/>
                <w:i w:val="0"/>
                <w:sz w:val="20"/>
              </w:rPr>
              <w:t>3</w:t>
            </w:r>
          </w:p>
        </w:tc>
        <w:tc>
          <w:tcPr>
            <w:tcW w:type="dxa" w:w="1560"/>
          </w:tcPr>
          <w:p>
            <w:pPr>
              <w:spacing w:before="40" w:after="40" w:line="240" w:lineRule="auto"/>
              <w:jc w:val="left"/>
            </w:pPr>
            <w:r/>
            <w:r>
              <w:rPr>
                <w:rFonts w:ascii="Calibri" w:hAnsi="Calibri"/>
                <w:b w:val="0"/>
                <w:i w:val="0"/>
                <w:sz w:val="20"/>
              </w:rPr>
              <w:t>[DR]</w:t>
            </w:r>
          </w:p>
        </w:tc>
        <w:tc>
          <w:tcPr>
            <w:tcW w:type="dxa" w:w="1560"/>
          </w:tcPr>
          <w:p>
            <w:pPr>
              <w:spacing w:before="40" w:after="40" w:line="240" w:lineRule="auto"/>
              <w:jc w:val="right"/>
            </w:pPr>
            <w:r/>
            <w:r>
              <w:rPr>
                <w:rFonts w:ascii="Calibri" w:hAnsi="Calibri"/>
                <w:b w:val="0"/>
                <w:i w:val="0"/>
                <w:sz w:val="20"/>
              </w:rPr>
              <w:t>[DR]</w:t>
            </w:r>
          </w:p>
        </w:tc>
        <w:tc>
          <w:tcPr>
            <w:tcW w:type="dxa" w:w="1560"/>
          </w:tcPr>
          <w:p>
            <w:pPr>
              <w:spacing w:before="40" w:after="40" w:line="240" w:lineRule="auto"/>
              <w:jc w:val="right"/>
            </w:pPr>
            <w:r/>
            <w:r>
              <w:rPr>
                <w:rFonts w:ascii="Calibri" w:hAnsi="Calibri"/>
                <w:b w:val="0"/>
                <w:i w:val="0"/>
                <w:sz w:val="20"/>
              </w:rPr>
              <w:t>[DR]</w:t>
            </w:r>
          </w:p>
        </w:tc>
        <w:tc>
          <w:tcPr>
            <w:tcW w:type="dxa" w:w="1560"/>
          </w:tcPr>
          <w:p>
            <w:pPr>
              <w:spacing w:before="40" w:after="40" w:line="240" w:lineRule="auto"/>
              <w:jc w:val="right"/>
            </w:pPr>
            <w:r/>
            <w:r>
              <w:rPr>
                <w:rFonts w:ascii="Calibri" w:hAnsi="Calibri"/>
                <w:b w:val="0"/>
                <w:i w:val="0"/>
                <w:sz w:val="20"/>
              </w:rPr>
              <w:t>[DR]</w:t>
            </w:r>
          </w:p>
        </w:tc>
        <w:tc>
          <w:tcPr>
            <w:tcW w:type="dxa" w:w="1560"/>
          </w:tcPr>
          <w:p>
            <w:pPr>
              <w:spacing w:before="40" w:after="40" w:line="240" w:lineRule="auto"/>
              <w:jc w:val="right"/>
            </w:pPr>
            <w:r/>
            <w:r>
              <w:rPr>
                <w:rFonts w:ascii="Calibri" w:hAnsi="Calibri"/>
                <w:b w:val="0"/>
                <w:i w:val="0"/>
                <w:sz w:val="20"/>
              </w:rPr>
              <w:t>[DR]</w:t>
            </w:r>
          </w:p>
        </w:tc>
      </w:tr>
      <w:tr>
        <w:tc>
          <w:tcPr>
            <w:tcW w:type="dxa" w:w="1560"/>
          </w:tcPr>
          <w:p>
            <w:pPr>
              <w:spacing w:before="40" w:after="40" w:line="240" w:lineRule="auto"/>
              <w:jc w:val="center"/>
            </w:pPr>
            <w:r/>
            <w:r>
              <w:rPr>
                <w:rFonts w:ascii="Calibri" w:hAnsi="Calibri"/>
                <w:b w:val="0"/>
                <w:i w:val="0"/>
                <w:sz w:val="20"/>
              </w:rPr>
              <w:t>4</w:t>
            </w:r>
          </w:p>
        </w:tc>
        <w:tc>
          <w:tcPr>
            <w:tcW w:type="dxa" w:w="1560"/>
          </w:tcPr>
          <w:p>
            <w:pPr>
              <w:spacing w:before="40" w:after="40" w:line="240" w:lineRule="auto"/>
              <w:jc w:val="left"/>
            </w:pPr>
            <w:r/>
            <w:r>
              <w:rPr>
                <w:rFonts w:ascii="Calibri" w:hAnsi="Calibri"/>
                <w:b w:val="0"/>
                <w:i w:val="0"/>
                <w:sz w:val="20"/>
              </w:rPr>
              <w:t>[DR]</w:t>
            </w:r>
          </w:p>
        </w:tc>
        <w:tc>
          <w:tcPr>
            <w:tcW w:type="dxa" w:w="1560"/>
          </w:tcPr>
          <w:p>
            <w:pPr>
              <w:spacing w:before="40" w:after="40" w:line="240" w:lineRule="auto"/>
              <w:jc w:val="right"/>
            </w:pPr>
            <w:r/>
            <w:r>
              <w:rPr>
                <w:rFonts w:ascii="Calibri" w:hAnsi="Calibri"/>
                <w:b w:val="0"/>
                <w:i w:val="0"/>
                <w:sz w:val="20"/>
              </w:rPr>
              <w:t>[DR]</w:t>
            </w:r>
          </w:p>
        </w:tc>
        <w:tc>
          <w:tcPr>
            <w:tcW w:type="dxa" w:w="1560"/>
          </w:tcPr>
          <w:p>
            <w:pPr>
              <w:spacing w:before="40" w:after="40" w:line="240" w:lineRule="auto"/>
              <w:jc w:val="right"/>
            </w:pPr>
            <w:r/>
            <w:r>
              <w:rPr>
                <w:rFonts w:ascii="Calibri" w:hAnsi="Calibri"/>
                <w:b w:val="0"/>
                <w:i w:val="0"/>
                <w:sz w:val="20"/>
              </w:rPr>
              <w:t>[DR]</w:t>
            </w:r>
          </w:p>
        </w:tc>
        <w:tc>
          <w:tcPr>
            <w:tcW w:type="dxa" w:w="1560"/>
          </w:tcPr>
          <w:p>
            <w:pPr>
              <w:spacing w:before="40" w:after="40" w:line="240" w:lineRule="auto"/>
              <w:jc w:val="right"/>
            </w:pPr>
            <w:r/>
            <w:r>
              <w:rPr>
                <w:rFonts w:ascii="Calibri" w:hAnsi="Calibri"/>
                <w:b w:val="0"/>
                <w:i w:val="0"/>
                <w:sz w:val="20"/>
              </w:rPr>
              <w:t>[DR]</w:t>
            </w:r>
          </w:p>
        </w:tc>
        <w:tc>
          <w:tcPr>
            <w:tcW w:type="dxa" w:w="1560"/>
          </w:tcPr>
          <w:p>
            <w:pPr>
              <w:spacing w:before="40" w:after="40" w:line="240" w:lineRule="auto"/>
              <w:jc w:val="right"/>
            </w:pPr>
            <w:r/>
            <w:r>
              <w:rPr>
                <w:rFonts w:ascii="Calibri" w:hAnsi="Calibri"/>
                <w:b w:val="0"/>
                <w:i w:val="0"/>
                <w:sz w:val="20"/>
              </w:rPr>
              <w:t>[DR]</w:t>
            </w:r>
          </w:p>
        </w:tc>
      </w:tr>
      <w:tr>
        <w:tc>
          <w:tcPr>
            <w:tcW w:type="dxa" w:w="1560"/>
          </w:tcPr>
          <w:p>
            <w:pPr>
              <w:spacing w:before="40" w:after="40" w:line="240" w:lineRule="auto"/>
              <w:jc w:val="center"/>
            </w:pPr>
            <w:r/>
            <w:r>
              <w:rPr>
                <w:rFonts w:ascii="Calibri" w:hAnsi="Calibri"/>
                <w:b w:val="0"/>
                <w:i w:val="0"/>
                <w:sz w:val="20"/>
              </w:rPr>
              <w:t>5</w:t>
            </w:r>
          </w:p>
        </w:tc>
        <w:tc>
          <w:tcPr>
            <w:tcW w:type="dxa" w:w="1560"/>
          </w:tcPr>
          <w:p>
            <w:pPr>
              <w:spacing w:before="40" w:after="40" w:line="240" w:lineRule="auto"/>
              <w:jc w:val="left"/>
            </w:pPr>
            <w:r/>
            <w:r>
              <w:rPr>
                <w:rFonts w:ascii="Calibri" w:hAnsi="Calibri"/>
                <w:b w:val="0"/>
                <w:i w:val="0"/>
                <w:sz w:val="20"/>
              </w:rPr>
              <w:t>[DR]</w:t>
            </w:r>
          </w:p>
        </w:tc>
        <w:tc>
          <w:tcPr>
            <w:tcW w:type="dxa" w:w="1560"/>
          </w:tcPr>
          <w:p>
            <w:pPr>
              <w:spacing w:before="40" w:after="40" w:line="240" w:lineRule="auto"/>
              <w:jc w:val="right"/>
            </w:pPr>
            <w:r/>
            <w:r>
              <w:rPr>
                <w:rFonts w:ascii="Calibri" w:hAnsi="Calibri"/>
                <w:b w:val="0"/>
                <w:i w:val="0"/>
                <w:sz w:val="20"/>
              </w:rPr>
              <w:t>[DR]</w:t>
            </w:r>
          </w:p>
        </w:tc>
        <w:tc>
          <w:tcPr>
            <w:tcW w:type="dxa" w:w="1560"/>
          </w:tcPr>
          <w:p>
            <w:pPr>
              <w:spacing w:before="40" w:after="40" w:line="240" w:lineRule="auto"/>
              <w:jc w:val="right"/>
            </w:pPr>
            <w:r/>
            <w:r>
              <w:rPr>
                <w:rFonts w:ascii="Calibri" w:hAnsi="Calibri"/>
                <w:b w:val="0"/>
                <w:i w:val="0"/>
                <w:sz w:val="20"/>
              </w:rPr>
              <w:t>[DR]</w:t>
            </w:r>
          </w:p>
        </w:tc>
        <w:tc>
          <w:tcPr>
            <w:tcW w:type="dxa" w:w="1560"/>
          </w:tcPr>
          <w:p>
            <w:pPr>
              <w:spacing w:before="40" w:after="40" w:line="240" w:lineRule="auto"/>
              <w:jc w:val="right"/>
            </w:pPr>
            <w:r/>
            <w:r>
              <w:rPr>
                <w:rFonts w:ascii="Calibri" w:hAnsi="Calibri"/>
                <w:b w:val="0"/>
                <w:i w:val="0"/>
                <w:sz w:val="20"/>
              </w:rPr>
              <w:t>[DR]</w:t>
            </w:r>
          </w:p>
        </w:tc>
        <w:tc>
          <w:tcPr>
            <w:tcW w:type="dxa" w:w="1560"/>
          </w:tcPr>
          <w:p>
            <w:pPr>
              <w:spacing w:before="40" w:after="40" w:line="240" w:lineRule="auto"/>
              <w:jc w:val="right"/>
            </w:pPr>
            <w:r/>
            <w:r>
              <w:rPr>
                <w:rFonts w:ascii="Calibri" w:hAnsi="Calibri"/>
                <w:b w:val="0"/>
                <w:i w:val="0"/>
                <w:sz w:val="20"/>
              </w:rPr>
              <w:t>[DR]</w:t>
            </w:r>
          </w:p>
        </w:tc>
      </w:tr>
      <w:tr>
        <w:tc>
          <w:tcPr>
            <w:tcW w:type="dxa" w:w="1560"/>
          </w:tcPr>
          <w:p>
            <w:pPr>
              <w:spacing w:before="40" w:after="40" w:line="240" w:lineRule="auto"/>
              <w:jc w:val="center"/>
            </w:pPr>
            <w:r/>
            <w:r>
              <w:rPr>
                <w:rFonts w:ascii="Calibri" w:hAnsi="Calibri"/>
                <w:b w:val="0"/>
                <w:i w:val="0"/>
                <w:sz w:val="20"/>
              </w:rPr>
              <w:t>6</w:t>
            </w:r>
          </w:p>
        </w:tc>
        <w:tc>
          <w:tcPr>
            <w:tcW w:type="dxa" w:w="1560"/>
          </w:tcPr>
          <w:p>
            <w:pPr>
              <w:spacing w:before="40" w:after="40" w:line="240" w:lineRule="auto"/>
              <w:jc w:val="left"/>
            </w:pPr>
            <w:r/>
            <w:r>
              <w:rPr>
                <w:rFonts w:ascii="Calibri" w:hAnsi="Calibri"/>
                <w:b w:val="0"/>
                <w:i w:val="0"/>
                <w:sz w:val="20"/>
              </w:rPr>
              <w:t>[DR]</w:t>
            </w:r>
          </w:p>
        </w:tc>
        <w:tc>
          <w:tcPr>
            <w:tcW w:type="dxa" w:w="1560"/>
          </w:tcPr>
          <w:p>
            <w:pPr>
              <w:spacing w:before="40" w:after="40" w:line="240" w:lineRule="auto"/>
              <w:jc w:val="right"/>
            </w:pPr>
            <w:r/>
            <w:r>
              <w:rPr>
                <w:rFonts w:ascii="Calibri" w:hAnsi="Calibri"/>
                <w:b w:val="0"/>
                <w:i w:val="0"/>
                <w:sz w:val="20"/>
              </w:rPr>
              <w:t>[DR]</w:t>
            </w:r>
          </w:p>
        </w:tc>
        <w:tc>
          <w:tcPr>
            <w:tcW w:type="dxa" w:w="1560"/>
          </w:tcPr>
          <w:p>
            <w:pPr>
              <w:spacing w:before="40" w:after="40" w:line="240" w:lineRule="auto"/>
              <w:jc w:val="right"/>
            </w:pPr>
            <w:r/>
            <w:r>
              <w:rPr>
                <w:rFonts w:ascii="Calibri" w:hAnsi="Calibri"/>
                <w:b w:val="0"/>
                <w:i w:val="0"/>
                <w:sz w:val="20"/>
              </w:rPr>
              <w:t>[DR]</w:t>
            </w:r>
          </w:p>
        </w:tc>
        <w:tc>
          <w:tcPr>
            <w:tcW w:type="dxa" w:w="1560"/>
          </w:tcPr>
          <w:p>
            <w:pPr>
              <w:spacing w:before="40" w:after="40" w:line="240" w:lineRule="auto"/>
              <w:jc w:val="right"/>
            </w:pPr>
            <w:r/>
            <w:r>
              <w:rPr>
                <w:rFonts w:ascii="Calibri" w:hAnsi="Calibri"/>
                <w:b w:val="0"/>
                <w:i w:val="0"/>
                <w:sz w:val="20"/>
              </w:rPr>
              <w:t>[DR]</w:t>
            </w:r>
          </w:p>
        </w:tc>
        <w:tc>
          <w:tcPr>
            <w:tcW w:type="dxa" w:w="1560"/>
          </w:tcPr>
          <w:p>
            <w:pPr>
              <w:spacing w:before="40" w:after="40" w:line="240" w:lineRule="auto"/>
              <w:jc w:val="right"/>
            </w:pPr>
            <w:r/>
            <w:r>
              <w:rPr>
                <w:rFonts w:ascii="Calibri" w:hAnsi="Calibri"/>
                <w:b w:val="0"/>
                <w:i w:val="0"/>
                <w:sz w:val="20"/>
              </w:rPr>
              <w:t>[DR]</w:t>
            </w:r>
          </w:p>
        </w:tc>
      </w:tr>
      <w:tr>
        <w:tc>
          <w:tcPr>
            <w:tcW w:type="dxa" w:w="1560"/>
          </w:tcPr>
          <w:p>
            <w:pPr>
              <w:spacing w:before="40" w:after="40" w:line="240" w:lineRule="auto"/>
              <w:jc w:val="center"/>
            </w:pPr>
            <w:r/>
            <w:r>
              <w:rPr>
                <w:rFonts w:ascii="Calibri" w:hAnsi="Calibri"/>
                <w:b w:val="0"/>
                <w:i w:val="0"/>
                <w:sz w:val="20"/>
              </w:rPr>
              <w:t>7</w:t>
            </w:r>
          </w:p>
        </w:tc>
        <w:tc>
          <w:tcPr>
            <w:tcW w:type="dxa" w:w="1560"/>
          </w:tcPr>
          <w:p>
            <w:pPr>
              <w:spacing w:before="40" w:after="40" w:line="240" w:lineRule="auto"/>
              <w:jc w:val="left"/>
            </w:pPr>
            <w:r/>
            <w:r>
              <w:rPr>
                <w:rFonts w:ascii="Calibri" w:hAnsi="Calibri"/>
                <w:b w:val="0"/>
                <w:i w:val="0"/>
                <w:sz w:val="20"/>
              </w:rPr>
              <w:t>[DR]</w:t>
            </w:r>
          </w:p>
        </w:tc>
        <w:tc>
          <w:tcPr>
            <w:tcW w:type="dxa" w:w="1560"/>
          </w:tcPr>
          <w:p>
            <w:pPr>
              <w:spacing w:before="40" w:after="40" w:line="240" w:lineRule="auto"/>
              <w:jc w:val="right"/>
            </w:pPr>
            <w:r/>
            <w:r>
              <w:rPr>
                <w:rFonts w:ascii="Calibri" w:hAnsi="Calibri"/>
                <w:b w:val="0"/>
                <w:i w:val="0"/>
                <w:sz w:val="20"/>
              </w:rPr>
              <w:t>[DR]</w:t>
            </w:r>
          </w:p>
        </w:tc>
        <w:tc>
          <w:tcPr>
            <w:tcW w:type="dxa" w:w="1560"/>
          </w:tcPr>
          <w:p>
            <w:pPr>
              <w:spacing w:before="40" w:after="40" w:line="240" w:lineRule="auto"/>
              <w:jc w:val="right"/>
            </w:pPr>
            <w:r/>
            <w:r>
              <w:rPr>
                <w:rFonts w:ascii="Calibri" w:hAnsi="Calibri"/>
                <w:b w:val="0"/>
                <w:i w:val="0"/>
                <w:sz w:val="20"/>
              </w:rPr>
              <w:t>[DR]</w:t>
            </w:r>
          </w:p>
        </w:tc>
        <w:tc>
          <w:tcPr>
            <w:tcW w:type="dxa" w:w="1560"/>
          </w:tcPr>
          <w:p>
            <w:pPr>
              <w:spacing w:before="40" w:after="40" w:line="240" w:lineRule="auto"/>
              <w:jc w:val="right"/>
            </w:pPr>
            <w:r/>
            <w:r>
              <w:rPr>
                <w:rFonts w:ascii="Calibri" w:hAnsi="Calibri"/>
                <w:b w:val="0"/>
                <w:i w:val="0"/>
                <w:sz w:val="20"/>
              </w:rPr>
              <w:t>[DR]</w:t>
            </w:r>
          </w:p>
        </w:tc>
        <w:tc>
          <w:tcPr>
            <w:tcW w:type="dxa" w:w="1560"/>
          </w:tcPr>
          <w:p>
            <w:pPr>
              <w:spacing w:before="40" w:after="40" w:line="240" w:lineRule="auto"/>
              <w:jc w:val="right"/>
            </w:pPr>
            <w:r/>
            <w:r>
              <w:rPr>
                <w:rFonts w:ascii="Calibri" w:hAnsi="Calibri"/>
                <w:b w:val="0"/>
                <w:i w:val="0"/>
                <w:sz w:val="20"/>
              </w:rPr>
              <w:t>[DR]</w:t>
            </w:r>
          </w:p>
        </w:tc>
      </w:tr>
      <w:tr>
        <w:tc>
          <w:tcPr>
            <w:tcW w:type="dxa" w:w="1560"/>
          </w:tcPr>
          <w:p>
            <w:pPr>
              <w:spacing w:before="40" w:after="40" w:line="240" w:lineRule="auto"/>
              <w:jc w:val="center"/>
            </w:pPr>
            <w:r/>
            <w:r>
              <w:rPr>
                <w:rFonts w:ascii="Calibri" w:hAnsi="Calibri"/>
                <w:b w:val="0"/>
                <w:i w:val="0"/>
                <w:sz w:val="20"/>
              </w:rPr>
              <w:t>8</w:t>
            </w:r>
          </w:p>
        </w:tc>
        <w:tc>
          <w:tcPr>
            <w:tcW w:type="dxa" w:w="1560"/>
          </w:tcPr>
          <w:p>
            <w:pPr>
              <w:spacing w:before="40" w:after="40" w:line="240" w:lineRule="auto"/>
              <w:jc w:val="left"/>
            </w:pPr>
            <w:r/>
            <w:r>
              <w:rPr>
                <w:rFonts w:ascii="Calibri" w:hAnsi="Calibri"/>
                <w:b w:val="0"/>
                <w:i w:val="0"/>
                <w:sz w:val="20"/>
              </w:rPr>
              <w:t>[DR]</w:t>
            </w:r>
          </w:p>
        </w:tc>
        <w:tc>
          <w:tcPr>
            <w:tcW w:type="dxa" w:w="1560"/>
          </w:tcPr>
          <w:p>
            <w:pPr>
              <w:spacing w:before="40" w:after="40" w:line="240" w:lineRule="auto"/>
              <w:jc w:val="right"/>
            </w:pPr>
            <w:r/>
            <w:r>
              <w:rPr>
                <w:rFonts w:ascii="Calibri" w:hAnsi="Calibri"/>
                <w:b w:val="0"/>
                <w:i w:val="0"/>
                <w:sz w:val="20"/>
              </w:rPr>
              <w:t>[DR]</w:t>
            </w:r>
          </w:p>
        </w:tc>
        <w:tc>
          <w:tcPr>
            <w:tcW w:type="dxa" w:w="1560"/>
          </w:tcPr>
          <w:p>
            <w:pPr>
              <w:spacing w:before="40" w:after="40" w:line="240" w:lineRule="auto"/>
              <w:jc w:val="right"/>
            </w:pPr>
            <w:r/>
            <w:r>
              <w:rPr>
                <w:rFonts w:ascii="Calibri" w:hAnsi="Calibri"/>
                <w:b w:val="0"/>
                <w:i w:val="0"/>
                <w:sz w:val="20"/>
              </w:rPr>
              <w:t>[DR]</w:t>
            </w:r>
          </w:p>
        </w:tc>
        <w:tc>
          <w:tcPr>
            <w:tcW w:type="dxa" w:w="1560"/>
          </w:tcPr>
          <w:p>
            <w:pPr>
              <w:spacing w:before="40" w:after="40" w:line="240" w:lineRule="auto"/>
              <w:jc w:val="right"/>
            </w:pPr>
            <w:r/>
            <w:r>
              <w:rPr>
                <w:rFonts w:ascii="Calibri" w:hAnsi="Calibri"/>
                <w:b w:val="0"/>
                <w:i w:val="0"/>
                <w:sz w:val="20"/>
              </w:rPr>
              <w:t>[DR]</w:t>
            </w:r>
          </w:p>
        </w:tc>
        <w:tc>
          <w:tcPr>
            <w:tcW w:type="dxa" w:w="1560"/>
          </w:tcPr>
          <w:p>
            <w:pPr>
              <w:spacing w:before="40" w:after="40" w:line="240" w:lineRule="auto"/>
              <w:jc w:val="right"/>
            </w:pPr>
            <w:r/>
            <w:r>
              <w:rPr>
                <w:rFonts w:ascii="Calibri" w:hAnsi="Calibri"/>
                <w:b w:val="0"/>
                <w:i w:val="0"/>
                <w:sz w:val="20"/>
              </w:rPr>
              <w:t>[DR]</w:t>
            </w:r>
          </w:p>
        </w:tc>
      </w:tr>
    </w:tbl>
    <w:p>
      <w:pPr>
        <w:spacing w:before="40" w:after="160"/>
      </w:pPr>
      <w:r>
        <w:rPr>
          <w:rFonts w:ascii="Calibri" w:hAnsi="Calibri"/>
          <w:i/>
          <w:sz w:val="18"/>
        </w:rPr>
        <w:t>Notes:* Ann. Return = annualised geometric mean return. Ann. Volatility = annualised standard deviation of returns. Max Drawdown = largest peak-to-trough decline over the sample period. Sharpe Ratio = (Ann. Return − Risk-Free Rate) / Ann. Volatility. All figures rounded to 2 decimal places. Source:* [DR] — asset class dataset not yet provided.</w:t>
      </w:r>
    </w:p>
    <w:p>
      <w:pPr>
        <w:spacing w:line="360" w:lineRule="auto"/>
      </w:pPr>
      <w:r>
        <w:rPr>
          <w:rFonts w:ascii="Calibri" w:hAnsi="Calibri"/>
          <w:sz w:val="24"/>
        </w:rPr>
        <w:t>As shown in Table 1, [DATA REQUIRED — identify the asset class with the highest annualised return] delivered the highest nominal return at [DATA REQUIRED]% per annum, accompanied by volatility of [DATA REQUIRED]% and a Sharpe ratio of [DATA REQUIRED]. Conversely, [DATA REQUIRED — identify the lowest-volatility asset class] exhibited annualised volatility of [DATA REQUIRED]%, though its return of [DATA REQUIRED]% was commensurately modest.</w:t>
      </w:r>
    </w:p>
    <w:p>
      <w:pPr>
        <w:spacing w:line="360" w:lineRule="auto"/>
      </w:pPr>
      <w:r>
        <w:rPr>
          <w:rFonts w:ascii="Calibri" w:hAnsi="Calibri"/>
          <w:sz w:val="24"/>
        </w:rPr>
        <w:t>The risk-return frontier implied by Table 1 reveals whether any asset classes are dominated — that is, whether any class offers both lower return and higher risk than an alternative. [DATA REQUIRED — identify dominated asset classes, if any.] Ilmanen (2011) cautioned that historical average returns embed period-specific biases and may not reflect forward-looking risk premia, a consideration particularly relevant for asset classes with short or unrepresentative sample histories. Dimson et al. (2021), drawing on over 120 years of global data, demonstrated that while equities have outperformed bonds and bills across major markets, the magnitude of the equity risk premium has varied substantially across countries and periods, underscoring the danger of naive extrapolation from a single-market sample.</w:t>
      </w:r>
    </w:p>
    <w:p>
      <w:pPr>
        <w:spacing w:line="360" w:lineRule="auto"/>
      </w:pPr>
      <w:r>
        <w:rPr>
          <w:rFonts w:ascii="Calibri" w:hAnsi="Calibri"/>
          <w:sz w:val="24"/>
        </w:rPr>
        <w:t>Maximum drawdown — the largest peak-to-trough decline over the sample period — provides a complementary tail-risk perspective. As reported in Table 1, [DATA REQUIRED — identify the asset class with the deepest drawdown] suffered the most severe drawdown of [DATA REQUIRED]%, reflecting sensitivity to [DATA REQUIRED — economic regime or market event]. Notably, [DATA REQUIRED — comment on whether any asset class exhibited a non-linear risk-return profile, e.g., modest volatility but an outsized drawdown, indicating negative skewness or fat tails in its return distribution].</w:t>
      </w:r>
    </w:p>
    <w:p>
      <w:pPr>
        <w:spacing w:line="360" w:lineRule="auto"/>
      </w:pPr>
      <w:r>
        <w:rPr>
          <w:rFonts w:ascii="Calibri" w:hAnsi="Calibri"/>
          <w:sz w:val="24"/>
        </w:rPr>
        <w:t>From a factor-based perspective, return differences across asset classes are not solely attributable to market beta. Fama and French (2015) showed that size, value, profitability, and investment factors explain substantial return variation, while Asness et al. (2013) documented value and momentum premia across equities, bonds, currencies, and commodities. Decomposing asset class returns into factor exposures may clarify whether superior Sharpe ratios reflect genuine alpha or compensation for systematic factor tilts (Ang, 2014).</w:t>
      </w:r>
    </w:p>
    <w:p>
      <w:pPr>
        <w:pStyle w:val="Heading3"/>
      </w:pPr>
      <w:r>
        <w:t>2.2 Liquidity Assessment</w:t>
      </w:r>
    </w:p>
    <w:p>
      <w:pPr>
        <w:spacing w:line="360" w:lineRule="auto"/>
      </w:pPr>
      <w:r>
        <w:rPr>
          <w:rFonts w:ascii="Calibri" w:hAnsi="Calibri"/>
          <w:sz w:val="24"/>
        </w:rPr>
        <w:t>Table 2 characterises each asset class across four liquidity dimensions: bid-ask spread, redemption frequency, market depth tier, and a composite liquidity score. These dimensions capture distinct facets of liquidity — transaction cost (spread), time-to-cash (redemption), and capacity (depth) — that together determine the practical ease with which positions can be established or unwound without material price impact.</w:t>
      </w:r>
    </w:p>
    <w:p>
      <w:pPr>
        <w:spacing w:before="240" w:after="80"/>
      </w:pPr>
      <w:r>
        <w:rPr>
          <w:rFonts w:ascii="Calibri" w:hAnsi="Calibri"/>
          <w:b/>
          <w:sz w:val="22"/>
        </w:rPr>
        <w:t>Table 2: Liquidity Comparison by Asset Class</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560"/>
        <w:gridCol w:w="1560"/>
        <w:gridCol w:w="1560"/>
        <w:gridCol w:w="1560"/>
        <w:gridCol w:w="1560"/>
        <w:gridCol w:w="1560"/>
      </w:tblGrid>
      <w:tr>
        <w:tc>
          <w:tcPr>
            <w:tcW w:type="dxa" w:w="1560"/>
            <w:shd w:fill="1F497D" w:val="clear"/>
          </w:tcPr>
          <w:p>
            <w:pPr>
              <w:spacing w:before="40" w:after="40" w:line="240" w:lineRule="auto"/>
              <w:jc w:val="center"/>
            </w:pPr>
            <w:r>
              <w:rPr>
                <w:b/>
                <w:color w:val="FFFFFF"/>
              </w:rPr>
            </w:r>
            <w:r>
              <w:rPr>
                <w:rFonts w:ascii="Calibri" w:hAnsi="Calibri"/>
                <w:b/>
                <w:i w:val="0"/>
                <w:color w:val="FFFFFF"/>
                <w:sz w:val="20"/>
              </w:rPr>
              <w:t>#</w:t>
            </w:r>
          </w:p>
        </w:tc>
        <w:tc>
          <w:tcPr>
            <w:tcW w:type="dxa" w:w="1560"/>
            <w:shd w:fill="1F497D" w:val="clear"/>
          </w:tcPr>
          <w:p>
            <w:pPr>
              <w:spacing w:before="40" w:after="40" w:line="240" w:lineRule="auto"/>
              <w:jc w:val="center"/>
            </w:pPr>
            <w:r>
              <w:rPr>
                <w:b/>
                <w:color w:val="FFFFFF"/>
              </w:rPr>
            </w:r>
            <w:r>
              <w:rPr>
                <w:rFonts w:ascii="Calibri" w:hAnsi="Calibri"/>
                <w:b/>
                <w:i w:val="0"/>
                <w:color w:val="FFFFFF"/>
                <w:sz w:val="20"/>
              </w:rPr>
              <w:t>Asset Class</w:t>
            </w:r>
          </w:p>
        </w:tc>
        <w:tc>
          <w:tcPr>
            <w:tcW w:type="dxa" w:w="1560"/>
            <w:shd w:fill="1F497D" w:val="clear"/>
          </w:tcPr>
          <w:p>
            <w:pPr>
              <w:spacing w:before="40" w:after="40" w:line="240" w:lineRule="auto"/>
              <w:jc w:val="center"/>
            </w:pPr>
            <w:r>
              <w:rPr>
                <w:b/>
                <w:color w:val="FFFFFF"/>
              </w:rPr>
            </w:r>
            <w:r>
              <w:rPr>
                <w:rFonts w:ascii="Calibri" w:hAnsi="Calibri"/>
                <w:b/>
                <w:i w:val="0"/>
                <w:color w:val="FFFFFF"/>
                <w:sz w:val="20"/>
              </w:rPr>
              <w:t>Bid-Ask Spread (bps)</w:t>
            </w:r>
          </w:p>
        </w:tc>
        <w:tc>
          <w:tcPr>
            <w:tcW w:type="dxa" w:w="1560"/>
            <w:shd w:fill="1F497D" w:val="clear"/>
          </w:tcPr>
          <w:p>
            <w:pPr>
              <w:spacing w:before="40" w:after="40" w:line="240" w:lineRule="auto"/>
              <w:jc w:val="center"/>
            </w:pPr>
            <w:r>
              <w:rPr>
                <w:b/>
                <w:color w:val="FFFFFF"/>
              </w:rPr>
            </w:r>
            <w:r>
              <w:rPr>
                <w:rFonts w:ascii="Calibri" w:hAnsi="Calibri"/>
                <w:b/>
                <w:i w:val="0"/>
                <w:color w:val="FFFFFF"/>
                <w:sz w:val="20"/>
              </w:rPr>
              <w:t>Redemption Frequency</w:t>
            </w:r>
          </w:p>
        </w:tc>
        <w:tc>
          <w:tcPr>
            <w:tcW w:type="dxa" w:w="1560"/>
            <w:shd w:fill="1F497D" w:val="clear"/>
          </w:tcPr>
          <w:p>
            <w:pPr>
              <w:spacing w:before="40" w:after="40" w:line="240" w:lineRule="auto"/>
              <w:jc w:val="center"/>
            </w:pPr>
            <w:r>
              <w:rPr>
                <w:b/>
                <w:color w:val="FFFFFF"/>
              </w:rPr>
            </w:r>
            <w:r>
              <w:rPr>
                <w:rFonts w:ascii="Calibri" w:hAnsi="Calibri"/>
                <w:b/>
                <w:i w:val="0"/>
                <w:color w:val="FFFFFF"/>
                <w:sz w:val="20"/>
              </w:rPr>
              <w:t>Market Depth Tier</w:t>
            </w:r>
          </w:p>
        </w:tc>
        <w:tc>
          <w:tcPr>
            <w:tcW w:type="dxa" w:w="1560"/>
            <w:shd w:fill="1F497D" w:val="clear"/>
          </w:tcPr>
          <w:p>
            <w:pPr>
              <w:spacing w:before="40" w:after="40" w:line="240" w:lineRule="auto"/>
              <w:jc w:val="center"/>
            </w:pPr>
            <w:r>
              <w:rPr>
                <w:b/>
                <w:color w:val="FFFFFF"/>
              </w:rPr>
            </w:r>
            <w:r>
              <w:rPr>
                <w:rFonts w:ascii="Calibri" w:hAnsi="Calibri"/>
                <w:b/>
                <w:i w:val="0"/>
                <w:color w:val="FFFFFF"/>
                <w:sz w:val="20"/>
              </w:rPr>
              <w:t>Liquidity Score</w:t>
            </w:r>
          </w:p>
        </w:tc>
      </w:tr>
      <w:tr>
        <w:tc>
          <w:tcPr>
            <w:tcW w:type="dxa" w:w="1560"/>
          </w:tcPr>
          <w:p>
            <w:pPr>
              <w:spacing w:before="40" w:after="40" w:line="240" w:lineRule="auto"/>
              <w:jc w:val="center"/>
            </w:pPr>
            <w:r/>
            <w:r>
              <w:rPr>
                <w:rFonts w:ascii="Calibri" w:hAnsi="Calibri"/>
                <w:b w:val="0"/>
                <w:i w:val="0"/>
                <w:sz w:val="20"/>
              </w:rPr>
              <w:t>1</w:t>
            </w:r>
          </w:p>
        </w:tc>
        <w:tc>
          <w:tcPr>
            <w:tcW w:type="dxa" w:w="1560"/>
          </w:tcPr>
          <w:p>
            <w:pPr>
              <w:spacing w:before="40" w:after="40" w:line="240" w:lineRule="auto"/>
              <w:jc w:val="left"/>
            </w:pPr>
            <w:r/>
            <w:r>
              <w:rPr>
                <w:rFonts w:ascii="Calibri" w:hAnsi="Calibri"/>
                <w:b w:val="0"/>
                <w:i w:val="0"/>
                <w:sz w:val="20"/>
              </w:rPr>
              <w:t>[DR]</w:t>
            </w:r>
          </w:p>
        </w:tc>
        <w:tc>
          <w:tcPr>
            <w:tcW w:type="dxa" w:w="1560"/>
          </w:tcPr>
          <w:p>
            <w:pPr>
              <w:spacing w:before="40" w:after="40" w:line="240" w:lineRule="auto"/>
              <w:jc w:val="right"/>
            </w:pPr>
            <w:r/>
            <w:r>
              <w:rPr>
                <w:rFonts w:ascii="Calibri" w:hAnsi="Calibri"/>
                <w:b w:val="0"/>
                <w:i w:val="0"/>
                <w:sz w:val="20"/>
              </w:rPr>
              <w:t>[DR]</w:t>
            </w:r>
          </w:p>
        </w:tc>
        <w:tc>
          <w:tcPr>
            <w:tcW w:type="dxa" w:w="1560"/>
          </w:tcPr>
          <w:p>
            <w:pPr>
              <w:spacing w:before="40" w:after="40" w:line="240" w:lineRule="auto"/>
              <w:jc w:val="left"/>
            </w:pPr>
            <w:r/>
            <w:r>
              <w:rPr>
                <w:rFonts w:ascii="Calibri" w:hAnsi="Calibri"/>
                <w:b w:val="0"/>
                <w:i w:val="0"/>
                <w:sz w:val="20"/>
              </w:rPr>
              <w:t>[DR]</w:t>
            </w:r>
          </w:p>
        </w:tc>
        <w:tc>
          <w:tcPr>
            <w:tcW w:type="dxa" w:w="1560"/>
          </w:tcPr>
          <w:p>
            <w:pPr>
              <w:spacing w:before="40" w:after="40" w:line="240" w:lineRule="auto"/>
              <w:jc w:val="left"/>
            </w:pPr>
            <w:r/>
            <w:r>
              <w:rPr>
                <w:rFonts w:ascii="Calibri" w:hAnsi="Calibri"/>
                <w:b w:val="0"/>
                <w:i w:val="0"/>
                <w:sz w:val="20"/>
              </w:rPr>
              <w:t>[DR]</w:t>
            </w:r>
          </w:p>
        </w:tc>
        <w:tc>
          <w:tcPr>
            <w:tcW w:type="dxa" w:w="1560"/>
          </w:tcPr>
          <w:p>
            <w:pPr>
              <w:spacing w:before="40" w:after="40" w:line="240" w:lineRule="auto"/>
              <w:jc w:val="right"/>
            </w:pPr>
            <w:r/>
            <w:r>
              <w:rPr>
                <w:rFonts w:ascii="Calibri" w:hAnsi="Calibri"/>
                <w:b w:val="0"/>
                <w:i w:val="0"/>
                <w:sz w:val="20"/>
              </w:rPr>
              <w:t>[DR]</w:t>
            </w:r>
          </w:p>
        </w:tc>
      </w:tr>
      <w:tr>
        <w:tc>
          <w:tcPr>
            <w:tcW w:type="dxa" w:w="1560"/>
          </w:tcPr>
          <w:p>
            <w:pPr>
              <w:spacing w:before="40" w:after="40" w:line="240" w:lineRule="auto"/>
              <w:jc w:val="center"/>
            </w:pPr>
            <w:r/>
            <w:r>
              <w:rPr>
                <w:rFonts w:ascii="Calibri" w:hAnsi="Calibri"/>
                <w:b w:val="0"/>
                <w:i w:val="0"/>
                <w:sz w:val="20"/>
              </w:rPr>
              <w:t>2</w:t>
            </w:r>
          </w:p>
        </w:tc>
        <w:tc>
          <w:tcPr>
            <w:tcW w:type="dxa" w:w="1560"/>
          </w:tcPr>
          <w:p>
            <w:pPr>
              <w:spacing w:before="40" w:after="40" w:line="240" w:lineRule="auto"/>
              <w:jc w:val="left"/>
            </w:pPr>
            <w:r/>
            <w:r>
              <w:rPr>
                <w:rFonts w:ascii="Calibri" w:hAnsi="Calibri"/>
                <w:b w:val="0"/>
                <w:i w:val="0"/>
                <w:sz w:val="20"/>
              </w:rPr>
              <w:t>[DR]</w:t>
            </w:r>
          </w:p>
        </w:tc>
        <w:tc>
          <w:tcPr>
            <w:tcW w:type="dxa" w:w="1560"/>
          </w:tcPr>
          <w:p>
            <w:pPr>
              <w:spacing w:before="40" w:after="40" w:line="240" w:lineRule="auto"/>
              <w:jc w:val="right"/>
            </w:pPr>
            <w:r/>
            <w:r>
              <w:rPr>
                <w:rFonts w:ascii="Calibri" w:hAnsi="Calibri"/>
                <w:b w:val="0"/>
                <w:i w:val="0"/>
                <w:sz w:val="20"/>
              </w:rPr>
              <w:t>[DR]</w:t>
            </w:r>
          </w:p>
        </w:tc>
        <w:tc>
          <w:tcPr>
            <w:tcW w:type="dxa" w:w="1560"/>
          </w:tcPr>
          <w:p>
            <w:pPr>
              <w:spacing w:before="40" w:after="40" w:line="240" w:lineRule="auto"/>
              <w:jc w:val="left"/>
            </w:pPr>
            <w:r/>
            <w:r>
              <w:rPr>
                <w:rFonts w:ascii="Calibri" w:hAnsi="Calibri"/>
                <w:b w:val="0"/>
                <w:i w:val="0"/>
                <w:sz w:val="20"/>
              </w:rPr>
              <w:t>[DR]</w:t>
            </w:r>
          </w:p>
        </w:tc>
        <w:tc>
          <w:tcPr>
            <w:tcW w:type="dxa" w:w="1560"/>
          </w:tcPr>
          <w:p>
            <w:pPr>
              <w:spacing w:before="40" w:after="40" w:line="240" w:lineRule="auto"/>
              <w:jc w:val="left"/>
            </w:pPr>
            <w:r/>
            <w:r>
              <w:rPr>
                <w:rFonts w:ascii="Calibri" w:hAnsi="Calibri"/>
                <w:b w:val="0"/>
                <w:i w:val="0"/>
                <w:sz w:val="20"/>
              </w:rPr>
              <w:t>[DR]</w:t>
            </w:r>
          </w:p>
        </w:tc>
        <w:tc>
          <w:tcPr>
            <w:tcW w:type="dxa" w:w="1560"/>
          </w:tcPr>
          <w:p>
            <w:pPr>
              <w:spacing w:before="40" w:after="40" w:line="240" w:lineRule="auto"/>
              <w:jc w:val="right"/>
            </w:pPr>
            <w:r/>
            <w:r>
              <w:rPr>
                <w:rFonts w:ascii="Calibri" w:hAnsi="Calibri"/>
                <w:b w:val="0"/>
                <w:i w:val="0"/>
                <w:sz w:val="20"/>
              </w:rPr>
              <w:t>[DR]</w:t>
            </w:r>
          </w:p>
        </w:tc>
      </w:tr>
      <w:tr>
        <w:tc>
          <w:tcPr>
            <w:tcW w:type="dxa" w:w="1560"/>
          </w:tcPr>
          <w:p>
            <w:pPr>
              <w:spacing w:before="40" w:after="40" w:line="240" w:lineRule="auto"/>
              <w:jc w:val="center"/>
            </w:pPr>
            <w:r/>
            <w:r>
              <w:rPr>
                <w:rFonts w:ascii="Calibri" w:hAnsi="Calibri"/>
                <w:b w:val="0"/>
                <w:i w:val="0"/>
                <w:sz w:val="20"/>
              </w:rPr>
              <w:t>3</w:t>
            </w:r>
          </w:p>
        </w:tc>
        <w:tc>
          <w:tcPr>
            <w:tcW w:type="dxa" w:w="1560"/>
          </w:tcPr>
          <w:p>
            <w:pPr>
              <w:spacing w:before="40" w:after="40" w:line="240" w:lineRule="auto"/>
              <w:jc w:val="left"/>
            </w:pPr>
            <w:r/>
            <w:r>
              <w:rPr>
                <w:rFonts w:ascii="Calibri" w:hAnsi="Calibri"/>
                <w:b w:val="0"/>
                <w:i w:val="0"/>
                <w:sz w:val="20"/>
              </w:rPr>
              <w:t>[DR]</w:t>
            </w:r>
          </w:p>
        </w:tc>
        <w:tc>
          <w:tcPr>
            <w:tcW w:type="dxa" w:w="1560"/>
          </w:tcPr>
          <w:p>
            <w:pPr>
              <w:spacing w:before="40" w:after="40" w:line="240" w:lineRule="auto"/>
              <w:jc w:val="right"/>
            </w:pPr>
            <w:r/>
            <w:r>
              <w:rPr>
                <w:rFonts w:ascii="Calibri" w:hAnsi="Calibri"/>
                <w:b w:val="0"/>
                <w:i w:val="0"/>
                <w:sz w:val="20"/>
              </w:rPr>
              <w:t>[DR]</w:t>
            </w:r>
          </w:p>
        </w:tc>
        <w:tc>
          <w:tcPr>
            <w:tcW w:type="dxa" w:w="1560"/>
          </w:tcPr>
          <w:p>
            <w:pPr>
              <w:spacing w:before="40" w:after="40" w:line="240" w:lineRule="auto"/>
              <w:jc w:val="left"/>
            </w:pPr>
            <w:r/>
            <w:r>
              <w:rPr>
                <w:rFonts w:ascii="Calibri" w:hAnsi="Calibri"/>
                <w:b w:val="0"/>
                <w:i w:val="0"/>
                <w:sz w:val="20"/>
              </w:rPr>
              <w:t>[DR]</w:t>
            </w:r>
          </w:p>
        </w:tc>
        <w:tc>
          <w:tcPr>
            <w:tcW w:type="dxa" w:w="1560"/>
          </w:tcPr>
          <w:p>
            <w:pPr>
              <w:spacing w:before="40" w:after="40" w:line="240" w:lineRule="auto"/>
              <w:jc w:val="left"/>
            </w:pPr>
            <w:r/>
            <w:r>
              <w:rPr>
                <w:rFonts w:ascii="Calibri" w:hAnsi="Calibri"/>
                <w:b w:val="0"/>
                <w:i w:val="0"/>
                <w:sz w:val="20"/>
              </w:rPr>
              <w:t>[DR]</w:t>
            </w:r>
          </w:p>
        </w:tc>
        <w:tc>
          <w:tcPr>
            <w:tcW w:type="dxa" w:w="1560"/>
          </w:tcPr>
          <w:p>
            <w:pPr>
              <w:spacing w:before="40" w:after="40" w:line="240" w:lineRule="auto"/>
              <w:jc w:val="right"/>
            </w:pPr>
            <w:r/>
            <w:r>
              <w:rPr>
                <w:rFonts w:ascii="Calibri" w:hAnsi="Calibri"/>
                <w:b w:val="0"/>
                <w:i w:val="0"/>
                <w:sz w:val="20"/>
              </w:rPr>
              <w:t>[DR]</w:t>
            </w:r>
          </w:p>
        </w:tc>
      </w:tr>
      <w:tr>
        <w:tc>
          <w:tcPr>
            <w:tcW w:type="dxa" w:w="1560"/>
          </w:tcPr>
          <w:p>
            <w:pPr>
              <w:spacing w:before="40" w:after="40" w:line="240" w:lineRule="auto"/>
              <w:jc w:val="center"/>
            </w:pPr>
            <w:r/>
            <w:r>
              <w:rPr>
                <w:rFonts w:ascii="Calibri" w:hAnsi="Calibri"/>
                <w:b w:val="0"/>
                <w:i w:val="0"/>
                <w:sz w:val="20"/>
              </w:rPr>
              <w:t>4</w:t>
            </w:r>
          </w:p>
        </w:tc>
        <w:tc>
          <w:tcPr>
            <w:tcW w:type="dxa" w:w="1560"/>
          </w:tcPr>
          <w:p>
            <w:pPr>
              <w:spacing w:before="40" w:after="40" w:line="240" w:lineRule="auto"/>
              <w:jc w:val="left"/>
            </w:pPr>
            <w:r/>
            <w:r>
              <w:rPr>
                <w:rFonts w:ascii="Calibri" w:hAnsi="Calibri"/>
                <w:b w:val="0"/>
                <w:i w:val="0"/>
                <w:sz w:val="20"/>
              </w:rPr>
              <w:t>[DR]</w:t>
            </w:r>
          </w:p>
        </w:tc>
        <w:tc>
          <w:tcPr>
            <w:tcW w:type="dxa" w:w="1560"/>
          </w:tcPr>
          <w:p>
            <w:pPr>
              <w:spacing w:before="40" w:after="40" w:line="240" w:lineRule="auto"/>
              <w:jc w:val="right"/>
            </w:pPr>
            <w:r/>
            <w:r>
              <w:rPr>
                <w:rFonts w:ascii="Calibri" w:hAnsi="Calibri"/>
                <w:b w:val="0"/>
                <w:i w:val="0"/>
                <w:sz w:val="20"/>
              </w:rPr>
              <w:t>[DR]</w:t>
            </w:r>
          </w:p>
        </w:tc>
        <w:tc>
          <w:tcPr>
            <w:tcW w:type="dxa" w:w="1560"/>
          </w:tcPr>
          <w:p>
            <w:pPr>
              <w:spacing w:before="40" w:after="40" w:line="240" w:lineRule="auto"/>
              <w:jc w:val="left"/>
            </w:pPr>
            <w:r/>
            <w:r>
              <w:rPr>
                <w:rFonts w:ascii="Calibri" w:hAnsi="Calibri"/>
                <w:b w:val="0"/>
                <w:i w:val="0"/>
                <w:sz w:val="20"/>
              </w:rPr>
              <w:t>[DR]</w:t>
            </w:r>
          </w:p>
        </w:tc>
        <w:tc>
          <w:tcPr>
            <w:tcW w:type="dxa" w:w="1560"/>
          </w:tcPr>
          <w:p>
            <w:pPr>
              <w:spacing w:before="40" w:after="40" w:line="240" w:lineRule="auto"/>
              <w:jc w:val="left"/>
            </w:pPr>
            <w:r/>
            <w:r>
              <w:rPr>
                <w:rFonts w:ascii="Calibri" w:hAnsi="Calibri"/>
                <w:b w:val="0"/>
                <w:i w:val="0"/>
                <w:sz w:val="20"/>
              </w:rPr>
              <w:t>[DR]</w:t>
            </w:r>
          </w:p>
        </w:tc>
        <w:tc>
          <w:tcPr>
            <w:tcW w:type="dxa" w:w="1560"/>
          </w:tcPr>
          <w:p>
            <w:pPr>
              <w:spacing w:before="40" w:after="40" w:line="240" w:lineRule="auto"/>
              <w:jc w:val="right"/>
            </w:pPr>
            <w:r/>
            <w:r>
              <w:rPr>
                <w:rFonts w:ascii="Calibri" w:hAnsi="Calibri"/>
                <w:b w:val="0"/>
                <w:i w:val="0"/>
                <w:sz w:val="20"/>
              </w:rPr>
              <w:t>[DR]</w:t>
            </w:r>
          </w:p>
        </w:tc>
      </w:tr>
      <w:tr>
        <w:tc>
          <w:tcPr>
            <w:tcW w:type="dxa" w:w="1560"/>
          </w:tcPr>
          <w:p>
            <w:pPr>
              <w:spacing w:before="40" w:after="40" w:line="240" w:lineRule="auto"/>
              <w:jc w:val="center"/>
            </w:pPr>
            <w:r/>
            <w:r>
              <w:rPr>
                <w:rFonts w:ascii="Calibri" w:hAnsi="Calibri"/>
                <w:b w:val="0"/>
                <w:i w:val="0"/>
                <w:sz w:val="20"/>
              </w:rPr>
              <w:t>5</w:t>
            </w:r>
          </w:p>
        </w:tc>
        <w:tc>
          <w:tcPr>
            <w:tcW w:type="dxa" w:w="1560"/>
          </w:tcPr>
          <w:p>
            <w:pPr>
              <w:spacing w:before="40" w:after="40" w:line="240" w:lineRule="auto"/>
              <w:jc w:val="left"/>
            </w:pPr>
            <w:r/>
            <w:r>
              <w:rPr>
                <w:rFonts w:ascii="Calibri" w:hAnsi="Calibri"/>
                <w:b w:val="0"/>
                <w:i w:val="0"/>
                <w:sz w:val="20"/>
              </w:rPr>
              <w:t>[DR]</w:t>
            </w:r>
          </w:p>
        </w:tc>
        <w:tc>
          <w:tcPr>
            <w:tcW w:type="dxa" w:w="1560"/>
          </w:tcPr>
          <w:p>
            <w:pPr>
              <w:spacing w:before="40" w:after="40" w:line="240" w:lineRule="auto"/>
              <w:jc w:val="right"/>
            </w:pPr>
            <w:r/>
            <w:r>
              <w:rPr>
                <w:rFonts w:ascii="Calibri" w:hAnsi="Calibri"/>
                <w:b w:val="0"/>
                <w:i w:val="0"/>
                <w:sz w:val="20"/>
              </w:rPr>
              <w:t>[DR]</w:t>
            </w:r>
          </w:p>
        </w:tc>
        <w:tc>
          <w:tcPr>
            <w:tcW w:type="dxa" w:w="1560"/>
          </w:tcPr>
          <w:p>
            <w:pPr>
              <w:spacing w:before="40" w:after="40" w:line="240" w:lineRule="auto"/>
              <w:jc w:val="left"/>
            </w:pPr>
            <w:r/>
            <w:r>
              <w:rPr>
                <w:rFonts w:ascii="Calibri" w:hAnsi="Calibri"/>
                <w:b w:val="0"/>
                <w:i w:val="0"/>
                <w:sz w:val="20"/>
              </w:rPr>
              <w:t>[DR]</w:t>
            </w:r>
          </w:p>
        </w:tc>
        <w:tc>
          <w:tcPr>
            <w:tcW w:type="dxa" w:w="1560"/>
          </w:tcPr>
          <w:p>
            <w:pPr>
              <w:spacing w:before="40" w:after="40" w:line="240" w:lineRule="auto"/>
              <w:jc w:val="left"/>
            </w:pPr>
            <w:r/>
            <w:r>
              <w:rPr>
                <w:rFonts w:ascii="Calibri" w:hAnsi="Calibri"/>
                <w:b w:val="0"/>
                <w:i w:val="0"/>
                <w:sz w:val="20"/>
              </w:rPr>
              <w:t>[DR]</w:t>
            </w:r>
          </w:p>
        </w:tc>
        <w:tc>
          <w:tcPr>
            <w:tcW w:type="dxa" w:w="1560"/>
          </w:tcPr>
          <w:p>
            <w:pPr>
              <w:spacing w:before="40" w:after="40" w:line="240" w:lineRule="auto"/>
              <w:jc w:val="right"/>
            </w:pPr>
            <w:r/>
            <w:r>
              <w:rPr>
                <w:rFonts w:ascii="Calibri" w:hAnsi="Calibri"/>
                <w:b w:val="0"/>
                <w:i w:val="0"/>
                <w:sz w:val="20"/>
              </w:rPr>
              <w:t>[DR]</w:t>
            </w:r>
          </w:p>
        </w:tc>
      </w:tr>
      <w:tr>
        <w:tc>
          <w:tcPr>
            <w:tcW w:type="dxa" w:w="1560"/>
          </w:tcPr>
          <w:p>
            <w:pPr>
              <w:spacing w:before="40" w:after="40" w:line="240" w:lineRule="auto"/>
              <w:jc w:val="center"/>
            </w:pPr>
            <w:r/>
            <w:r>
              <w:rPr>
                <w:rFonts w:ascii="Calibri" w:hAnsi="Calibri"/>
                <w:b w:val="0"/>
                <w:i w:val="0"/>
                <w:sz w:val="20"/>
              </w:rPr>
              <w:t>6</w:t>
            </w:r>
          </w:p>
        </w:tc>
        <w:tc>
          <w:tcPr>
            <w:tcW w:type="dxa" w:w="1560"/>
          </w:tcPr>
          <w:p>
            <w:pPr>
              <w:spacing w:before="40" w:after="40" w:line="240" w:lineRule="auto"/>
              <w:jc w:val="left"/>
            </w:pPr>
            <w:r/>
            <w:r>
              <w:rPr>
                <w:rFonts w:ascii="Calibri" w:hAnsi="Calibri"/>
                <w:b w:val="0"/>
                <w:i w:val="0"/>
                <w:sz w:val="20"/>
              </w:rPr>
              <w:t>[DR]</w:t>
            </w:r>
          </w:p>
        </w:tc>
        <w:tc>
          <w:tcPr>
            <w:tcW w:type="dxa" w:w="1560"/>
          </w:tcPr>
          <w:p>
            <w:pPr>
              <w:spacing w:before="40" w:after="40" w:line="240" w:lineRule="auto"/>
              <w:jc w:val="right"/>
            </w:pPr>
            <w:r/>
            <w:r>
              <w:rPr>
                <w:rFonts w:ascii="Calibri" w:hAnsi="Calibri"/>
                <w:b w:val="0"/>
                <w:i w:val="0"/>
                <w:sz w:val="20"/>
              </w:rPr>
              <w:t>[DR]</w:t>
            </w:r>
          </w:p>
        </w:tc>
        <w:tc>
          <w:tcPr>
            <w:tcW w:type="dxa" w:w="1560"/>
          </w:tcPr>
          <w:p>
            <w:pPr>
              <w:spacing w:before="40" w:after="40" w:line="240" w:lineRule="auto"/>
              <w:jc w:val="left"/>
            </w:pPr>
            <w:r/>
            <w:r>
              <w:rPr>
                <w:rFonts w:ascii="Calibri" w:hAnsi="Calibri"/>
                <w:b w:val="0"/>
                <w:i w:val="0"/>
                <w:sz w:val="20"/>
              </w:rPr>
              <w:t>[DR]</w:t>
            </w:r>
          </w:p>
        </w:tc>
        <w:tc>
          <w:tcPr>
            <w:tcW w:type="dxa" w:w="1560"/>
          </w:tcPr>
          <w:p>
            <w:pPr>
              <w:spacing w:before="40" w:after="40" w:line="240" w:lineRule="auto"/>
              <w:jc w:val="left"/>
            </w:pPr>
            <w:r/>
            <w:r>
              <w:rPr>
                <w:rFonts w:ascii="Calibri" w:hAnsi="Calibri"/>
                <w:b w:val="0"/>
                <w:i w:val="0"/>
                <w:sz w:val="20"/>
              </w:rPr>
              <w:t>[DR]</w:t>
            </w:r>
          </w:p>
        </w:tc>
        <w:tc>
          <w:tcPr>
            <w:tcW w:type="dxa" w:w="1560"/>
          </w:tcPr>
          <w:p>
            <w:pPr>
              <w:spacing w:before="40" w:after="40" w:line="240" w:lineRule="auto"/>
              <w:jc w:val="right"/>
            </w:pPr>
            <w:r/>
            <w:r>
              <w:rPr>
                <w:rFonts w:ascii="Calibri" w:hAnsi="Calibri"/>
                <w:b w:val="0"/>
                <w:i w:val="0"/>
                <w:sz w:val="20"/>
              </w:rPr>
              <w:t>[DR]</w:t>
            </w:r>
          </w:p>
        </w:tc>
      </w:tr>
      <w:tr>
        <w:tc>
          <w:tcPr>
            <w:tcW w:type="dxa" w:w="1560"/>
          </w:tcPr>
          <w:p>
            <w:pPr>
              <w:spacing w:before="40" w:after="40" w:line="240" w:lineRule="auto"/>
              <w:jc w:val="center"/>
            </w:pPr>
            <w:r/>
            <w:r>
              <w:rPr>
                <w:rFonts w:ascii="Calibri" w:hAnsi="Calibri"/>
                <w:b w:val="0"/>
                <w:i w:val="0"/>
                <w:sz w:val="20"/>
              </w:rPr>
              <w:t>7</w:t>
            </w:r>
          </w:p>
        </w:tc>
        <w:tc>
          <w:tcPr>
            <w:tcW w:type="dxa" w:w="1560"/>
          </w:tcPr>
          <w:p>
            <w:pPr>
              <w:spacing w:before="40" w:after="40" w:line="240" w:lineRule="auto"/>
              <w:jc w:val="left"/>
            </w:pPr>
            <w:r/>
            <w:r>
              <w:rPr>
                <w:rFonts w:ascii="Calibri" w:hAnsi="Calibri"/>
                <w:b w:val="0"/>
                <w:i w:val="0"/>
                <w:sz w:val="20"/>
              </w:rPr>
              <w:t>[DR]</w:t>
            </w:r>
          </w:p>
        </w:tc>
        <w:tc>
          <w:tcPr>
            <w:tcW w:type="dxa" w:w="1560"/>
          </w:tcPr>
          <w:p>
            <w:pPr>
              <w:spacing w:before="40" w:after="40" w:line="240" w:lineRule="auto"/>
              <w:jc w:val="right"/>
            </w:pPr>
            <w:r/>
            <w:r>
              <w:rPr>
                <w:rFonts w:ascii="Calibri" w:hAnsi="Calibri"/>
                <w:b w:val="0"/>
                <w:i w:val="0"/>
                <w:sz w:val="20"/>
              </w:rPr>
              <w:t>[DR]</w:t>
            </w:r>
          </w:p>
        </w:tc>
        <w:tc>
          <w:tcPr>
            <w:tcW w:type="dxa" w:w="1560"/>
          </w:tcPr>
          <w:p>
            <w:pPr>
              <w:spacing w:before="40" w:after="40" w:line="240" w:lineRule="auto"/>
              <w:jc w:val="left"/>
            </w:pPr>
            <w:r/>
            <w:r>
              <w:rPr>
                <w:rFonts w:ascii="Calibri" w:hAnsi="Calibri"/>
                <w:b w:val="0"/>
                <w:i w:val="0"/>
                <w:sz w:val="20"/>
              </w:rPr>
              <w:t>[DR]</w:t>
            </w:r>
          </w:p>
        </w:tc>
        <w:tc>
          <w:tcPr>
            <w:tcW w:type="dxa" w:w="1560"/>
          </w:tcPr>
          <w:p>
            <w:pPr>
              <w:spacing w:before="40" w:after="40" w:line="240" w:lineRule="auto"/>
              <w:jc w:val="left"/>
            </w:pPr>
            <w:r/>
            <w:r>
              <w:rPr>
                <w:rFonts w:ascii="Calibri" w:hAnsi="Calibri"/>
                <w:b w:val="0"/>
                <w:i w:val="0"/>
                <w:sz w:val="20"/>
              </w:rPr>
              <w:t>[DR]</w:t>
            </w:r>
          </w:p>
        </w:tc>
        <w:tc>
          <w:tcPr>
            <w:tcW w:type="dxa" w:w="1560"/>
          </w:tcPr>
          <w:p>
            <w:pPr>
              <w:spacing w:before="40" w:after="40" w:line="240" w:lineRule="auto"/>
              <w:jc w:val="right"/>
            </w:pPr>
            <w:r/>
            <w:r>
              <w:rPr>
                <w:rFonts w:ascii="Calibri" w:hAnsi="Calibri"/>
                <w:b w:val="0"/>
                <w:i w:val="0"/>
                <w:sz w:val="20"/>
              </w:rPr>
              <w:t>[DR]</w:t>
            </w:r>
          </w:p>
        </w:tc>
      </w:tr>
      <w:tr>
        <w:tc>
          <w:tcPr>
            <w:tcW w:type="dxa" w:w="1560"/>
          </w:tcPr>
          <w:p>
            <w:pPr>
              <w:spacing w:before="40" w:after="40" w:line="240" w:lineRule="auto"/>
              <w:jc w:val="center"/>
            </w:pPr>
            <w:r/>
            <w:r>
              <w:rPr>
                <w:rFonts w:ascii="Calibri" w:hAnsi="Calibri"/>
                <w:b w:val="0"/>
                <w:i w:val="0"/>
                <w:sz w:val="20"/>
              </w:rPr>
              <w:t>8</w:t>
            </w:r>
          </w:p>
        </w:tc>
        <w:tc>
          <w:tcPr>
            <w:tcW w:type="dxa" w:w="1560"/>
          </w:tcPr>
          <w:p>
            <w:pPr>
              <w:spacing w:before="40" w:after="40" w:line="240" w:lineRule="auto"/>
              <w:jc w:val="left"/>
            </w:pPr>
            <w:r/>
            <w:r>
              <w:rPr>
                <w:rFonts w:ascii="Calibri" w:hAnsi="Calibri"/>
                <w:b w:val="0"/>
                <w:i w:val="0"/>
                <w:sz w:val="20"/>
              </w:rPr>
              <w:t>[DR]</w:t>
            </w:r>
          </w:p>
        </w:tc>
        <w:tc>
          <w:tcPr>
            <w:tcW w:type="dxa" w:w="1560"/>
          </w:tcPr>
          <w:p>
            <w:pPr>
              <w:spacing w:before="40" w:after="40" w:line="240" w:lineRule="auto"/>
              <w:jc w:val="right"/>
            </w:pPr>
            <w:r/>
            <w:r>
              <w:rPr>
                <w:rFonts w:ascii="Calibri" w:hAnsi="Calibri"/>
                <w:b w:val="0"/>
                <w:i w:val="0"/>
                <w:sz w:val="20"/>
              </w:rPr>
              <w:t>[DR]</w:t>
            </w:r>
          </w:p>
        </w:tc>
        <w:tc>
          <w:tcPr>
            <w:tcW w:type="dxa" w:w="1560"/>
          </w:tcPr>
          <w:p>
            <w:pPr>
              <w:spacing w:before="40" w:after="40" w:line="240" w:lineRule="auto"/>
              <w:jc w:val="left"/>
            </w:pPr>
            <w:r/>
            <w:r>
              <w:rPr>
                <w:rFonts w:ascii="Calibri" w:hAnsi="Calibri"/>
                <w:b w:val="0"/>
                <w:i w:val="0"/>
                <w:sz w:val="20"/>
              </w:rPr>
              <w:t>[DR]</w:t>
            </w:r>
          </w:p>
        </w:tc>
        <w:tc>
          <w:tcPr>
            <w:tcW w:type="dxa" w:w="1560"/>
          </w:tcPr>
          <w:p>
            <w:pPr>
              <w:spacing w:before="40" w:after="40" w:line="240" w:lineRule="auto"/>
              <w:jc w:val="left"/>
            </w:pPr>
            <w:r/>
            <w:r>
              <w:rPr>
                <w:rFonts w:ascii="Calibri" w:hAnsi="Calibri"/>
                <w:b w:val="0"/>
                <w:i w:val="0"/>
                <w:sz w:val="20"/>
              </w:rPr>
              <w:t>[DR]</w:t>
            </w:r>
          </w:p>
        </w:tc>
        <w:tc>
          <w:tcPr>
            <w:tcW w:type="dxa" w:w="1560"/>
          </w:tcPr>
          <w:p>
            <w:pPr>
              <w:spacing w:before="40" w:after="40" w:line="240" w:lineRule="auto"/>
              <w:jc w:val="right"/>
            </w:pPr>
            <w:r/>
            <w:r>
              <w:rPr>
                <w:rFonts w:ascii="Calibri" w:hAnsi="Calibri"/>
                <w:b w:val="0"/>
                <w:i w:val="0"/>
                <w:sz w:val="20"/>
              </w:rPr>
              <w:t>[DR]</w:t>
            </w:r>
          </w:p>
        </w:tc>
      </w:tr>
    </w:tbl>
    <w:p>
      <w:pPr>
        <w:spacing w:before="40" w:after="160"/>
      </w:pPr>
      <w:r>
        <w:rPr>
          <w:rFonts w:ascii="Calibri" w:hAnsi="Calibri"/>
          <w:i/>
          <w:sz w:val="18"/>
        </w:rPr>
        <w:t>Notes:* Bid-Ask Spread in basis points (1 bp = 0.01%). Redemption Frequency = shortest standard redemption interval (e.g., daily, monthly, quarterly, locked). Market Depth Tier = High / Medium / Low based on average daily trading volume or NAV turnover. Liquidity Score = composite ranking (1 = most liquid). Source:* [DR] — asset class dataset not yet provided.</w:t>
      </w:r>
    </w:p>
    <w:p>
      <w:pPr>
        <w:spacing w:line="360" w:lineRule="auto"/>
      </w:pPr>
      <w:r>
        <w:rPr>
          <w:rFonts w:ascii="Calibri" w:hAnsi="Calibri"/>
          <w:sz w:val="24"/>
        </w:rPr>
        <w:t>Amihud and Mendelson (1986) established the theoretical basis for a liquidity premium, demonstrating that assets with wider bid-ask spreads earn higher average returns to compensate investors for elevated trading costs and reduced exit flexibility. As shown in Table 2, [DATA REQUIRED — identify the least liquid asset classes and their bid-ask spreads]. The question of whether these illiquid asset classes command a return premium commensurate with their liquidity costs can be assessed by comparing their Sharpe ratios in Table 1 against those of their liquid counterparts. [DATA REQUIRED — state whether the liquidity premium is empirically supported in this dataset.]</w:t>
      </w:r>
    </w:p>
    <w:p>
      <w:pPr>
        <w:spacing w:line="360" w:lineRule="auto"/>
      </w:pPr>
      <w:r>
        <w:rPr>
          <w:rFonts w:ascii="Calibri" w:hAnsi="Calibri"/>
          <w:sz w:val="24"/>
        </w:rPr>
        <w:t>Critically, the liquidity characteristics of individual asset classes do not aggregate linearly at the portfolio level. Ang et al. (2014) demonstrated that optimal allocation to illiquid assets is substantially lower than mean-variance analysis alone would suggest, because lock-up periods and restricted redemption frequencies constrain the investor's ability to rebalance. This finding implies that the allocations derived in Section 4 must discount the theoretical appeal of high-returning illiquid asset classes to account for portfolio-level liquidity requirements [DATA REQUIRED — note any binding liquidity constraints relevant to the investor's profile].</w:t>
      </w:r>
    </w:p>
    <w:p>
      <w:pPr>
        <w:pStyle w:val="Heading3"/>
      </w:pPr>
      <w:r>
        <w:t>2.3 Data Quality Considerations</w:t>
      </w:r>
    </w:p>
    <w:p>
      <w:pPr>
        <w:spacing w:line="360" w:lineRule="auto"/>
      </w:pPr>
      <w:r>
        <w:rPr>
          <w:rFonts w:ascii="Calibri" w:hAnsi="Calibri"/>
          <w:sz w:val="24"/>
        </w:rPr>
        <w:t>Several data quality issues warrant acknowledgement. [DATA REQUIRED — flag specific issues such as: stale or appraisal-based pricing for illiquid assets, which artificially smooths return series and understates true volatility; short sample periods for newer asset classes; survivorship bias if failed funds or delisted securities are excluded.] These issues are revisited in Section 5 as formal limitations.</w:t>
      </w:r>
    </w:p>
    <w:p>
      <w:pPr>
        <w:pStyle w:val="Heading2"/>
      </w:pPr>
      <w:r>
        <w:t>3. Portfolio Construction Rationale</w:t>
      </w:r>
    </w:p>
    <w:p>
      <w:pPr>
        <w:spacing w:line="360" w:lineRule="auto"/>
      </w:pPr>
      <w:r>
        <w:rPr>
          <w:rFonts w:ascii="Calibri" w:hAnsi="Calibri"/>
          <w:sz w:val="24"/>
        </w:rPr>
        <w:t>The preceding asset class profiles establish the building blocks; this section explains how those building blocks are combined into a portfolio. The construction rationale rests on three pillars: the diversification benefit of imperfectly correlated assets, the choice of optimisation methodology, and the mapping from correlation structure to allocation weights.</w:t>
      </w:r>
    </w:p>
    <w:p>
      <w:pPr>
        <w:pStyle w:val="Heading3"/>
      </w:pPr>
      <w:r>
        <w:t>3.1 Diversification and Correlation Structure</w:t>
      </w:r>
    </w:p>
    <w:p>
      <w:pPr>
        <w:spacing w:line="360" w:lineRule="auto"/>
      </w:pPr>
      <w:r>
        <w:rPr>
          <w:rFonts w:ascii="Calibri" w:hAnsi="Calibri"/>
          <w:sz w:val="24"/>
        </w:rPr>
        <w:t>The foundational insight of modern portfolio theory is that portfolio risk is a function not only of individual asset volatilities but also of pairwise correlations among assets (Markowitz, 1952). When assets are imperfectly correlated — that is, when their returns do not move in lockstep — combining them in a portfolio yields a total volatility that is strictly less than the weighted average of individual volatilities. The magnitude of this diversification benefit depends directly on the correlation structure summarised in Table 3.</w:t>
      </w:r>
    </w:p>
    <w:p>
      <w:pPr>
        <w:spacing w:line="360" w:lineRule="auto"/>
      </w:pPr>
      <w:r>
        <w:rPr>
          <w:rFonts w:ascii="Calibri" w:hAnsi="Calibri"/>
          <w:sz w:val="24"/>
        </w:rPr>
        <w:t>Table 3 presents the pairwise Pearson correlation matrix computed on [DATA REQUIRED — monthly/quarterly] returns over the sample period [DATA REQUIRED — date range]. Correlations below approximately −0.20 indicate meaningful diversification potential, while correlations above 0.80 suggest high co-movement that limits risk reduction. As shown in Table 3, the lowest pairwise correlation is observed between [DATA REQUIRED — asset class pair], at [DATA REQUIRED], indicating that these two classes are strong candidates for joint inclusion on diversification grounds. Conversely, [DATA REQUIRED — identify highly correlated pairs], with a correlation of [DATA REQUIRED], move largely in tandem and therefore contribute limited incremental diversification when held together.</w:t>
      </w:r>
    </w:p>
    <w:p>
      <w:pPr>
        <w:spacing w:before="240" w:after="80"/>
      </w:pPr>
      <w:r>
        <w:rPr>
          <w:rFonts w:ascii="Calibri" w:hAnsi="Calibri"/>
          <w:b/>
          <w:sz w:val="22"/>
        </w:rPr>
        <w:t>Table 3: Pairwise Correlation Matrix Across Asset Classes</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040"/>
        <w:gridCol w:w="1040"/>
        <w:gridCol w:w="1040"/>
        <w:gridCol w:w="1040"/>
        <w:gridCol w:w="1040"/>
        <w:gridCol w:w="1040"/>
        <w:gridCol w:w="1040"/>
        <w:gridCol w:w="1040"/>
        <w:gridCol w:w="1040"/>
      </w:tblGrid>
      <w:tr>
        <w:tc>
          <w:tcPr>
            <w:tcW w:type="dxa" w:w="1040"/>
            <w:shd w:fill="1F497D" w:val="clear"/>
          </w:tcPr>
          <w:p>
            <w:pPr>
              <w:spacing w:before="40" w:after="40" w:line="240" w:lineRule="auto"/>
              <w:jc w:val="center"/>
            </w:pPr>
            <w:r>
              <w:rPr>
                <w:b/>
                <w:color w:val="FFFFFF"/>
              </w:rPr>
            </w:r>
            <w:r>
              <w:rPr>
                <w:rFonts w:ascii="Calibri" w:hAnsi="Calibri"/>
                <w:b/>
                <w:i w:val="0"/>
                <w:color w:val="FFFFFF"/>
                <w:sz w:val="20"/>
              </w:rPr>
            </w:r>
          </w:p>
        </w:tc>
        <w:tc>
          <w:tcPr>
            <w:tcW w:type="dxa" w:w="1040"/>
            <w:shd w:fill="1F497D" w:val="clear"/>
          </w:tcPr>
          <w:p>
            <w:pPr>
              <w:spacing w:before="40" w:after="40" w:line="240" w:lineRule="auto"/>
              <w:jc w:val="center"/>
            </w:pPr>
            <w:r>
              <w:rPr>
                <w:b/>
                <w:color w:val="FFFFFF"/>
              </w:rPr>
            </w:r>
            <w:r>
              <w:rPr>
                <w:rFonts w:ascii="Calibri" w:hAnsi="Calibri"/>
                <w:b/>
                <w:i w:val="0"/>
                <w:color w:val="FFFFFF"/>
                <w:sz w:val="20"/>
              </w:rPr>
              <w:t>Class 1</w:t>
            </w:r>
          </w:p>
        </w:tc>
        <w:tc>
          <w:tcPr>
            <w:tcW w:type="dxa" w:w="1040"/>
            <w:shd w:fill="1F497D" w:val="clear"/>
          </w:tcPr>
          <w:p>
            <w:pPr>
              <w:spacing w:before="40" w:after="40" w:line="240" w:lineRule="auto"/>
              <w:jc w:val="center"/>
            </w:pPr>
            <w:r>
              <w:rPr>
                <w:b/>
                <w:color w:val="FFFFFF"/>
              </w:rPr>
            </w:r>
            <w:r>
              <w:rPr>
                <w:rFonts w:ascii="Calibri" w:hAnsi="Calibri"/>
                <w:b/>
                <w:i w:val="0"/>
                <w:color w:val="FFFFFF"/>
                <w:sz w:val="20"/>
              </w:rPr>
              <w:t>Class 2</w:t>
            </w:r>
          </w:p>
        </w:tc>
        <w:tc>
          <w:tcPr>
            <w:tcW w:type="dxa" w:w="1040"/>
            <w:shd w:fill="1F497D" w:val="clear"/>
          </w:tcPr>
          <w:p>
            <w:pPr>
              <w:spacing w:before="40" w:after="40" w:line="240" w:lineRule="auto"/>
              <w:jc w:val="center"/>
            </w:pPr>
            <w:r>
              <w:rPr>
                <w:b/>
                <w:color w:val="FFFFFF"/>
              </w:rPr>
            </w:r>
            <w:r>
              <w:rPr>
                <w:rFonts w:ascii="Calibri" w:hAnsi="Calibri"/>
                <w:b/>
                <w:i w:val="0"/>
                <w:color w:val="FFFFFF"/>
                <w:sz w:val="20"/>
              </w:rPr>
              <w:t>Class 3</w:t>
            </w:r>
          </w:p>
        </w:tc>
        <w:tc>
          <w:tcPr>
            <w:tcW w:type="dxa" w:w="1040"/>
            <w:shd w:fill="1F497D" w:val="clear"/>
          </w:tcPr>
          <w:p>
            <w:pPr>
              <w:spacing w:before="40" w:after="40" w:line="240" w:lineRule="auto"/>
              <w:jc w:val="center"/>
            </w:pPr>
            <w:r>
              <w:rPr>
                <w:b/>
                <w:color w:val="FFFFFF"/>
              </w:rPr>
            </w:r>
            <w:r>
              <w:rPr>
                <w:rFonts w:ascii="Calibri" w:hAnsi="Calibri"/>
                <w:b/>
                <w:i w:val="0"/>
                <w:color w:val="FFFFFF"/>
                <w:sz w:val="20"/>
              </w:rPr>
              <w:t>Class 4</w:t>
            </w:r>
          </w:p>
        </w:tc>
        <w:tc>
          <w:tcPr>
            <w:tcW w:type="dxa" w:w="1040"/>
            <w:shd w:fill="1F497D" w:val="clear"/>
          </w:tcPr>
          <w:p>
            <w:pPr>
              <w:spacing w:before="40" w:after="40" w:line="240" w:lineRule="auto"/>
              <w:jc w:val="center"/>
            </w:pPr>
            <w:r>
              <w:rPr>
                <w:b/>
                <w:color w:val="FFFFFF"/>
              </w:rPr>
            </w:r>
            <w:r>
              <w:rPr>
                <w:rFonts w:ascii="Calibri" w:hAnsi="Calibri"/>
                <w:b/>
                <w:i w:val="0"/>
                <w:color w:val="FFFFFF"/>
                <w:sz w:val="20"/>
              </w:rPr>
              <w:t>Class 5</w:t>
            </w:r>
          </w:p>
        </w:tc>
        <w:tc>
          <w:tcPr>
            <w:tcW w:type="dxa" w:w="1040"/>
            <w:shd w:fill="1F497D" w:val="clear"/>
          </w:tcPr>
          <w:p>
            <w:pPr>
              <w:spacing w:before="40" w:after="40" w:line="240" w:lineRule="auto"/>
              <w:jc w:val="center"/>
            </w:pPr>
            <w:r>
              <w:rPr>
                <w:b/>
                <w:color w:val="FFFFFF"/>
              </w:rPr>
            </w:r>
            <w:r>
              <w:rPr>
                <w:rFonts w:ascii="Calibri" w:hAnsi="Calibri"/>
                <w:b/>
                <w:i w:val="0"/>
                <w:color w:val="FFFFFF"/>
                <w:sz w:val="20"/>
              </w:rPr>
              <w:t>Class 6</w:t>
            </w:r>
          </w:p>
        </w:tc>
        <w:tc>
          <w:tcPr>
            <w:tcW w:type="dxa" w:w="1040"/>
            <w:shd w:fill="1F497D" w:val="clear"/>
          </w:tcPr>
          <w:p>
            <w:pPr>
              <w:spacing w:before="40" w:after="40" w:line="240" w:lineRule="auto"/>
              <w:jc w:val="center"/>
            </w:pPr>
            <w:r>
              <w:rPr>
                <w:b/>
                <w:color w:val="FFFFFF"/>
              </w:rPr>
            </w:r>
            <w:r>
              <w:rPr>
                <w:rFonts w:ascii="Calibri" w:hAnsi="Calibri"/>
                <w:b/>
                <w:i w:val="0"/>
                <w:color w:val="FFFFFF"/>
                <w:sz w:val="20"/>
              </w:rPr>
              <w:t>Class 7</w:t>
            </w:r>
          </w:p>
        </w:tc>
        <w:tc>
          <w:tcPr>
            <w:tcW w:type="dxa" w:w="1040"/>
            <w:shd w:fill="1F497D" w:val="clear"/>
          </w:tcPr>
          <w:p>
            <w:pPr>
              <w:spacing w:before="40" w:after="40" w:line="240" w:lineRule="auto"/>
              <w:jc w:val="center"/>
            </w:pPr>
            <w:r>
              <w:rPr>
                <w:b/>
                <w:color w:val="FFFFFF"/>
              </w:rPr>
            </w:r>
            <w:r>
              <w:rPr>
                <w:rFonts w:ascii="Calibri" w:hAnsi="Calibri"/>
                <w:b/>
                <w:i w:val="0"/>
                <w:color w:val="FFFFFF"/>
                <w:sz w:val="20"/>
              </w:rPr>
              <w:t>Class 8</w:t>
            </w:r>
          </w:p>
        </w:tc>
      </w:tr>
      <w:tr>
        <w:tc>
          <w:tcPr>
            <w:tcW w:type="dxa" w:w="1040"/>
          </w:tcPr>
          <w:p>
            <w:pPr>
              <w:spacing w:before="40" w:after="40" w:line="240" w:lineRule="auto"/>
              <w:jc w:val="center"/>
            </w:pPr>
            <w:r/>
            <w:r>
              <w:rPr>
                <w:rFonts w:ascii="Calibri" w:hAnsi="Calibri"/>
                <w:b/>
                <w:i w:val="0"/>
                <w:sz w:val="20"/>
              </w:rPr>
              <w:t>Class 1</w:t>
            </w:r>
          </w:p>
        </w:tc>
        <w:tc>
          <w:tcPr>
            <w:tcW w:type="dxa" w:w="1040"/>
          </w:tcPr>
          <w:p>
            <w:pPr>
              <w:spacing w:before="40" w:after="40" w:line="240" w:lineRule="auto"/>
              <w:jc w:val="center"/>
            </w:pPr>
            <w:r/>
            <w:r>
              <w:rPr>
                <w:rFonts w:ascii="Calibri" w:hAnsi="Calibri"/>
                <w:b w:val="0"/>
                <w:i w:val="0"/>
                <w:sz w:val="20"/>
              </w:rPr>
              <w:t>1.00</w:t>
            </w:r>
          </w:p>
        </w:tc>
        <w:tc>
          <w:tcPr>
            <w:tcW w:type="dxa" w:w="1040"/>
          </w:tcPr>
          <w:p>
            <w:pPr>
              <w:spacing w:before="40" w:after="40" w:line="240" w:lineRule="auto"/>
              <w:jc w:val="center"/>
            </w:pPr>
            <w:r/>
            <w:r>
              <w:rPr>
                <w:rFonts w:ascii="Calibri" w:hAnsi="Calibri"/>
                <w:b w:val="0"/>
                <w:i w:val="0"/>
                <w:sz w:val="20"/>
              </w:rPr>
              <w:t>[DR]</w:t>
            </w:r>
          </w:p>
        </w:tc>
        <w:tc>
          <w:tcPr>
            <w:tcW w:type="dxa" w:w="1040"/>
          </w:tcPr>
          <w:p>
            <w:pPr>
              <w:spacing w:before="40" w:after="40" w:line="240" w:lineRule="auto"/>
              <w:jc w:val="center"/>
            </w:pPr>
            <w:r/>
            <w:r>
              <w:rPr>
                <w:rFonts w:ascii="Calibri" w:hAnsi="Calibri"/>
                <w:b w:val="0"/>
                <w:i w:val="0"/>
                <w:sz w:val="20"/>
              </w:rPr>
              <w:t>[DR]</w:t>
            </w:r>
          </w:p>
        </w:tc>
        <w:tc>
          <w:tcPr>
            <w:tcW w:type="dxa" w:w="1040"/>
          </w:tcPr>
          <w:p>
            <w:pPr>
              <w:spacing w:before="40" w:after="40" w:line="240" w:lineRule="auto"/>
              <w:jc w:val="center"/>
            </w:pPr>
            <w:r/>
            <w:r>
              <w:rPr>
                <w:rFonts w:ascii="Calibri" w:hAnsi="Calibri"/>
                <w:b w:val="0"/>
                <w:i w:val="0"/>
                <w:sz w:val="20"/>
              </w:rPr>
              <w:t>[DR]</w:t>
            </w:r>
          </w:p>
        </w:tc>
        <w:tc>
          <w:tcPr>
            <w:tcW w:type="dxa" w:w="1040"/>
          </w:tcPr>
          <w:p>
            <w:pPr>
              <w:spacing w:before="40" w:after="40" w:line="240" w:lineRule="auto"/>
              <w:jc w:val="center"/>
            </w:pPr>
            <w:r/>
            <w:r>
              <w:rPr>
                <w:rFonts w:ascii="Calibri" w:hAnsi="Calibri"/>
                <w:b w:val="0"/>
                <w:i w:val="0"/>
                <w:sz w:val="20"/>
              </w:rPr>
              <w:t>[DR]</w:t>
            </w:r>
          </w:p>
        </w:tc>
        <w:tc>
          <w:tcPr>
            <w:tcW w:type="dxa" w:w="1040"/>
          </w:tcPr>
          <w:p>
            <w:pPr>
              <w:spacing w:before="40" w:after="40" w:line="240" w:lineRule="auto"/>
              <w:jc w:val="center"/>
            </w:pPr>
            <w:r/>
            <w:r>
              <w:rPr>
                <w:rFonts w:ascii="Calibri" w:hAnsi="Calibri"/>
                <w:b w:val="0"/>
                <w:i w:val="0"/>
                <w:sz w:val="20"/>
              </w:rPr>
              <w:t>[DR]</w:t>
            </w:r>
          </w:p>
        </w:tc>
        <w:tc>
          <w:tcPr>
            <w:tcW w:type="dxa" w:w="1040"/>
          </w:tcPr>
          <w:p>
            <w:pPr>
              <w:spacing w:before="40" w:after="40" w:line="240" w:lineRule="auto"/>
              <w:jc w:val="center"/>
            </w:pPr>
            <w:r/>
            <w:r>
              <w:rPr>
                <w:rFonts w:ascii="Calibri" w:hAnsi="Calibri"/>
                <w:b w:val="0"/>
                <w:i w:val="0"/>
                <w:sz w:val="20"/>
              </w:rPr>
              <w:t>[DR]</w:t>
            </w:r>
          </w:p>
        </w:tc>
        <w:tc>
          <w:tcPr>
            <w:tcW w:type="dxa" w:w="1040"/>
          </w:tcPr>
          <w:p>
            <w:pPr>
              <w:spacing w:before="40" w:after="40" w:line="240" w:lineRule="auto"/>
              <w:jc w:val="center"/>
            </w:pPr>
            <w:r/>
            <w:r>
              <w:rPr>
                <w:rFonts w:ascii="Calibri" w:hAnsi="Calibri"/>
                <w:b w:val="0"/>
                <w:i w:val="0"/>
                <w:sz w:val="20"/>
              </w:rPr>
              <w:t>[DR]</w:t>
            </w:r>
          </w:p>
        </w:tc>
      </w:tr>
      <w:tr>
        <w:tc>
          <w:tcPr>
            <w:tcW w:type="dxa" w:w="1040"/>
          </w:tcPr>
          <w:p>
            <w:pPr>
              <w:spacing w:before="40" w:after="40" w:line="240" w:lineRule="auto"/>
              <w:jc w:val="center"/>
            </w:pPr>
            <w:r/>
            <w:r>
              <w:rPr>
                <w:rFonts w:ascii="Calibri" w:hAnsi="Calibri"/>
                <w:b/>
                <w:i w:val="0"/>
                <w:sz w:val="20"/>
              </w:rPr>
              <w:t>Class 2</w:t>
            </w:r>
          </w:p>
        </w:tc>
        <w:tc>
          <w:tcPr>
            <w:tcW w:type="dxa" w:w="1040"/>
          </w:tcPr>
          <w:p>
            <w:pPr>
              <w:spacing w:before="40" w:after="40" w:line="240" w:lineRule="auto"/>
              <w:jc w:val="center"/>
            </w:pPr>
            <w:r/>
            <w:r>
              <w:rPr>
                <w:rFonts w:ascii="Calibri" w:hAnsi="Calibri"/>
                <w:b w:val="0"/>
                <w:i w:val="0"/>
                <w:sz w:val="20"/>
              </w:rPr>
              <w:t>[DR]</w:t>
            </w:r>
          </w:p>
        </w:tc>
        <w:tc>
          <w:tcPr>
            <w:tcW w:type="dxa" w:w="1040"/>
          </w:tcPr>
          <w:p>
            <w:pPr>
              <w:spacing w:before="40" w:after="40" w:line="240" w:lineRule="auto"/>
              <w:jc w:val="center"/>
            </w:pPr>
            <w:r/>
            <w:r>
              <w:rPr>
                <w:rFonts w:ascii="Calibri" w:hAnsi="Calibri"/>
                <w:b w:val="0"/>
                <w:i w:val="0"/>
                <w:sz w:val="20"/>
              </w:rPr>
              <w:t>1.00</w:t>
            </w:r>
          </w:p>
        </w:tc>
        <w:tc>
          <w:tcPr>
            <w:tcW w:type="dxa" w:w="1040"/>
          </w:tcPr>
          <w:p>
            <w:pPr>
              <w:spacing w:before="40" w:after="40" w:line="240" w:lineRule="auto"/>
              <w:jc w:val="center"/>
            </w:pPr>
            <w:r/>
            <w:r>
              <w:rPr>
                <w:rFonts w:ascii="Calibri" w:hAnsi="Calibri"/>
                <w:b w:val="0"/>
                <w:i w:val="0"/>
                <w:sz w:val="20"/>
              </w:rPr>
              <w:t>[DR]</w:t>
            </w:r>
          </w:p>
        </w:tc>
        <w:tc>
          <w:tcPr>
            <w:tcW w:type="dxa" w:w="1040"/>
          </w:tcPr>
          <w:p>
            <w:pPr>
              <w:spacing w:before="40" w:after="40" w:line="240" w:lineRule="auto"/>
              <w:jc w:val="center"/>
            </w:pPr>
            <w:r/>
            <w:r>
              <w:rPr>
                <w:rFonts w:ascii="Calibri" w:hAnsi="Calibri"/>
                <w:b w:val="0"/>
                <w:i w:val="0"/>
                <w:sz w:val="20"/>
              </w:rPr>
              <w:t>[DR]</w:t>
            </w:r>
          </w:p>
        </w:tc>
        <w:tc>
          <w:tcPr>
            <w:tcW w:type="dxa" w:w="1040"/>
          </w:tcPr>
          <w:p>
            <w:pPr>
              <w:spacing w:before="40" w:after="40" w:line="240" w:lineRule="auto"/>
              <w:jc w:val="center"/>
            </w:pPr>
            <w:r/>
            <w:r>
              <w:rPr>
                <w:rFonts w:ascii="Calibri" w:hAnsi="Calibri"/>
                <w:b w:val="0"/>
                <w:i w:val="0"/>
                <w:sz w:val="20"/>
              </w:rPr>
              <w:t>[DR]</w:t>
            </w:r>
          </w:p>
        </w:tc>
        <w:tc>
          <w:tcPr>
            <w:tcW w:type="dxa" w:w="1040"/>
          </w:tcPr>
          <w:p>
            <w:pPr>
              <w:spacing w:before="40" w:after="40" w:line="240" w:lineRule="auto"/>
              <w:jc w:val="center"/>
            </w:pPr>
            <w:r/>
            <w:r>
              <w:rPr>
                <w:rFonts w:ascii="Calibri" w:hAnsi="Calibri"/>
                <w:b w:val="0"/>
                <w:i w:val="0"/>
                <w:sz w:val="20"/>
              </w:rPr>
              <w:t>[DR]</w:t>
            </w:r>
          </w:p>
        </w:tc>
        <w:tc>
          <w:tcPr>
            <w:tcW w:type="dxa" w:w="1040"/>
          </w:tcPr>
          <w:p>
            <w:pPr>
              <w:spacing w:before="40" w:after="40" w:line="240" w:lineRule="auto"/>
              <w:jc w:val="center"/>
            </w:pPr>
            <w:r/>
            <w:r>
              <w:rPr>
                <w:rFonts w:ascii="Calibri" w:hAnsi="Calibri"/>
                <w:b w:val="0"/>
                <w:i w:val="0"/>
                <w:sz w:val="20"/>
              </w:rPr>
              <w:t>[DR]</w:t>
            </w:r>
          </w:p>
        </w:tc>
        <w:tc>
          <w:tcPr>
            <w:tcW w:type="dxa" w:w="1040"/>
          </w:tcPr>
          <w:p>
            <w:pPr>
              <w:spacing w:before="40" w:after="40" w:line="240" w:lineRule="auto"/>
              <w:jc w:val="center"/>
            </w:pPr>
            <w:r/>
            <w:r>
              <w:rPr>
                <w:rFonts w:ascii="Calibri" w:hAnsi="Calibri"/>
                <w:b w:val="0"/>
                <w:i w:val="0"/>
                <w:sz w:val="20"/>
              </w:rPr>
              <w:t>[DR]</w:t>
            </w:r>
          </w:p>
        </w:tc>
      </w:tr>
      <w:tr>
        <w:tc>
          <w:tcPr>
            <w:tcW w:type="dxa" w:w="1040"/>
          </w:tcPr>
          <w:p>
            <w:pPr>
              <w:spacing w:before="40" w:after="40" w:line="240" w:lineRule="auto"/>
              <w:jc w:val="center"/>
            </w:pPr>
            <w:r/>
            <w:r>
              <w:rPr>
                <w:rFonts w:ascii="Calibri" w:hAnsi="Calibri"/>
                <w:b/>
                <w:i w:val="0"/>
                <w:sz w:val="20"/>
              </w:rPr>
              <w:t>Class 3</w:t>
            </w:r>
          </w:p>
        </w:tc>
        <w:tc>
          <w:tcPr>
            <w:tcW w:type="dxa" w:w="1040"/>
          </w:tcPr>
          <w:p>
            <w:pPr>
              <w:spacing w:before="40" w:after="40" w:line="240" w:lineRule="auto"/>
              <w:jc w:val="center"/>
            </w:pPr>
            <w:r/>
            <w:r>
              <w:rPr>
                <w:rFonts w:ascii="Calibri" w:hAnsi="Calibri"/>
                <w:b w:val="0"/>
                <w:i w:val="0"/>
                <w:sz w:val="20"/>
              </w:rPr>
              <w:t>[DR]</w:t>
            </w:r>
          </w:p>
        </w:tc>
        <w:tc>
          <w:tcPr>
            <w:tcW w:type="dxa" w:w="1040"/>
          </w:tcPr>
          <w:p>
            <w:pPr>
              <w:spacing w:before="40" w:after="40" w:line="240" w:lineRule="auto"/>
              <w:jc w:val="center"/>
            </w:pPr>
            <w:r/>
            <w:r>
              <w:rPr>
                <w:rFonts w:ascii="Calibri" w:hAnsi="Calibri"/>
                <w:b w:val="0"/>
                <w:i w:val="0"/>
                <w:sz w:val="20"/>
              </w:rPr>
              <w:t>[DR]</w:t>
            </w:r>
          </w:p>
        </w:tc>
        <w:tc>
          <w:tcPr>
            <w:tcW w:type="dxa" w:w="1040"/>
          </w:tcPr>
          <w:p>
            <w:pPr>
              <w:spacing w:before="40" w:after="40" w:line="240" w:lineRule="auto"/>
              <w:jc w:val="center"/>
            </w:pPr>
            <w:r/>
            <w:r>
              <w:rPr>
                <w:rFonts w:ascii="Calibri" w:hAnsi="Calibri"/>
                <w:b w:val="0"/>
                <w:i w:val="0"/>
                <w:sz w:val="20"/>
              </w:rPr>
              <w:t>1.00</w:t>
            </w:r>
          </w:p>
        </w:tc>
        <w:tc>
          <w:tcPr>
            <w:tcW w:type="dxa" w:w="1040"/>
          </w:tcPr>
          <w:p>
            <w:pPr>
              <w:spacing w:before="40" w:after="40" w:line="240" w:lineRule="auto"/>
              <w:jc w:val="center"/>
            </w:pPr>
            <w:r/>
            <w:r>
              <w:rPr>
                <w:rFonts w:ascii="Calibri" w:hAnsi="Calibri"/>
                <w:b w:val="0"/>
                <w:i w:val="0"/>
                <w:sz w:val="20"/>
              </w:rPr>
              <w:t>[DR]</w:t>
            </w:r>
          </w:p>
        </w:tc>
        <w:tc>
          <w:tcPr>
            <w:tcW w:type="dxa" w:w="1040"/>
          </w:tcPr>
          <w:p>
            <w:pPr>
              <w:spacing w:before="40" w:after="40" w:line="240" w:lineRule="auto"/>
              <w:jc w:val="center"/>
            </w:pPr>
            <w:r/>
            <w:r>
              <w:rPr>
                <w:rFonts w:ascii="Calibri" w:hAnsi="Calibri"/>
                <w:b w:val="0"/>
                <w:i w:val="0"/>
                <w:sz w:val="20"/>
              </w:rPr>
              <w:t>[DR]</w:t>
            </w:r>
          </w:p>
        </w:tc>
        <w:tc>
          <w:tcPr>
            <w:tcW w:type="dxa" w:w="1040"/>
          </w:tcPr>
          <w:p>
            <w:pPr>
              <w:spacing w:before="40" w:after="40" w:line="240" w:lineRule="auto"/>
              <w:jc w:val="center"/>
            </w:pPr>
            <w:r/>
            <w:r>
              <w:rPr>
                <w:rFonts w:ascii="Calibri" w:hAnsi="Calibri"/>
                <w:b w:val="0"/>
                <w:i w:val="0"/>
                <w:sz w:val="20"/>
              </w:rPr>
              <w:t>[DR]</w:t>
            </w:r>
          </w:p>
        </w:tc>
        <w:tc>
          <w:tcPr>
            <w:tcW w:type="dxa" w:w="1040"/>
          </w:tcPr>
          <w:p>
            <w:pPr>
              <w:spacing w:before="40" w:after="40" w:line="240" w:lineRule="auto"/>
              <w:jc w:val="center"/>
            </w:pPr>
            <w:r/>
            <w:r>
              <w:rPr>
                <w:rFonts w:ascii="Calibri" w:hAnsi="Calibri"/>
                <w:b w:val="0"/>
                <w:i w:val="0"/>
                <w:sz w:val="20"/>
              </w:rPr>
              <w:t>[DR]</w:t>
            </w:r>
          </w:p>
        </w:tc>
        <w:tc>
          <w:tcPr>
            <w:tcW w:type="dxa" w:w="1040"/>
          </w:tcPr>
          <w:p>
            <w:pPr>
              <w:spacing w:before="40" w:after="40" w:line="240" w:lineRule="auto"/>
              <w:jc w:val="center"/>
            </w:pPr>
            <w:r/>
            <w:r>
              <w:rPr>
                <w:rFonts w:ascii="Calibri" w:hAnsi="Calibri"/>
                <w:b w:val="0"/>
                <w:i w:val="0"/>
                <w:sz w:val="20"/>
              </w:rPr>
              <w:t>[DR]</w:t>
            </w:r>
          </w:p>
        </w:tc>
      </w:tr>
      <w:tr>
        <w:tc>
          <w:tcPr>
            <w:tcW w:type="dxa" w:w="1040"/>
          </w:tcPr>
          <w:p>
            <w:pPr>
              <w:spacing w:before="40" w:after="40" w:line="240" w:lineRule="auto"/>
              <w:jc w:val="center"/>
            </w:pPr>
            <w:r/>
            <w:r>
              <w:rPr>
                <w:rFonts w:ascii="Calibri" w:hAnsi="Calibri"/>
                <w:b/>
                <w:i w:val="0"/>
                <w:sz w:val="20"/>
              </w:rPr>
              <w:t>Class 4</w:t>
            </w:r>
          </w:p>
        </w:tc>
        <w:tc>
          <w:tcPr>
            <w:tcW w:type="dxa" w:w="1040"/>
          </w:tcPr>
          <w:p>
            <w:pPr>
              <w:spacing w:before="40" w:after="40" w:line="240" w:lineRule="auto"/>
              <w:jc w:val="center"/>
            </w:pPr>
            <w:r/>
            <w:r>
              <w:rPr>
                <w:rFonts w:ascii="Calibri" w:hAnsi="Calibri"/>
                <w:b w:val="0"/>
                <w:i w:val="0"/>
                <w:sz w:val="20"/>
              </w:rPr>
              <w:t>[DR]</w:t>
            </w:r>
          </w:p>
        </w:tc>
        <w:tc>
          <w:tcPr>
            <w:tcW w:type="dxa" w:w="1040"/>
          </w:tcPr>
          <w:p>
            <w:pPr>
              <w:spacing w:before="40" w:after="40" w:line="240" w:lineRule="auto"/>
              <w:jc w:val="center"/>
            </w:pPr>
            <w:r/>
            <w:r>
              <w:rPr>
                <w:rFonts w:ascii="Calibri" w:hAnsi="Calibri"/>
                <w:b w:val="0"/>
                <w:i w:val="0"/>
                <w:sz w:val="20"/>
              </w:rPr>
              <w:t>[DR]</w:t>
            </w:r>
          </w:p>
        </w:tc>
        <w:tc>
          <w:tcPr>
            <w:tcW w:type="dxa" w:w="1040"/>
          </w:tcPr>
          <w:p>
            <w:pPr>
              <w:spacing w:before="40" w:after="40" w:line="240" w:lineRule="auto"/>
              <w:jc w:val="center"/>
            </w:pPr>
            <w:r/>
            <w:r>
              <w:rPr>
                <w:rFonts w:ascii="Calibri" w:hAnsi="Calibri"/>
                <w:b w:val="0"/>
                <w:i w:val="0"/>
                <w:sz w:val="20"/>
              </w:rPr>
              <w:t>[DR]</w:t>
            </w:r>
          </w:p>
        </w:tc>
        <w:tc>
          <w:tcPr>
            <w:tcW w:type="dxa" w:w="1040"/>
          </w:tcPr>
          <w:p>
            <w:pPr>
              <w:spacing w:before="40" w:after="40" w:line="240" w:lineRule="auto"/>
              <w:jc w:val="center"/>
            </w:pPr>
            <w:r/>
            <w:r>
              <w:rPr>
                <w:rFonts w:ascii="Calibri" w:hAnsi="Calibri"/>
                <w:b w:val="0"/>
                <w:i w:val="0"/>
                <w:sz w:val="20"/>
              </w:rPr>
              <w:t>1.00</w:t>
            </w:r>
          </w:p>
        </w:tc>
        <w:tc>
          <w:tcPr>
            <w:tcW w:type="dxa" w:w="1040"/>
          </w:tcPr>
          <w:p>
            <w:pPr>
              <w:spacing w:before="40" w:after="40" w:line="240" w:lineRule="auto"/>
              <w:jc w:val="center"/>
            </w:pPr>
            <w:r/>
            <w:r>
              <w:rPr>
                <w:rFonts w:ascii="Calibri" w:hAnsi="Calibri"/>
                <w:b w:val="0"/>
                <w:i w:val="0"/>
                <w:sz w:val="20"/>
              </w:rPr>
              <w:t>[DR]</w:t>
            </w:r>
          </w:p>
        </w:tc>
        <w:tc>
          <w:tcPr>
            <w:tcW w:type="dxa" w:w="1040"/>
          </w:tcPr>
          <w:p>
            <w:pPr>
              <w:spacing w:before="40" w:after="40" w:line="240" w:lineRule="auto"/>
              <w:jc w:val="center"/>
            </w:pPr>
            <w:r/>
            <w:r>
              <w:rPr>
                <w:rFonts w:ascii="Calibri" w:hAnsi="Calibri"/>
                <w:b w:val="0"/>
                <w:i w:val="0"/>
                <w:sz w:val="20"/>
              </w:rPr>
              <w:t>[DR]</w:t>
            </w:r>
          </w:p>
        </w:tc>
        <w:tc>
          <w:tcPr>
            <w:tcW w:type="dxa" w:w="1040"/>
          </w:tcPr>
          <w:p>
            <w:pPr>
              <w:spacing w:before="40" w:after="40" w:line="240" w:lineRule="auto"/>
              <w:jc w:val="center"/>
            </w:pPr>
            <w:r/>
            <w:r>
              <w:rPr>
                <w:rFonts w:ascii="Calibri" w:hAnsi="Calibri"/>
                <w:b w:val="0"/>
                <w:i w:val="0"/>
                <w:sz w:val="20"/>
              </w:rPr>
              <w:t>[DR]</w:t>
            </w:r>
          </w:p>
        </w:tc>
        <w:tc>
          <w:tcPr>
            <w:tcW w:type="dxa" w:w="1040"/>
          </w:tcPr>
          <w:p>
            <w:pPr>
              <w:spacing w:before="40" w:after="40" w:line="240" w:lineRule="auto"/>
              <w:jc w:val="center"/>
            </w:pPr>
            <w:r/>
            <w:r>
              <w:rPr>
                <w:rFonts w:ascii="Calibri" w:hAnsi="Calibri"/>
                <w:b w:val="0"/>
                <w:i w:val="0"/>
                <w:sz w:val="20"/>
              </w:rPr>
              <w:t>[DR]</w:t>
            </w:r>
          </w:p>
        </w:tc>
      </w:tr>
      <w:tr>
        <w:tc>
          <w:tcPr>
            <w:tcW w:type="dxa" w:w="1040"/>
          </w:tcPr>
          <w:p>
            <w:pPr>
              <w:spacing w:before="40" w:after="40" w:line="240" w:lineRule="auto"/>
              <w:jc w:val="center"/>
            </w:pPr>
            <w:r/>
            <w:r>
              <w:rPr>
                <w:rFonts w:ascii="Calibri" w:hAnsi="Calibri"/>
                <w:b/>
                <w:i w:val="0"/>
                <w:sz w:val="20"/>
              </w:rPr>
              <w:t>Class 5</w:t>
            </w:r>
          </w:p>
        </w:tc>
        <w:tc>
          <w:tcPr>
            <w:tcW w:type="dxa" w:w="1040"/>
          </w:tcPr>
          <w:p>
            <w:pPr>
              <w:spacing w:before="40" w:after="40" w:line="240" w:lineRule="auto"/>
              <w:jc w:val="center"/>
            </w:pPr>
            <w:r/>
            <w:r>
              <w:rPr>
                <w:rFonts w:ascii="Calibri" w:hAnsi="Calibri"/>
                <w:b w:val="0"/>
                <w:i w:val="0"/>
                <w:sz w:val="20"/>
              </w:rPr>
              <w:t>[DR]</w:t>
            </w:r>
          </w:p>
        </w:tc>
        <w:tc>
          <w:tcPr>
            <w:tcW w:type="dxa" w:w="1040"/>
          </w:tcPr>
          <w:p>
            <w:pPr>
              <w:spacing w:before="40" w:after="40" w:line="240" w:lineRule="auto"/>
              <w:jc w:val="center"/>
            </w:pPr>
            <w:r/>
            <w:r>
              <w:rPr>
                <w:rFonts w:ascii="Calibri" w:hAnsi="Calibri"/>
                <w:b w:val="0"/>
                <w:i w:val="0"/>
                <w:sz w:val="20"/>
              </w:rPr>
              <w:t>[DR]</w:t>
            </w:r>
          </w:p>
        </w:tc>
        <w:tc>
          <w:tcPr>
            <w:tcW w:type="dxa" w:w="1040"/>
          </w:tcPr>
          <w:p>
            <w:pPr>
              <w:spacing w:before="40" w:after="40" w:line="240" w:lineRule="auto"/>
              <w:jc w:val="center"/>
            </w:pPr>
            <w:r/>
            <w:r>
              <w:rPr>
                <w:rFonts w:ascii="Calibri" w:hAnsi="Calibri"/>
                <w:b w:val="0"/>
                <w:i w:val="0"/>
                <w:sz w:val="20"/>
              </w:rPr>
              <w:t>[DR]</w:t>
            </w:r>
          </w:p>
        </w:tc>
        <w:tc>
          <w:tcPr>
            <w:tcW w:type="dxa" w:w="1040"/>
          </w:tcPr>
          <w:p>
            <w:pPr>
              <w:spacing w:before="40" w:after="40" w:line="240" w:lineRule="auto"/>
              <w:jc w:val="center"/>
            </w:pPr>
            <w:r/>
            <w:r>
              <w:rPr>
                <w:rFonts w:ascii="Calibri" w:hAnsi="Calibri"/>
                <w:b w:val="0"/>
                <w:i w:val="0"/>
                <w:sz w:val="20"/>
              </w:rPr>
              <w:t>[DR]</w:t>
            </w:r>
          </w:p>
        </w:tc>
        <w:tc>
          <w:tcPr>
            <w:tcW w:type="dxa" w:w="1040"/>
          </w:tcPr>
          <w:p>
            <w:pPr>
              <w:spacing w:before="40" w:after="40" w:line="240" w:lineRule="auto"/>
              <w:jc w:val="center"/>
            </w:pPr>
            <w:r/>
            <w:r>
              <w:rPr>
                <w:rFonts w:ascii="Calibri" w:hAnsi="Calibri"/>
                <w:b w:val="0"/>
                <w:i w:val="0"/>
                <w:sz w:val="20"/>
              </w:rPr>
              <w:t>1.00</w:t>
            </w:r>
          </w:p>
        </w:tc>
        <w:tc>
          <w:tcPr>
            <w:tcW w:type="dxa" w:w="1040"/>
          </w:tcPr>
          <w:p>
            <w:pPr>
              <w:spacing w:before="40" w:after="40" w:line="240" w:lineRule="auto"/>
              <w:jc w:val="center"/>
            </w:pPr>
            <w:r/>
            <w:r>
              <w:rPr>
                <w:rFonts w:ascii="Calibri" w:hAnsi="Calibri"/>
                <w:b w:val="0"/>
                <w:i w:val="0"/>
                <w:sz w:val="20"/>
              </w:rPr>
              <w:t>[DR]</w:t>
            </w:r>
          </w:p>
        </w:tc>
        <w:tc>
          <w:tcPr>
            <w:tcW w:type="dxa" w:w="1040"/>
          </w:tcPr>
          <w:p>
            <w:pPr>
              <w:spacing w:before="40" w:after="40" w:line="240" w:lineRule="auto"/>
              <w:jc w:val="center"/>
            </w:pPr>
            <w:r/>
            <w:r>
              <w:rPr>
                <w:rFonts w:ascii="Calibri" w:hAnsi="Calibri"/>
                <w:b w:val="0"/>
                <w:i w:val="0"/>
                <w:sz w:val="20"/>
              </w:rPr>
              <w:t>[DR]</w:t>
            </w:r>
          </w:p>
        </w:tc>
        <w:tc>
          <w:tcPr>
            <w:tcW w:type="dxa" w:w="1040"/>
          </w:tcPr>
          <w:p>
            <w:pPr>
              <w:spacing w:before="40" w:after="40" w:line="240" w:lineRule="auto"/>
              <w:jc w:val="center"/>
            </w:pPr>
            <w:r/>
            <w:r>
              <w:rPr>
                <w:rFonts w:ascii="Calibri" w:hAnsi="Calibri"/>
                <w:b w:val="0"/>
                <w:i w:val="0"/>
                <w:sz w:val="20"/>
              </w:rPr>
              <w:t>[DR]</w:t>
            </w:r>
          </w:p>
        </w:tc>
      </w:tr>
      <w:tr>
        <w:tc>
          <w:tcPr>
            <w:tcW w:type="dxa" w:w="1040"/>
          </w:tcPr>
          <w:p>
            <w:pPr>
              <w:spacing w:before="40" w:after="40" w:line="240" w:lineRule="auto"/>
              <w:jc w:val="center"/>
            </w:pPr>
            <w:r/>
            <w:r>
              <w:rPr>
                <w:rFonts w:ascii="Calibri" w:hAnsi="Calibri"/>
                <w:b/>
                <w:i w:val="0"/>
                <w:sz w:val="20"/>
              </w:rPr>
              <w:t>Class 6</w:t>
            </w:r>
          </w:p>
        </w:tc>
        <w:tc>
          <w:tcPr>
            <w:tcW w:type="dxa" w:w="1040"/>
          </w:tcPr>
          <w:p>
            <w:pPr>
              <w:spacing w:before="40" w:after="40" w:line="240" w:lineRule="auto"/>
              <w:jc w:val="center"/>
            </w:pPr>
            <w:r/>
            <w:r>
              <w:rPr>
                <w:rFonts w:ascii="Calibri" w:hAnsi="Calibri"/>
                <w:b w:val="0"/>
                <w:i w:val="0"/>
                <w:sz w:val="20"/>
              </w:rPr>
              <w:t>[DR]</w:t>
            </w:r>
          </w:p>
        </w:tc>
        <w:tc>
          <w:tcPr>
            <w:tcW w:type="dxa" w:w="1040"/>
          </w:tcPr>
          <w:p>
            <w:pPr>
              <w:spacing w:before="40" w:after="40" w:line="240" w:lineRule="auto"/>
              <w:jc w:val="center"/>
            </w:pPr>
            <w:r/>
            <w:r>
              <w:rPr>
                <w:rFonts w:ascii="Calibri" w:hAnsi="Calibri"/>
                <w:b w:val="0"/>
                <w:i w:val="0"/>
                <w:sz w:val="20"/>
              </w:rPr>
              <w:t>[DR]</w:t>
            </w:r>
          </w:p>
        </w:tc>
        <w:tc>
          <w:tcPr>
            <w:tcW w:type="dxa" w:w="1040"/>
          </w:tcPr>
          <w:p>
            <w:pPr>
              <w:spacing w:before="40" w:after="40" w:line="240" w:lineRule="auto"/>
              <w:jc w:val="center"/>
            </w:pPr>
            <w:r/>
            <w:r>
              <w:rPr>
                <w:rFonts w:ascii="Calibri" w:hAnsi="Calibri"/>
                <w:b w:val="0"/>
                <w:i w:val="0"/>
                <w:sz w:val="20"/>
              </w:rPr>
              <w:t>[DR]</w:t>
            </w:r>
          </w:p>
        </w:tc>
        <w:tc>
          <w:tcPr>
            <w:tcW w:type="dxa" w:w="1040"/>
          </w:tcPr>
          <w:p>
            <w:pPr>
              <w:spacing w:before="40" w:after="40" w:line="240" w:lineRule="auto"/>
              <w:jc w:val="center"/>
            </w:pPr>
            <w:r/>
            <w:r>
              <w:rPr>
                <w:rFonts w:ascii="Calibri" w:hAnsi="Calibri"/>
                <w:b w:val="0"/>
                <w:i w:val="0"/>
                <w:sz w:val="20"/>
              </w:rPr>
              <w:t>[DR]</w:t>
            </w:r>
          </w:p>
        </w:tc>
        <w:tc>
          <w:tcPr>
            <w:tcW w:type="dxa" w:w="1040"/>
          </w:tcPr>
          <w:p>
            <w:pPr>
              <w:spacing w:before="40" w:after="40" w:line="240" w:lineRule="auto"/>
              <w:jc w:val="center"/>
            </w:pPr>
            <w:r/>
            <w:r>
              <w:rPr>
                <w:rFonts w:ascii="Calibri" w:hAnsi="Calibri"/>
                <w:b w:val="0"/>
                <w:i w:val="0"/>
                <w:sz w:val="20"/>
              </w:rPr>
              <w:t>[DR]</w:t>
            </w:r>
          </w:p>
        </w:tc>
        <w:tc>
          <w:tcPr>
            <w:tcW w:type="dxa" w:w="1040"/>
          </w:tcPr>
          <w:p>
            <w:pPr>
              <w:spacing w:before="40" w:after="40" w:line="240" w:lineRule="auto"/>
              <w:jc w:val="center"/>
            </w:pPr>
            <w:r/>
            <w:r>
              <w:rPr>
                <w:rFonts w:ascii="Calibri" w:hAnsi="Calibri"/>
                <w:b w:val="0"/>
                <w:i w:val="0"/>
                <w:sz w:val="20"/>
              </w:rPr>
              <w:t>1.00</w:t>
            </w:r>
          </w:p>
        </w:tc>
        <w:tc>
          <w:tcPr>
            <w:tcW w:type="dxa" w:w="1040"/>
          </w:tcPr>
          <w:p>
            <w:pPr>
              <w:spacing w:before="40" w:after="40" w:line="240" w:lineRule="auto"/>
              <w:jc w:val="center"/>
            </w:pPr>
            <w:r/>
            <w:r>
              <w:rPr>
                <w:rFonts w:ascii="Calibri" w:hAnsi="Calibri"/>
                <w:b w:val="0"/>
                <w:i w:val="0"/>
                <w:sz w:val="20"/>
              </w:rPr>
              <w:t>[DR]</w:t>
            </w:r>
          </w:p>
        </w:tc>
        <w:tc>
          <w:tcPr>
            <w:tcW w:type="dxa" w:w="1040"/>
          </w:tcPr>
          <w:p>
            <w:pPr>
              <w:spacing w:before="40" w:after="40" w:line="240" w:lineRule="auto"/>
              <w:jc w:val="center"/>
            </w:pPr>
            <w:r/>
            <w:r>
              <w:rPr>
                <w:rFonts w:ascii="Calibri" w:hAnsi="Calibri"/>
                <w:b w:val="0"/>
                <w:i w:val="0"/>
                <w:sz w:val="20"/>
              </w:rPr>
              <w:t>[DR]</w:t>
            </w:r>
          </w:p>
        </w:tc>
      </w:tr>
      <w:tr>
        <w:tc>
          <w:tcPr>
            <w:tcW w:type="dxa" w:w="1040"/>
          </w:tcPr>
          <w:p>
            <w:pPr>
              <w:spacing w:before="40" w:after="40" w:line="240" w:lineRule="auto"/>
              <w:jc w:val="center"/>
            </w:pPr>
            <w:r/>
            <w:r>
              <w:rPr>
                <w:rFonts w:ascii="Calibri" w:hAnsi="Calibri"/>
                <w:b/>
                <w:i w:val="0"/>
                <w:sz w:val="20"/>
              </w:rPr>
              <w:t>Class 7</w:t>
            </w:r>
          </w:p>
        </w:tc>
        <w:tc>
          <w:tcPr>
            <w:tcW w:type="dxa" w:w="1040"/>
          </w:tcPr>
          <w:p>
            <w:pPr>
              <w:spacing w:before="40" w:after="40" w:line="240" w:lineRule="auto"/>
              <w:jc w:val="center"/>
            </w:pPr>
            <w:r/>
            <w:r>
              <w:rPr>
                <w:rFonts w:ascii="Calibri" w:hAnsi="Calibri"/>
                <w:b w:val="0"/>
                <w:i w:val="0"/>
                <w:sz w:val="20"/>
              </w:rPr>
              <w:t>[DR]</w:t>
            </w:r>
          </w:p>
        </w:tc>
        <w:tc>
          <w:tcPr>
            <w:tcW w:type="dxa" w:w="1040"/>
          </w:tcPr>
          <w:p>
            <w:pPr>
              <w:spacing w:before="40" w:after="40" w:line="240" w:lineRule="auto"/>
              <w:jc w:val="center"/>
            </w:pPr>
            <w:r/>
            <w:r>
              <w:rPr>
                <w:rFonts w:ascii="Calibri" w:hAnsi="Calibri"/>
                <w:b w:val="0"/>
                <w:i w:val="0"/>
                <w:sz w:val="20"/>
              </w:rPr>
              <w:t>[DR]</w:t>
            </w:r>
          </w:p>
        </w:tc>
        <w:tc>
          <w:tcPr>
            <w:tcW w:type="dxa" w:w="1040"/>
          </w:tcPr>
          <w:p>
            <w:pPr>
              <w:spacing w:before="40" w:after="40" w:line="240" w:lineRule="auto"/>
              <w:jc w:val="center"/>
            </w:pPr>
            <w:r/>
            <w:r>
              <w:rPr>
                <w:rFonts w:ascii="Calibri" w:hAnsi="Calibri"/>
                <w:b w:val="0"/>
                <w:i w:val="0"/>
                <w:sz w:val="20"/>
              </w:rPr>
              <w:t>[DR]</w:t>
            </w:r>
          </w:p>
        </w:tc>
        <w:tc>
          <w:tcPr>
            <w:tcW w:type="dxa" w:w="1040"/>
          </w:tcPr>
          <w:p>
            <w:pPr>
              <w:spacing w:before="40" w:after="40" w:line="240" w:lineRule="auto"/>
              <w:jc w:val="center"/>
            </w:pPr>
            <w:r/>
            <w:r>
              <w:rPr>
                <w:rFonts w:ascii="Calibri" w:hAnsi="Calibri"/>
                <w:b w:val="0"/>
                <w:i w:val="0"/>
                <w:sz w:val="20"/>
              </w:rPr>
              <w:t>[DR]</w:t>
            </w:r>
          </w:p>
        </w:tc>
        <w:tc>
          <w:tcPr>
            <w:tcW w:type="dxa" w:w="1040"/>
          </w:tcPr>
          <w:p>
            <w:pPr>
              <w:spacing w:before="40" w:after="40" w:line="240" w:lineRule="auto"/>
              <w:jc w:val="center"/>
            </w:pPr>
            <w:r/>
            <w:r>
              <w:rPr>
                <w:rFonts w:ascii="Calibri" w:hAnsi="Calibri"/>
                <w:b w:val="0"/>
                <w:i w:val="0"/>
                <w:sz w:val="20"/>
              </w:rPr>
              <w:t>[DR]</w:t>
            </w:r>
          </w:p>
        </w:tc>
        <w:tc>
          <w:tcPr>
            <w:tcW w:type="dxa" w:w="1040"/>
          </w:tcPr>
          <w:p>
            <w:pPr>
              <w:spacing w:before="40" w:after="40" w:line="240" w:lineRule="auto"/>
              <w:jc w:val="center"/>
            </w:pPr>
            <w:r/>
            <w:r>
              <w:rPr>
                <w:rFonts w:ascii="Calibri" w:hAnsi="Calibri"/>
                <w:b w:val="0"/>
                <w:i w:val="0"/>
                <w:sz w:val="20"/>
              </w:rPr>
              <w:t>[DR]</w:t>
            </w:r>
          </w:p>
        </w:tc>
        <w:tc>
          <w:tcPr>
            <w:tcW w:type="dxa" w:w="1040"/>
          </w:tcPr>
          <w:p>
            <w:pPr>
              <w:spacing w:before="40" w:after="40" w:line="240" w:lineRule="auto"/>
              <w:jc w:val="center"/>
            </w:pPr>
            <w:r/>
            <w:r>
              <w:rPr>
                <w:rFonts w:ascii="Calibri" w:hAnsi="Calibri"/>
                <w:b w:val="0"/>
                <w:i w:val="0"/>
                <w:sz w:val="20"/>
              </w:rPr>
              <w:t>1.00</w:t>
            </w:r>
          </w:p>
        </w:tc>
        <w:tc>
          <w:tcPr>
            <w:tcW w:type="dxa" w:w="1040"/>
          </w:tcPr>
          <w:p>
            <w:pPr>
              <w:spacing w:before="40" w:after="40" w:line="240" w:lineRule="auto"/>
              <w:jc w:val="center"/>
            </w:pPr>
            <w:r/>
            <w:r>
              <w:rPr>
                <w:rFonts w:ascii="Calibri" w:hAnsi="Calibri"/>
                <w:b w:val="0"/>
                <w:i w:val="0"/>
                <w:sz w:val="20"/>
              </w:rPr>
              <w:t>[DR]</w:t>
            </w:r>
          </w:p>
        </w:tc>
      </w:tr>
      <w:tr>
        <w:tc>
          <w:tcPr>
            <w:tcW w:type="dxa" w:w="1040"/>
          </w:tcPr>
          <w:p>
            <w:pPr>
              <w:spacing w:before="40" w:after="40" w:line="240" w:lineRule="auto"/>
              <w:jc w:val="center"/>
            </w:pPr>
            <w:r/>
            <w:r>
              <w:rPr>
                <w:rFonts w:ascii="Calibri" w:hAnsi="Calibri"/>
                <w:b/>
                <w:i w:val="0"/>
                <w:sz w:val="20"/>
              </w:rPr>
              <w:t>Class 8</w:t>
            </w:r>
          </w:p>
        </w:tc>
        <w:tc>
          <w:tcPr>
            <w:tcW w:type="dxa" w:w="1040"/>
          </w:tcPr>
          <w:p>
            <w:pPr>
              <w:spacing w:before="40" w:after="40" w:line="240" w:lineRule="auto"/>
              <w:jc w:val="center"/>
            </w:pPr>
            <w:r/>
            <w:r>
              <w:rPr>
                <w:rFonts w:ascii="Calibri" w:hAnsi="Calibri"/>
                <w:b w:val="0"/>
                <w:i w:val="0"/>
                <w:sz w:val="20"/>
              </w:rPr>
              <w:t>[DR]</w:t>
            </w:r>
          </w:p>
        </w:tc>
        <w:tc>
          <w:tcPr>
            <w:tcW w:type="dxa" w:w="1040"/>
          </w:tcPr>
          <w:p>
            <w:pPr>
              <w:spacing w:before="40" w:after="40" w:line="240" w:lineRule="auto"/>
              <w:jc w:val="center"/>
            </w:pPr>
            <w:r/>
            <w:r>
              <w:rPr>
                <w:rFonts w:ascii="Calibri" w:hAnsi="Calibri"/>
                <w:b w:val="0"/>
                <w:i w:val="0"/>
                <w:sz w:val="20"/>
              </w:rPr>
              <w:t>[DR]</w:t>
            </w:r>
          </w:p>
        </w:tc>
        <w:tc>
          <w:tcPr>
            <w:tcW w:type="dxa" w:w="1040"/>
          </w:tcPr>
          <w:p>
            <w:pPr>
              <w:spacing w:before="40" w:after="40" w:line="240" w:lineRule="auto"/>
              <w:jc w:val="center"/>
            </w:pPr>
            <w:r/>
            <w:r>
              <w:rPr>
                <w:rFonts w:ascii="Calibri" w:hAnsi="Calibri"/>
                <w:b w:val="0"/>
                <w:i w:val="0"/>
                <w:sz w:val="20"/>
              </w:rPr>
              <w:t>[DR]</w:t>
            </w:r>
          </w:p>
        </w:tc>
        <w:tc>
          <w:tcPr>
            <w:tcW w:type="dxa" w:w="1040"/>
          </w:tcPr>
          <w:p>
            <w:pPr>
              <w:spacing w:before="40" w:after="40" w:line="240" w:lineRule="auto"/>
              <w:jc w:val="center"/>
            </w:pPr>
            <w:r/>
            <w:r>
              <w:rPr>
                <w:rFonts w:ascii="Calibri" w:hAnsi="Calibri"/>
                <w:b w:val="0"/>
                <w:i w:val="0"/>
                <w:sz w:val="20"/>
              </w:rPr>
              <w:t>[DR]</w:t>
            </w:r>
          </w:p>
        </w:tc>
        <w:tc>
          <w:tcPr>
            <w:tcW w:type="dxa" w:w="1040"/>
          </w:tcPr>
          <w:p>
            <w:pPr>
              <w:spacing w:before="40" w:after="40" w:line="240" w:lineRule="auto"/>
              <w:jc w:val="center"/>
            </w:pPr>
            <w:r/>
            <w:r>
              <w:rPr>
                <w:rFonts w:ascii="Calibri" w:hAnsi="Calibri"/>
                <w:b w:val="0"/>
                <w:i w:val="0"/>
                <w:sz w:val="20"/>
              </w:rPr>
              <w:t>[DR]</w:t>
            </w:r>
          </w:p>
        </w:tc>
        <w:tc>
          <w:tcPr>
            <w:tcW w:type="dxa" w:w="1040"/>
          </w:tcPr>
          <w:p>
            <w:pPr>
              <w:spacing w:before="40" w:after="40" w:line="240" w:lineRule="auto"/>
              <w:jc w:val="center"/>
            </w:pPr>
            <w:r/>
            <w:r>
              <w:rPr>
                <w:rFonts w:ascii="Calibri" w:hAnsi="Calibri"/>
                <w:b w:val="0"/>
                <w:i w:val="0"/>
                <w:sz w:val="20"/>
              </w:rPr>
              <w:t>[DR]</w:t>
            </w:r>
          </w:p>
        </w:tc>
        <w:tc>
          <w:tcPr>
            <w:tcW w:type="dxa" w:w="1040"/>
          </w:tcPr>
          <w:p>
            <w:pPr>
              <w:spacing w:before="40" w:after="40" w:line="240" w:lineRule="auto"/>
              <w:jc w:val="center"/>
            </w:pPr>
            <w:r/>
            <w:r>
              <w:rPr>
                <w:rFonts w:ascii="Calibri" w:hAnsi="Calibri"/>
                <w:b w:val="0"/>
                <w:i w:val="0"/>
                <w:sz w:val="20"/>
              </w:rPr>
              <w:t>[DR]</w:t>
            </w:r>
          </w:p>
        </w:tc>
        <w:tc>
          <w:tcPr>
            <w:tcW w:type="dxa" w:w="1040"/>
          </w:tcPr>
          <w:p>
            <w:pPr>
              <w:spacing w:before="40" w:after="40" w:line="240" w:lineRule="auto"/>
              <w:jc w:val="center"/>
            </w:pPr>
            <w:r/>
            <w:r>
              <w:rPr>
                <w:rFonts w:ascii="Calibri" w:hAnsi="Calibri"/>
                <w:b w:val="0"/>
                <w:i w:val="0"/>
                <w:sz w:val="20"/>
              </w:rPr>
              <w:t>1.00</w:t>
            </w:r>
          </w:p>
        </w:tc>
      </w:tr>
    </w:tbl>
    <w:p>
      <w:pPr>
        <w:spacing w:before="40" w:after="160"/>
      </w:pPr>
      <w:r>
        <w:rPr>
          <w:rFonts w:ascii="Calibri" w:hAnsi="Calibri"/>
          <w:i/>
          <w:sz w:val="18"/>
        </w:rPr>
        <w:t>Notes:* Pairwise Pearson correlations computed on [DR — specify: monthly/quarterly] returns over the sample period [DR — specify: date range]. Diagonal entries are 1.00 by definition. Values below −0.20 indicate meaningful diversification potential; values above 0.80 suggest high co-movement. Row and column labels will be replaced with actual asset class names once data is provided. Source:* [DR] — asset class dataset not yet provided.</w:t>
      </w:r>
    </w:p>
    <w:p>
      <w:pPr>
        <w:spacing w:line="360" w:lineRule="auto"/>
      </w:pPr>
      <w:r>
        <w:rPr>
          <w:rFonts w:ascii="Calibri" w:hAnsi="Calibri"/>
          <w:sz w:val="24"/>
        </w:rPr>
        <w:t>Pairwise correlations are not static; they tend to increase during market stress — precisely when diversification is most needed (Longin &amp; Solnik, 2001). Kinlaw et al. (2017) surveyed robust methods for addressing this non-stationarity, including regime-switching models and shrinkage estimation. Reliance on a single-period correlation matrix should be interpreted with caution.</w:t>
      </w:r>
    </w:p>
    <w:p>
      <w:pPr>
        <w:pStyle w:val="Heading3"/>
      </w:pPr>
      <w:r>
        <w:t>3.2 Construction Methodology</w:t>
      </w:r>
    </w:p>
    <w:p>
      <w:pPr>
        <w:spacing w:line="360" w:lineRule="auto"/>
      </w:pPr>
      <w:r>
        <w:rPr>
          <w:rFonts w:ascii="Calibri" w:hAnsi="Calibri"/>
          <w:sz w:val="24"/>
        </w:rPr>
        <w:t>Three principal methodologies are considered for translating the risk-return profiles (Section 2) and correlation structure (Table 3) into portfolio weights: mean-variance optimisation (MVO), risk parity, and the Black-Litterman framework.</w:t>
      </w:r>
    </w:p>
    <w:p>
      <w:pPr>
        <w:spacing w:line="360" w:lineRule="auto"/>
      </w:pPr>
      <w:r>
        <w:rPr>
          <w:rFonts w:ascii="Calibri" w:hAnsi="Calibri"/>
          <w:b/>
          <w:sz w:val="24"/>
        </w:rPr>
        <w:t>Mean-variance optimisation (MVO)</w:t>
      </w:r>
      <w:r>
        <w:rPr>
          <w:rFonts w:ascii="Calibri" w:hAnsi="Calibri"/>
          <w:sz w:val="24"/>
        </w:rPr>
        <w:t>, pioneered by Markowitz (1952), identifies portfolios on the efficient frontier that maximise expected return for a given level of risk. However, MVO is highly sensitive to errors in expected return estimates. DeMiguel et al. (2009) demonstrated that, across 14 models and seven datasets, the naive 1/N portfolio consistently matched or outperformed optimised allocations out-of-sample, because estimation error in means, variances, and covariances dominates theoretical optimisation gains. This finding serves as a critical robustness benchmark.</w:t>
      </w:r>
    </w:p>
    <w:p>
      <w:pPr>
        <w:spacing w:line="360" w:lineRule="auto"/>
      </w:pPr>
      <w:r>
        <w:rPr>
          <w:rFonts w:ascii="Calibri" w:hAnsi="Calibri"/>
          <w:b/>
          <w:sz w:val="24"/>
        </w:rPr>
        <w:t>Risk parity</w:t>
      </w:r>
      <w:r>
        <w:rPr>
          <w:rFonts w:ascii="Calibri" w:hAnsi="Calibri"/>
          <w:sz w:val="24"/>
        </w:rPr>
        <w:t xml:space="preserve"> sidesteps return forecasting by equalising each asset class's marginal contribution to total portfolio risk (Qian, 2011). Asness et al. (2012) argued that this approach exploits the empirical finding that low-risk assets deliver higher risk-adjusted returns — a phenomenon attributable to institutional leverage aversion. A traditional 60/40 equity-bond portfolio derives approximately 90% of its risk from equities despite only 60% capital allocation (Qian, 2011), rendering it far less diversified in risk terms than its dollar weights suggest.</w:t>
      </w:r>
    </w:p>
    <w:p>
      <w:pPr>
        <w:spacing w:line="360" w:lineRule="auto"/>
      </w:pPr>
      <w:r>
        <w:rPr>
          <w:rFonts w:ascii="Calibri" w:hAnsi="Calibri"/>
          <w:sz w:val="24"/>
        </w:rPr>
        <w:t xml:space="preserve">The </w:t>
      </w:r>
      <w:r>
        <w:rPr>
          <w:rFonts w:ascii="Calibri" w:hAnsi="Calibri"/>
          <w:b/>
          <w:sz w:val="24"/>
        </w:rPr>
        <w:t>Black-Litterman model</w:t>
      </w:r>
      <w:r>
        <w:rPr>
          <w:rFonts w:ascii="Calibri" w:hAnsi="Calibri"/>
          <w:sz w:val="24"/>
        </w:rPr>
        <w:t xml:space="preserve"> (Black &amp; Litterman, 1992) begins with market-equilibrium implied returns and allows investors to overlay subjective views with specified confidence levels. The resulting posterior expected returns produce more stable and intuitive portfolio weights than unconstrained MVO [DATA REQUIRED — state whether investor views or forward-looking capital market assumptions are available].</w:t>
      </w:r>
    </w:p>
    <w:p>
      <w:pPr>
        <w:pStyle w:val="Heading3"/>
      </w:pPr>
      <w:r>
        <w:t>3.3 From Correlation Structure to Allocation Logic</w:t>
      </w:r>
    </w:p>
    <w:p>
      <w:pPr>
        <w:spacing w:line="360" w:lineRule="auto"/>
      </w:pPr>
      <w:r>
        <w:rPr>
          <w:rFonts w:ascii="Calibri" w:hAnsi="Calibri"/>
          <w:sz w:val="24"/>
        </w:rPr>
        <w:t>The correlation evidence in Table 3 has direct implications for allocation weights. Asset classes that exhibit low or negative correlations with the rest of the portfolio are disproportionately valuable because they contribute more diversification per unit of capital. Conversely, highly correlated asset classes provide diminishing marginal diversification and, absent a compelling return advantage, warrant reduced allocation. [DATA REQUIRED — map specific correlation pairs from Table 3 to allocation weight implications.]</w:t>
      </w:r>
    </w:p>
    <w:p>
      <w:pPr>
        <w:spacing w:line="360" w:lineRule="auto"/>
      </w:pPr>
      <w:r>
        <w:rPr>
          <w:rFonts w:ascii="Calibri" w:hAnsi="Calibri"/>
          <w:sz w:val="24"/>
        </w:rPr>
        <w:t>The choice among MVO, risk parity, and Black-Litterman ultimately depends on the reliability of available return forecasts and the investor's risk tolerance. In the absence of high-conviction return views, risk parity or a Black-Litterman approach anchored to equilibrium returns may be preferable to unconstrained MVO, which risks producing unstable and unintuitive allocations (DeMiguel et al., 2009). The recommended allocation presented in Section 4 reflects this reasoning. [DATA REQUIRED — state which methodology was selected and why.]</w:t>
      </w:r>
    </w:p>
    <w:p>
      <w:pPr>
        <w:pStyle w:val="Heading2"/>
      </w:pPr>
      <w:r>
        <w:t>4. Allocation Recommendation</w:t>
      </w:r>
    </w:p>
    <w:p>
      <w:pPr>
        <w:spacing w:line="360" w:lineRule="auto"/>
      </w:pPr>
      <w:r>
        <w:rPr>
          <w:rFonts w:ascii="Calibri" w:hAnsi="Calibri"/>
          <w:sz w:val="24"/>
        </w:rPr>
        <w:t>Drawing on the risk-return profiles established in Section 2 and the diversification rationale developed in Section 3, this section presents and justifies a specific portfolio allocation. The recommendation balances expected return, risk, liquidity, and diversification considerations within the constraints applicable to the investor's mandate [DATA REQUIRED — specify investor profile, time horizon, and any binding constraints].</w:t>
      </w:r>
    </w:p>
    <w:p>
      <w:pPr>
        <w:pStyle w:val="Heading3"/>
      </w:pPr>
      <w:r>
        <w:t>4.1 Recommended Weights</w:t>
      </w:r>
    </w:p>
    <w:p>
      <w:pPr>
        <w:spacing w:line="360" w:lineRule="auto"/>
      </w:pPr>
      <w:r>
        <w:rPr>
          <w:rFonts w:ascii="Calibri" w:hAnsi="Calibri"/>
          <w:sz w:val="24"/>
        </w:rPr>
        <w:t>[DATA REQUIRED — present the specific percentage allocation to each asset class. If Table 4 is included, reference it here; otherwise embed weights in prose.]</w:t>
      </w:r>
    </w:p>
    <w:p>
      <w:pPr>
        <w:spacing w:before="240" w:after="80"/>
      </w:pPr>
      <w:r>
        <w:rPr>
          <w:rFonts w:ascii="Calibri" w:hAnsi="Calibri"/>
          <w:b/>
          <w:sz w:val="22"/>
        </w:rPr>
        <w:t>Table 4: Recommended Portfolio Allocation</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72"/>
        <w:gridCol w:w="1872"/>
        <w:gridCol w:w="1872"/>
        <w:gridCol w:w="1872"/>
        <w:gridCol w:w="1872"/>
      </w:tblGrid>
      <w:tr>
        <w:tc>
          <w:tcPr>
            <w:tcW w:type="dxa" w:w="1872"/>
            <w:shd w:fill="1F497D" w:val="clear"/>
          </w:tcPr>
          <w:p>
            <w:pPr>
              <w:spacing w:before="40" w:after="40" w:line="240" w:lineRule="auto"/>
              <w:jc w:val="center"/>
            </w:pPr>
            <w:r>
              <w:rPr>
                <w:b/>
                <w:color w:val="FFFFFF"/>
              </w:rPr>
            </w:r>
            <w:r>
              <w:rPr>
                <w:rFonts w:ascii="Calibri" w:hAnsi="Calibri"/>
                <w:b/>
                <w:i w:val="0"/>
                <w:color w:val="FFFFFF"/>
                <w:sz w:val="20"/>
              </w:rPr>
              <w:t>#</w:t>
            </w:r>
          </w:p>
        </w:tc>
        <w:tc>
          <w:tcPr>
            <w:tcW w:type="dxa" w:w="1872"/>
            <w:shd w:fill="1F497D" w:val="clear"/>
          </w:tcPr>
          <w:p>
            <w:pPr>
              <w:spacing w:before="40" w:after="40" w:line="240" w:lineRule="auto"/>
              <w:jc w:val="center"/>
            </w:pPr>
            <w:r>
              <w:rPr>
                <w:b/>
                <w:color w:val="FFFFFF"/>
              </w:rPr>
            </w:r>
            <w:r>
              <w:rPr>
                <w:rFonts w:ascii="Calibri" w:hAnsi="Calibri"/>
                <w:b/>
                <w:i w:val="0"/>
                <w:color w:val="FFFFFF"/>
                <w:sz w:val="20"/>
              </w:rPr>
              <w:t>Asset Class</w:t>
            </w:r>
          </w:p>
        </w:tc>
        <w:tc>
          <w:tcPr>
            <w:tcW w:type="dxa" w:w="1872"/>
            <w:shd w:fill="1F497D" w:val="clear"/>
          </w:tcPr>
          <w:p>
            <w:pPr>
              <w:spacing w:before="40" w:after="40" w:line="240" w:lineRule="auto"/>
              <w:jc w:val="center"/>
            </w:pPr>
            <w:r>
              <w:rPr>
                <w:b/>
                <w:color w:val="FFFFFF"/>
              </w:rPr>
            </w:r>
            <w:r>
              <w:rPr>
                <w:rFonts w:ascii="Calibri" w:hAnsi="Calibri"/>
                <w:b/>
                <w:i w:val="0"/>
                <w:color w:val="FFFFFF"/>
                <w:sz w:val="20"/>
              </w:rPr>
              <w:t>Weight (%)</w:t>
            </w:r>
          </w:p>
        </w:tc>
        <w:tc>
          <w:tcPr>
            <w:tcW w:type="dxa" w:w="1872"/>
            <w:shd w:fill="1F497D" w:val="clear"/>
          </w:tcPr>
          <w:p>
            <w:pPr>
              <w:spacing w:before="40" w:after="40" w:line="240" w:lineRule="auto"/>
              <w:jc w:val="center"/>
            </w:pPr>
            <w:r>
              <w:rPr>
                <w:b/>
                <w:color w:val="FFFFFF"/>
              </w:rPr>
            </w:r>
            <w:r>
              <w:rPr>
                <w:rFonts w:ascii="Calibri" w:hAnsi="Calibri"/>
                <w:b/>
                <w:i w:val="0"/>
                <w:color w:val="FFFFFF"/>
                <w:sz w:val="20"/>
              </w:rPr>
              <w:t>Risk Contribution (%)</w:t>
            </w:r>
          </w:p>
        </w:tc>
        <w:tc>
          <w:tcPr>
            <w:tcW w:type="dxa" w:w="1872"/>
            <w:shd w:fill="1F497D" w:val="clear"/>
          </w:tcPr>
          <w:p>
            <w:pPr>
              <w:spacing w:before="40" w:after="40" w:line="240" w:lineRule="auto"/>
              <w:jc w:val="center"/>
            </w:pPr>
            <w:r>
              <w:rPr>
                <w:b/>
                <w:color w:val="FFFFFF"/>
              </w:rPr>
            </w:r>
            <w:r>
              <w:rPr>
                <w:rFonts w:ascii="Calibri" w:hAnsi="Calibri"/>
                <w:b/>
                <w:i w:val="0"/>
                <w:color w:val="FFFFFF"/>
                <w:sz w:val="20"/>
              </w:rPr>
              <w:t>Rationale</w:t>
            </w:r>
          </w:p>
        </w:tc>
      </w:tr>
      <w:tr>
        <w:tc>
          <w:tcPr>
            <w:tcW w:type="dxa" w:w="1872"/>
          </w:tcPr>
          <w:p>
            <w:pPr>
              <w:spacing w:before="40" w:after="40" w:line="240" w:lineRule="auto"/>
              <w:jc w:val="center"/>
            </w:pPr>
            <w:r/>
            <w:r>
              <w:rPr>
                <w:rFonts w:ascii="Calibri" w:hAnsi="Calibri"/>
                <w:b w:val="0"/>
                <w:i w:val="0"/>
                <w:sz w:val="20"/>
              </w:rPr>
              <w:t>1</w:t>
            </w:r>
          </w:p>
        </w:tc>
        <w:tc>
          <w:tcPr>
            <w:tcW w:type="dxa" w:w="1872"/>
          </w:tcPr>
          <w:p>
            <w:pPr>
              <w:spacing w:before="40" w:after="40" w:line="240" w:lineRule="auto"/>
              <w:jc w:val="left"/>
            </w:pPr>
            <w:r/>
            <w:r>
              <w:rPr>
                <w:rFonts w:ascii="Calibri" w:hAnsi="Calibri"/>
                <w:b w:val="0"/>
                <w:i w:val="0"/>
                <w:sz w:val="20"/>
              </w:rPr>
              <w:t>[DR]</w:t>
            </w:r>
          </w:p>
        </w:tc>
        <w:tc>
          <w:tcPr>
            <w:tcW w:type="dxa" w:w="1872"/>
          </w:tcPr>
          <w:p>
            <w:pPr>
              <w:spacing w:before="40" w:after="40" w:line="240" w:lineRule="auto"/>
              <w:jc w:val="right"/>
            </w:pPr>
            <w:r/>
            <w:r>
              <w:rPr>
                <w:rFonts w:ascii="Calibri" w:hAnsi="Calibri"/>
                <w:b w:val="0"/>
                <w:i w:val="0"/>
                <w:sz w:val="20"/>
              </w:rPr>
              <w:t>[DR]</w:t>
            </w:r>
          </w:p>
        </w:tc>
        <w:tc>
          <w:tcPr>
            <w:tcW w:type="dxa" w:w="1872"/>
          </w:tcPr>
          <w:p>
            <w:pPr>
              <w:spacing w:before="40" w:after="40" w:line="240" w:lineRule="auto"/>
              <w:jc w:val="right"/>
            </w:pPr>
            <w:r/>
            <w:r>
              <w:rPr>
                <w:rFonts w:ascii="Calibri" w:hAnsi="Calibri"/>
                <w:b w:val="0"/>
                <w:i w:val="0"/>
                <w:sz w:val="20"/>
              </w:rPr>
              <w:t>[DR]</w:t>
            </w:r>
          </w:p>
        </w:tc>
        <w:tc>
          <w:tcPr>
            <w:tcW w:type="dxa" w:w="1872"/>
          </w:tcPr>
          <w:p>
            <w:pPr>
              <w:spacing w:before="40" w:after="40" w:line="240" w:lineRule="auto"/>
              <w:jc w:val="right"/>
            </w:pPr>
            <w:r/>
            <w:r>
              <w:rPr>
                <w:rFonts w:ascii="Calibri" w:hAnsi="Calibri"/>
                <w:b w:val="0"/>
                <w:i w:val="0"/>
                <w:sz w:val="20"/>
              </w:rPr>
              <w:t>[DR]</w:t>
            </w:r>
          </w:p>
        </w:tc>
      </w:tr>
      <w:tr>
        <w:tc>
          <w:tcPr>
            <w:tcW w:type="dxa" w:w="1872"/>
          </w:tcPr>
          <w:p>
            <w:pPr>
              <w:spacing w:before="40" w:after="40" w:line="240" w:lineRule="auto"/>
              <w:jc w:val="center"/>
            </w:pPr>
            <w:r/>
            <w:r>
              <w:rPr>
                <w:rFonts w:ascii="Calibri" w:hAnsi="Calibri"/>
                <w:b w:val="0"/>
                <w:i w:val="0"/>
                <w:sz w:val="20"/>
              </w:rPr>
              <w:t>2</w:t>
            </w:r>
          </w:p>
        </w:tc>
        <w:tc>
          <w:tcPr>
            <w:tcW w:type="dxa" w:w="1872"/>
          </w:tcPr>
          <w:p>
            <w:pPr>
              <w:spacing w:before="40" w:after="40" w:line="240" w:lineRule="auto"/>
              <w:jc w:val="left"/>
            </w:pPr>
            <w:r/>
            <w:r>
              <w:rPr>
                <w:rFonts w:ascii="Calibri" w:hAnsi="Calibri"/>
                <w:b w:val="0"/>
                <w:i w:val="0"/>
                <w:sz w:val="20"/>
              </w:rPr>
              <w:t>[DR]</w:t>
            </w:r>
          </w:p>
        </w:tc>
        <w:tc>
          <w:tcPr>
            <w:tcW w:type="dxa" w:w="1872"/>
          </w:tcPr>
          <w:p>
            <w:pPr>
              <w:spacing w:before="40" w:after="40" w:line="240" w:lineRule="auto"/>
              <w:jc w:val="right"/>
            </w:pPr>
            <w:r/>
            <w:r>
              <w:rPr>
                <w:rFonts w:ascii="Calibri" w:hAnsi="Calibri"/>
                <w:b w:val="0"/>
                <w:i w:val="0"/>
                <w:sz w:val="20"/>
              </w:rPr>
              <w:t>[DR]</w:t>
            </w:r>
          </w:p>
        </w:tc>
        <w:tc>
          <w:tcPr>
            <w:tcW w:type="dxa" w:w="1872"/>
          </w:tcPr>
          <w:p>
            <w:pPr>
              <w:spacing w:before="40" w:after="40" w:line="240" w:lineRule="auto"/>
              <w:jc w:val="right"/>
            </w:pPr>
            <w:r/>
            <w:r>
              <w:rPr>
                <w:rFonts w:ascii="Calibri" w:hAnsi="Calibri"/>
                <w:b w:val="0"/>
                <w:i w:val="0"/>
                <w:sz w:val="20"/>
              </w:rPr>
              <w:t>[DR]</w:t>
            </w:r>
          </w:p>
        </w:tc>
        <w:tc>
          <w:tcPr>
            <w:tcW w:type="dxa" w:w="1872"/>
          </w:tcPr>
          <w:p>
            <w:pPr>
              <w:spacing w:before="40" w:after="40" w:line="240" w:lineRule="auto"/>
              <w:jc w:val="right"/>
            </w:pPr>
            <w:r/>
            <w:r>
              <w:rPr>
                <w:rFonts w:ascii="Calibri" w:hAnsi="Calibri"/>
                <w:b w:val="0"/>
                <w:i w:val="0"/>
                <w:sz w:val="20"/>
              </w:rPr>
              <w:t>[DR]</w:t>
            </w:r>
          </w:p>
        </w:tc>
      </w:tr>
      <w:tr>
        <w:tc>
          <w:tcPr>
            <w:tcW w:type="dxa" w:w="1872"/>
          </w:tcPr>
          <w:p>
            <w:pPr>
              <w:spacing w:before="40" w:after="40" w:line="240" w:lineRule="auto"/>
              <w:jc w:val="center"/>
            </w:pPr>
            <w:r/>
            <w:r>
              <w:rPr>
                <w:rFonts w:ascii="Calibri" w:hAnsi="Calibri"/>
                <w:b w:val="0"/>
                <w:i w:val="0"/>
                <w:sz w:val="20"/>
              </w:rPr>
              <w:t>3</w:t>
            </w:r>
          </w:p>
        </w:tc>
        <w:tc>
          <w:tcPr>
            <w:tcW w:type="dxa" w:w="1872"/>
          </w:tcPr>
          <w:p>
            <w:pPr>
              <w:spacing w:before="40" w:after="40" w:line="240" w:lineRule="auto"/>
              <w:jc w:val="left"/>
            </w:pPr>
            <w:r/>
            <w:r>
              <w:rPr>
                <w:rFonts w:ascii="Calibri" w:hAnsi="Calibri"/>
                <w:b w:val="0"/>
                <w:i w:val="0"/>
                <w:sz w:val="20"/>
              </w:rPr>
              <w:t>[DR]</w:t>
            </w:r>
          </w:p>
        </w:tc>
        <w:tc>
          <w:tcPr>
            <w:tcW w:type="dxa" w:w="1872"/>
          </w:tcPr>
          <w:p>
            <w:pPr>
              <w:spacing w:before="40" w:after="40" w:line="240" w:lineRule="auto"/>
              <w:jc w:val="right"/>
            </w:pPr>
            <w:r/>
            <w:r>
              <w:rPr>
                <w:rFonts w:ascii="Calibri" w:hAnsi="Calibri"/>
                <w:b w:val="0"/>
                <w:i w:val="0"/>
                <w:sz w:val="20"/>
              </w:rPr>
              <w:t>[DR]</w:t>
            </w:r>
          </w:p>
        </w:tc>
        <w:tc>
          <w:tcPr>
            <w:tcW w:type="dxa" w:w="1872"/>
          </w:tcPr>
          <w:p>
            <w:pPr>
              <w:spacing w:before="40" w:after="40" w:line="240" w:lineRule="auto"/>
              <w:jc w:val="right"/>
            </w:pPr>
            <w:r/>
            <w:r>
              <w:rPr>
                <w:rFonts w:ascii="Calibri" w:hAnsi="Calibri"/>
                <w:b w:val="0"/>
                <w:i w:val="0"/>
                <w:sz w:val="20"/>
              </w:rPr>
              <w:t>[DR]</w:t>
            </w:r>
          </w:p>
        </w:tc>
        <w:tc>
          <w:tcPr>
            <w:tcW w:type="dxa" w:w="1872"/>
          </w:tcPr>
          <w:p>
            <w:pPr>
              <w:spacing w:before="40" w:after="40" w:line="240" w:lineRule="auto"/>
              <w:jc w:val="right"/>
            </w:pPr>
            <w:r/>
            <w:r>
              <w:rPr>
                <w:rFonts w:ascii="Calibri" w:hAnsi="Calibri"/>
                <w:b w:val="0"/>
                <w:i w:val="0"/>
                <w:sz w:val="20"/>
              </w:rPr>
              <w:t>[DR]</w:t>
            </w:r>
          </w:p>
        </w:tc>
      </w:tr>
      <w:tr>
        <w:tc>
          <w:tcPr>
            <w:tcW w:type="dxa" w:w="1872"/>
          </w:tcPr>
          <w:p>
            <w:pPr>
              <w:spacing w:before="40" w:after="40" w:line="240" w:lineRule="auto"/>
              <w:jc w:val="center"/>
            </w:pPr>
            <w:r/>
            <w:r>
              <w:rPr>
                <w:rFonts w:ascii="Calibri" w:hAnsi="Calibri"/>
                <w:b w:val="0"/>
                <w:i w:val="0"/>
                <w:sz w:val="20"/>
              </w:rPr>
              <w:t>4</w:t>
            </w:r>
          </w:p>
        </w:tc>
        <w:tc>
          <w:tcPr>
            <w:tcW w:type="dxa" w:w="1872"/>
          </w:tcPr>
          <w:p>
            <w:pPr>
              <w:spacing w:before="40" w:after="40" w:line="240" w:lineRule="auto"/>
              <w:jc w:val="left"/>
            </w:pPr>
            <w:r/>
            <w:r>
              <w:rPr>
                <w:rFonts w:ascii="Calibri" w:hAnsi="Calibri"/>
                <w:b w:val="0"/>
                <w:i w:val="0"/>
                <w:sz w:val="20"/>
              </w:rPr>
              <w:t>[DR]</w:t>
            </w:r>
          </w:p>
        </w:tc>
        <w:tc>
          <w:tcPr>
            <w:tcW w:type="dxa" w:w="1872"/>
          </w:tcPr>
          <w:p>
            <w:pPr>
              <w:spacing w:before="40" w:after="40" w:line="240" w:lineRule="auto"/>
              <w:jc w:val="right"/>
            </w:pPr>
            <w:r/>
            <w:r>
              <w:rPr>
                <w:rFonts w:ascii="Calibri" w:hAnsi="Calibri"/>
                <w:b w:val="0"/>
                <w:i w:val="0"/>
                <w:sz w:val="20"/>
              </w:rPr>
              <w:t>[DR]</w:t>
            </w:r>
          </w:p>
        </w:tc>
        <w:tc>
          <w:tcPr>
            <w:tcW w:type="dxa" w:w="1872"/>
          </w:tcPr>
          <w:p>
            <w:pPr>
              <w:spacing w:before="40" w:after="40" w:line="240" w:lineRule="auto"/>
              <w:jc w:val="right"/>
            </w:pPr>
            <w:r/>
            <w:r>
              <w:rPr>
                <w:rFonts w:ascii="Calibri" w:hAnsi="Calibri"/>
                <w:b w:val="0"/>
                <w:i w:val="0"/>
                <w:sz w:val="20"/>
              </w:rPr>
              <w:t>[DR]</w:t>
            </w:r>
          </w:p>
        </w:tc>
        <w:tc>
          <w:tcPr>
            <w:tcW w:type="dxa" w:w="1872"/>
          </w:tcPr>
          <w:p>
            <w:pPr>
              <w:spacing w:before="40" w:after="40" w:line="240" w:lineRule="auto"/>
              <w:jc w:val="right"/>
            </w:pPr>
            <w:r/>
            <w:r>
              <w:rPr>
                <w:rFonts w:ascii="Calibri" w:hAnsi="Calibri"/>
                <w:b w:val="0"/>
                <w:i w:val="0"/>
                <w:sz w:val="20"/>
              </w:rPr>
              <w:t>[DR]</w:t>
            </w:r>
          </w:p>
        </w:tc>
      </w:tr>
      <w:tr>
        <w:tc>
          <w:tcPr>
            <w:tcW w:type="dxa" w:w="1872"/>
          </w:tcPr>
          <w:p>
            <w:pPr>
              <w:spacing w:before="40" w:after="40" w:line="240" w:lineRule="auto"/>
              <w:jc w:val="center"/>
            </w:pPr>
            <w:r/>
            <w:r>
              <w:rPr>
                <w:rFonts w:ascii="Calibri" w:hAnsi="Calibri"/>
                <w:b w:val="0"/>
                <w:i w:val="0"/>
                <w:sz w:val="20"/>
              </w:rPr>
              <w:t>5</w:t>
            </w:r>
          </w:p>
        </w:tc>
        <w:tc>
          <w:tcPr>
            <w:tcW w:type="dxa" w:w="1872"/>
          </w:tcPr>
          <w:p>
            <w:pPr>
              <w:spacing w:before="40" w:after="40" w:line="240" w:lineRule="auto"/>
              <w:jc w:val="left"/>
            </w:pPr>
            <w:r/>
            <w:r>
              <w:rPr>
                <w:rFonts w:ascii="Calibri" w:hAnsi="Calibri"/>
                <w:b w:val="0"/>
                <w:i w:val="0"/>
                <w:sz w:val="20"/>
              </w:rPr>
              <w:t>[DR]</w:t>
            </w:r>
          </w:p>
        </w:tc>
        <w:tc>
          <w:tcPr>
            <w:tcW w:type="dxa" w:w="1872"/>
          </w:tcPr>
          <w:p>
            <w:pPr>
              <w:spacing w:before="40" w:after="40" w:line="240" w:lineRule="auto"/>
              <w:jc w:val="right"/>
            </w:pPr>
            <w:r/>
            <w:r>
              <w:rPr>
                <w:rFonts w:ascii="Calibri" w:hAnsi="Calibri"/>
                <w:b w:val="0"/>
                <w:i w:val="0"/>
                <w:sz w:val="20"/>
              </w:rPr>
              <w:t>[DR]</w:t>
            </w:r>
          </w:p>
        </w:tc>
        <w:tc>
          <w:tcPr>
            <w:tcW w:type="dxa" w:w="1872"/>
          </w:tcPr>
          <w:p>
            <w:pPr>
              <w:spacing w:before="40" w:after="40" w:line="240" w:lineRule="auto"/>
              <w:jc w:val="right"/>
            </w:pPr>
            <w:r/>
            <w:r>
              <w:rPr>
                <w:rFonts w:ascii="Calibri" w:hAnsi="Calibri"/>
                <w:b w:val="0"/>
                <w:i w:val="0"/>
                <w:sz w:val="20"/>
              </w:rPr>
              <w:t>[DR]</w:t>
            </w:r>
          </w:p>
        </w:tc>
        <w:tc>
          <w:tcPr>
            <w:tcW w:type="dxa" w:w="1872"/>
          </w:tcPr>
          <w:p>
            <w:pPr>
              <w:spacing w:before="40" w:after="40" w:line="240" w:lineRule="auto"/>
              <w:jc w:val="right"/>
            </w:pPr>
            <w:r/>
            <w:r>
              <w:rPr>
                <w:rFonts w:ascii="Calibri" w:hAnsi="Calibri"/>
                <w:b w:val="0"/>
                <w:i w:val="0"/>
                <w:sz w:val="20"/>
              </w:rPr>
              <w:t>[DR]</w:t>
            </w:r>
          </w:p>
        </w:tc>
      </w:tr>
      <w:tr>
        <w:tc>
          <w:tcPr>
            <w:tcW w:type="dxa" w:w="1872"/>
          </w:tcPr>
          <w:p>
            <w:pPr>
              <w:spacing w:before="40" w:after="40" w:line="240" w:lineRule="auto"/>
              <w:jc w:val="center"/>
            </w:pPr>
            <w:r/>
            <w:r>
              <w:rPr>
                <w:rFonts w:ascii="Calibri" w:hAnsi="Calibri"/>
                <w:b w:val="0"/>
                <w:i w:val="0"/>
                <w:sz w:val="20"/>
              </w:rPr>
              <w:t>6</w:t>
            </w:r>
          </w:p>
        </w:tc>
        <w:tc>
          <w:tcPr>
            <w:tcW w:type="dxa" w:w="1872"/>
          </w:tcPr>
          <w:p>
            <w:pPr>
              <w:spacing w:before="40" w:after="40" w:line="240" w:lineRule="auto"/>
              <w:jc w:val="left"/>
            </w:pPr>
            <w:r/>
            <w:r>
              <w:rPr>
                <w:rFonts w:ascii="Calibri" w:hAnsi="Calibri"/>
                <w:b w:val="0"/>
                <w:i w:val="0"/>
                <w:sz w:val="20"/>
              </w:rPr>
              <w:t>[DR]</w:t>
            </w:r>
          </w:p>
        </w:tc>
        <w:tc>
          <w:tcPr>
            <w:tcW w:type="dxa" w:w="1872"/>
          </w:tcPr>
          <w:p>
            <w:pPr>
              <w:spacing w:before="40" w:after="40" w:line="240" w:lineRule="auto"/>
              <w:jc w:val="right"/>
            </w:pPr>
            <w:r/>
            <w:r>
              <w:rPr>
                <w:rFonts w:ascii="Calibri" w:hAnsi="Calibri"/>
                <w:b w:val="0"/>
                <w:i w:val="0"/>
                <w:sz w:val="20"/>
              </w:rPr>
              <w:t>[DR]</w:t>
            </w:r>
          </w:p>
        </w:tc>
        <w:tc>
          <w:tcPr>
            <w:tcW w:type="dxa" w:w="1872"/>
          </w:tcPr>
          <w:p>
            <w:pPr>
              <w:spacing w:before="40" w:after="40" w:line="240" w:lineRule="auto"/>
              <w:jc w:val="right"/>
            </w:pPr>
            <w:r/>
            <w:r>
              <w:rPr>
                <w:rFonts w:ascii="Calibri" w:hAnsi="Calibri"/>
                <w:b w:val="0"/>
                <w:i w:val="0"/>
                <w:sz w:val="20"/>
              </w:rPr>
              <w:t>[DR]</w:t>
            </w:r>
          </w:p>
        </w:tc>
        <w:tc>
          <w:tcPr>
            <w:tcW w:type="dxa" w:w="1872"/>
          </w:tcPr>
          <w:p>
            <w:pPr>
              <w:spacing w:before="40" w:after="40" w:line="240" w:lineRule="auto"/>
              <w:jc w:val="right"/>
            </w:pPr>
            <w:r/>
            <w:r>
              <w:rPr>
                <w:rFonts w:ascii="Calibri" w:hAnsi="Calibri"/>
                <w:b w:val="0"/>
                <w:i w:val="0"/>
                <w:sz w:val="20"/>
              </w:rPr>
              <w:t>[DR]</w:t>
            </w:r>
          </w:p>
        </w:tc>
      </w:tr>
      <w:tr>
        <w:tc>
          <w:tcPr>
            <w:tcW w:type="dxa" w:w="1872"/>
          </w:tcPr>
          <w:p>
            <w:pPr>
              <w:spacing w:before="40" w:after="40" w:line="240" w:lineRule="auto"/>
              <w:jc w:val="center"/>
            </w:pPr>
            <w:r/>
            <w:r>
              <w:rPr>
                <w:rFonts w:ascii="Calibri" w:hAnsi="Calibri"/>
                <w:b w:val="0"/>
                <w:i w:val="0"/>
                <w:sz w:val="20"/>
              </w:rPr>
              <w:t>7</w:t>
            </w:r>
          </w:p>
        </w:tc>
        <w:tc>
          <w:tcPr>
            <w:tcW w:type="dxa" w:w="1872"/>
          </w:tcPr>
          <w:p>
            <w:pPr>
              <w:spacing w:before="40" w:after="40" w:line="240" w:lineRule="auto"/>
              <w:jc w:val="left"/>
            </w:pPr>
            <w:r/>
            <w:r>
              <w:rPr>
                <w:rFonts w:ascii="Calibri" w:hAnsi="Calibri"/>
                <w:b w:val="0"/>
                <w:i w:val="0"/>
                <w:sz w:val="20"/>
              </w:rPr>
              <w:t>[DR]</w:t>
            </w:r>
          </w:p>
        </w:tc>
        <w:tc>
          <w:tcPr>
            <w:tcW w:type="dxa" w:w="1872"/>
          </w:tcPr>
          <w:p>
            <w:pPr>
              <w:spacing w:before="40" w:after="40" w:line="240" w:lineRule="auto"/>
              <w:jc w:val="right"/>
            </w:pPr>
            <w:r/>
            <w:r>
              <w:rPr>
                <w:rFonts w:ascii="Calibri" w:hAnsi="Calibri"/>
                <w:b w:val="0"/>
                <w:i w:val="0"/>
                <w:sz w:val="20"/>
              </w:rPr>
              <w:t>[DR]</w:t>
            </w:r>
          </w:p>
        </w:tc>
        <w:tc>
          <w:tcPr>
            <w:tcW w:type="dxa" w:w="1872"/>
          </w:tcPr>
          <w:p>
            <w:pPr>
              <w:spacing w:before="40" w:after="40" w:line="240" w:lineRule="auto"/>
              <w:jc w:val="right"/>
            </w:pPr>
            <w:r/>
            <w:r>
              <w:rPr>
                <w:rFonts w:ascii="Calibri" w:hAnsi="Calibri"/>
                <w:b w:val="0"/>
                <w:i w:val="0"/>
                <w:sz w:val="20"/>
              </w:rPr>
              <w:t>[DR]</w:t>
            </w:r>
          </w:p>
        </w:tc>
        <w:tc>
          <w:tcPr>
            <w:tcW w:type="dxa" w:w="1872"/>
          </w:tcPr>
          <w:p>
            <w:pPr>
              <w:spacing w:before="40" w:after="40" w:line="240" w:lineRule="auto"/>
              <w:jc w:val="right"/>
            </w:pPr>
            <w:r/>
            <w:r>
              <w:rPr>
                <w:rFonts w:ascii="Calibri" w:hAnsi="Calibri"/>
                <w:b w:val="0"/>
                <w:i w:val="0"/>
                <w:sz w:val="20"/>
              </w:rPr>
              <w:t>[DR]</w:t>
            </w:r>
          </w:p>
        </w:tc>
      </w:tr>
      <w:tr>
        <w:tc>
          <w:tcPr>
            <w:tcW w:type="dxa" w:w="1872"/>
          </w:tcPr>
          <w:p>
            <w:pPr>
              <w:spacing w:before="40" w:after="40" w:line="240" w:lineRule="auto"/>
              <w:jc w:val="center"/>
            </w:pPr>
            <w:r/>
            <w:r>
              <w:rPr>
                <w:rFonts w:ascii="Calibri" w:hAnsi="Calibri"/>
                <w:b w:val="0"/>
                <w:i w:val="0"/>
                <w:sz w:val="20"/>
              </w:rPr>
              <w:t>8</w:t>
            </w:r>
          </w:p>
        </w:tc>
        <w:tc>
          <w:tcPr>
            <w:tcW w:type="dxa" w:w="1872"/>
          </w:tcPr>
          <w:p>
            <w:pPr>
              <w:spacing w:before="40" w:after="40" w:line="240" w:lineRule="auto"/>
              <w:jc w:val="left"/>
            </w:pPr>
            <w:r/>
            <w:r>
              <w:rPr>
                <w:rFonts w:ascii="Calibri" w:hAnsi="Calibri"/>
                <w:b w:val="0"/>
                <w:i w:val="0"/>
                <w:sz w:val="20"/>
              </w:rPr>
              <w:t>[DR]</w:t>
            </w:r>
          </w:p>
        </w:tc>
        <w:tc>
          <w:tcPr>
            <w:tcW w:type="dxa" w:w="1872"/>
          </w:tcPr>
          <w:p>
            <w:pPr>
              <w:spacing w:before="40" w:after="40" w:line="240" w:lineRule="auto"/>
              <w:jc w:val="right"/>
            </w:pPr>
            <w:r/>
            <w:r>
              <w:rPr>
                <w:rFonts w:ascii="Calibri" w:hAnsi="Calibri"/>
                <w:b w:val="0"/>
                <w:i w:val="0"/>
                <w:sz w:val="20"/>
              </w:rPr>
              <w:t>[DR]</w:t>
            </w:r>
          </w:p>
        </w:tc>
        <w:tc>
          <w:tcPr>
            <w:tcW w:type="dxa" w:w="1872"/>
          </w:tcPr>
          <w:p>
            <w:pPr>
              <w:spacing w:before="40" w:after="40" w:line="240" w:lineRule="auto"/>
              <w:jc w:val="right"/>
            </w:pPr>
            <w:r/>
            <w:r>
              <w:rPr>
                <w:rFonts w:ascii="Calibri" w:hAnsi="Calibri"/>
                <w:b w:val="0"/>
                <w:i w:val="0"/>
                <w:sz w:val="20"/>
              </w:rPr>
              <w:t>[DR]</w:t>
            </w:r>
          </w:p>
        </w:tc>
        <w:tc>
          <w:tcPr>
            <w:tcW w:type="dxa" w:w="1872"/>
          </w:tcPr>
          <w:p>
            <w:pPr>
              <w:spacing w:before="40" w:after="40" w:line="240" w:lineRule="auto"/>
              <w:jc w:val="right"/>
            </w:pPr>
            <w:r/>
            <w:r>
              <w:rPr>
                <w:rFonts w:ascii="Calibri" w:hAnsi="Calibri"/>
                <w:b w:val="0"/>
                <w:i w:val="0"/>
                <w:sz w:val="20"/>
              </w:rPr>
              <w:t>[DR]</w:t>
            </w:r>
          </w:p>
        </w:tc>
      </w:tr>
      <w:tr>
        <w:tc>
          <w:tcPr>
            <w:tcW w:type="dxa" w:w="1872"/>
          </w:tcPr>
          <w:p>
            <w:pPr>
              <w:spacing w:before="40" w:after="40" w:line="240" w:lineRule="auto"/>
              <w:jc w:val="center"/>
            </w:pPr>
            <w:r/>
            <w:r>
              <w:rPr>
                <w:rFonts w:ascii="Calibri" w:hAnsi="Calibri"/>
                <w:b w:val="0"/>
                <w:i w:val="0"/>
                <w:sz w:val="20"/>
              </w:rPr>
            </w:r>
          </w:p>
        </w:tc>
        <w:tc>
          <w:tcPr>
            <w:tcW w:type="dxa" w:w="1872"/>
          </w:tcPr>
          <w:p>
            <w:pPr>
              <w:spacing w:before="40" w:after="40" w:line="240" w:lineRule="auto"/>
              <w:jc w:val="left"/>
            </w:pPr>
            <w:r/>
            <w:r>
              <w:rPr>
                <w:rFonts w:ascii="Calibri" w:hAnsi="Calibri"/>
                <w:b/>
                <w:i w:val="0"/>
                <w:sz w:val="20"/>
              </w:rPr>
              <w:t>Total</w:t>
            </w:r>
          </w:p>
        </w:tc>
        <w:tc>
          <w:tcPr>
            <w:tcW w:type="dxa" w:w="1872"/>
          </w:tcPr>
          <w:p>
            <w:pPr>
              <w:spacing w:before="40" w:after="40" w:line="240" w:lineRule="auto"/>
              <w:jc w:val="right"/>
            </w:pPr>
            <w:r/>
            <w:r>
              <w:rPr>
                <w:rFonts w:ascii="Calibri" w:hAnsi="Calibri"/>
                <w:b/>
                <w:i w:val="0"/>
                <w:sz w:val="20"/>
              </w:rPr>
              <w:t>100.0</w:t>
            </w:r>
          </w:p>
        </w:tc>
        <w:tc>
          <w:tcPr>
            <w:tcW w:type="dxa" w:w="1872"/>
          </w:tcPr>
          <w:p>
            <w:pPr>
              <w:spacing w:before="40" w:after="40" w:line="240" w:lineRule="auto"/>
              <w:jc w:val="right"/>
            </w:pPr>
            <w:r/>
            <w:r>
              <w:rPr>
                <w:rFonts w:ascii="Calibri" w:hAnsi="Calibri"/>
                <w:b/>
                <w:i w:val="0"/>
                <w:sz w:val="20"/>
              </w:rPr>
              <w:t>100.0</w:t>
            </w:r>
          </w:p>
        </w:tc>
        <w:tc>
          <w:tcPr>
            <w:tcW w:type="dxa" w:w="1872"/>
          </w:tcPr>
          <w:p>
            <w:pPr>
              <w:spacing w:before="40" w:after="40" w:line="240" w:lineRule="auto"/>
              <w:jc w:val="right"/>
            </w:pPr>
            <w:r/>
            <w:r>
              <w:rPr>
                <w:rFonts w:ascii="Calibri" w:hAnsi="Calibri"/>
                <w:b w:val="0"/>
                <w:i w:val="0"/>
                <w:sz w:val="20"/>
              </w:rPr>
              <w:t>—</w:t>
            </w:r>
          </w:p>
        </w:tc>
      </w:tr>
    </w:tbl>
    <w:p>
      <w:pPr>
        <w:spacing w:before="40" w:after="160"/>
      </w:pPr>
      <w:r>
        <w:rPr>
          <w:rFonts w:ascii="Calibri" w:hAnsi="Calibri"/>
          <w:i/>
          <w:sz w:val="18"/>
        </w:rPr>
        <w:t>Notes:* Weight = strategic allocation as a percentage of total portfolio value. Risk Contribution = each asset class's share of total portfolio volatility (marginal contribution to risk x weight, summing to 100%). Rationale summarises the key driver behind each weight decision (risk-return profile, diversification, liquidity constraint). Source:* [DR] — derived from optimisation or risk-budgeting model applied to the asset class dataset (not yet provided).</w:t>
      </w:r>
    </w:p>
    <w:p>
      <w:pPr>
        <w:spacing w:line="360" w:lineRule="auto"/>
      </w:pPr>
      <w:r>
        <w:rPr>
          <w:rFonts w:ascii="Calibri" w:hAnsi="Calibri"/>
          <w:sz w:val="24"/>
        </w:rPr>
        <w:t>As shown in Table 4, the recommended allocation assigns [DATA REQUIRED]% to [DATA REQUIRED — highest-weighted asset class], reflecting its favourable risk-adjusted return profile as documented in Table 1 (Sharpe ratio: [DATA REQUIRED]) and its role as a core portfolio anchor. [DATA REQUIRED — continue for each material allocation, linking the weight to evidence from Table 1, Table 2, and Table 3.]</w:t>
      </w:r>
    </w:p>
    <w:p>
      <w:pPr>
        <w:spacing w:line="360" w:lineRule="auto"/>
      </w:pPr>
      <w:r>
        <w:rPr>
          <w:rFonts w:ascii="Calibri" w:hAnsi="Calibri"/>
          <w:sz w:val="24"/>
        </w:rPr>
        <w:t>The portfolio-level expected return under this allocation is [DATA REQUIRED]% per annum, with an expected annualised volatility of [DATA REQUIRED]% and a portfolio Sharpe ratio of [DATA REQUIRED]. These figures represent an improvement over the naive 1/N benchmark, which — while robust to estimation error (DeMiguel et al., 2009) — does not exploit the correlation structure documented in Table 3.</w:t>
      </w:r>
    </w:p>
    <w:p>
      <w:pPr>
        <w:pStyle w:val="Heading3"/>
      </w:pPr>
      <w:r>
        <w:t>4.2 Comparison with Alternative Allocations</w:t>
      </w:r>
    </w:p>
    <w:p>
      <w:pPr>
        <w:spacing w:line="360" w:lineRule="auto"/>
      </w:pPr>
      <w:r>
        <w:rPr>
          <w:rFonts w:ascii="Calibri" w:hAnsi="Calibri"/>
          <w:sz w:val="24"/>
        </w:rPr>
        <w:t>To demonstrate that the recommended allocation is not merely one of many arbitrary configurations, it is compared against at least one alternative benchmark. The equally-weighted (1/N) allocation, which assigns [DATA REQUIRED]% to each of the [DATA REQUIRED — number] asset classes, serves as the primary benchmark. Brinson et al. (1986) and Ibbotson and Kaplan (2000) established that strategic allocation is the dominant driver of portfolio return variability, implying that even modest improvements in allocation policy can meaningfully affect long-term outcomes.</w:t>
      </w:r>
    </w:p>
    <w:p>
      <w:pPr>
        <w:spacing w:line="360" w:lineRule="auto"/>
      </w:pPr>
      <w:r>
        <w:rPr>
          <w:rFonts w:ascii="Calibri" w:hAnsi="Calibri"/>
          <w:sz w:val="24"/>
        </w:rPr>
        <w:t>Under the 1/N benchmark, the portfolio-level expected return is [DATA REQUIRED]%, with volatility of [DATA REQUIRED]% and a Sharpe ratio of [DATA REQUIRED]. The recommended allocation improves upon this benchmark by [DATA REQUIRED — describe the source of improvement: tilting toward higher-Sharpe assets, exploiting low-correlation pairs, or reducing exposure to dominated classes]. [DATA REQUIRED — if a more aggressive or more conservative alternative is also considered, present it here for comparison.]</w:t>
      </w:r>
    </w:p>
    <w:p>
      <w:pPr>
        <w:spacing w:line="360" w:lineRule="auto"/>
      </w:pPr>
      <w:r>
        <w:rPr>
          <w:rFonts w:ascii="Calibri" w:hAnsi="Calibri"/>
          <w:sz w:val="24"/>
        </w:rPr>
        <w:t>For long-horizon investors, Campbell and Viceira (2002) demonstrated that optimal allocation differs from the single-period solution because return predictability and intertemporal hedging demand create horizon-dependent portfolios [DATA REQUIRED — specify investor time horizon and evaluate horizon appropriateness].</w:t>
      </w:r>
    </w:p>
    <w:p>
      <w:pPr>
        <w:pStyle w:val="Heading3"/>
      </w:pPr>
      <w:r>
        <w:t>4.3 Implementation Considerations</w:t>
      </w:r>
    </w:p>
    <w:p>
      <w:pPr>
        <w:spacing w:line="360" w:lineRule="auto"/>
      </w:pPr>
      <w:r>
        <w:rPr>
          <w:rFonts w:ascii="Calibri" w:hAnsi="Calibri"/>
          <w:sz w:val="24"/>
        </w:rPr>
        <w:t>Several practical factors bear on implementation. Rebalancing frequency must balance trading costs against drift; for portfolios with illiquid components, quarterly or semi-annual rebalancing may be the highest feasible frequency, as reflected in the redemption constraints documented in Table 2. Transaction costs — particularly the bid-ask spreads in Table 2 — erode realised returns and should be incorporated into net-of-cost projections [DATA REQUIRED — estimate round-trip costs]. Ang et al. (2014) cautioned that optimal allocation to illiquid assets must be discounted relative to frictionless solutions, as lock-up periods constrain rebalancing flexibility. The illiquid allocations in this portfolio account for this by [DATA REQUIRED — explain how illiquidity was addressed]. The allocation is a strategic target; tactical deviations lie beyond the scope of this brief.</w:t>
      </w:r>
    </w:p>
    <w:p>
      <w:pPr>
        <w:pStyle w:val="Heading2"/>
      </w:pPr>
      <w:r>
        <w:t>5. Limitations and Caveats</w:t>
      </w:r>
    </w:p>
    <w:p>
      <w:pPr>
        <w:spacing w:line="360" w:lineRule="auto"/>
      </w:pPr>
      <w:r>
        <w:rPr>
          <w:rFonts w:ascii="Calibri" w:hAnsi="Calibri"/>
          <w:sz w:val="24"/>
        </w:rPr>
        <w:t>This section identifies the principal limitations of the analysis. Each limitation is linked to a specific methodological choice in the preceding sections.</w:t>
      </w:r>
    </w:p>
    <w:p>
      <w:pPr>
        <w:pStyle w:val="Heading3"/>
      </w:pPr>
      <w:r>
        <w:t>5.1 Data Constraints and Input Sensitivity</w:t>
      </w:r>
    </w:p>
    <w:p>
      <w:pPr>
        <w:spacing w:line="360" w:lineRule="auto"/>
      </w:pPr>
      <w:r>
        <w:rPr>
          <w:rFonts w:ascii="Calibri" w:hAnsi="Calibri"/>
          <w:sz w:val="24"/>
        </w:rPr>
        <w:t>The risk-return profiles in Section 2 are estimated from historical data [DATA REQUIRED — sample period]. Historical averages embed period-specific conditions — monetary policy regimes, market cycles, structural shifts — that may not recur (Ilmanen, 2011). Dimson et al. (2021) showed that the equity risk premium has varied substantially across countries and periods over 120+ years, cautioning against single-market extrapolation. The recommended allocation is sensitive to these inputs: DeMiguel et al. (2009) demonstrated that modest perturbations in expected returns can produce materially different optimal weights, and that naive equal-weight portfolios frequently match optimised allocations out-of-sample. Where improvement over the 1/N benchmark in Section 4 is modest [DATA REQUIRED — quantify], the practical advantage should be interpreted with caution.</w:t>
      </w:r>
    </w:p>
    <w:p>
      <w:pPr>
        <w:pStyle w:val="Heading3"/>
      </w:pPr>
      <w:r>
        <w:t>5.2 Model Assumptions</w:t>
      </w:r>
    </w:p>
    <w:p>
      <w:pPr>
        <w:spacing w:line="360" w:lineRule="auto"/>
      </w:pPr>
      <w:r>
        <w:rPr>
          <w:rFonts w:ascii="Calibri" w:hAnsi="Calibri"/>
          <w:sz w:val="24"/>
        </w:rPr>
        <w:t>The portfolio construction in Section 3 assumes normally distributed returns and stable correlations — both violated in practice. Asset class returns exhibit fat tails and negative skewness during market dislocations. Correlations tend to rise during stress — precisely when diversification is most needed — meaning that risk-reduction benefits estimated under average-market conditions may overstate protection during drawdowns (Kinlaw et al., 2017). This limitation is inherent to any single-regime correlation matrix and should temper confidence in the diversification claims in Section 3.</w:t>
      </w:r>
    </w:p>
    <w:p>
      <w:pPr>
        <w:pStyle w:val="Heading3"/>
      </w:pPr>
      <w:r>
        <w:t>5.3 Illiquidity and Rebalancing Frictions</w:t>
      </w:r>
    </w:p>
    <w:p>
      <w:pPr>
        <w:spacing w:line="360" w:lineRule="auto"/>
      </w:pPr>
      <w:r>
        <w:rPr>
          <w:rFonts w:ascii="Calibri" w:hAnsi="Calibri"/>
          <w:sz w:val="24"/>
        </w:rPr>
        <w:t>The allocation in Section 4 accounts for liquidity constraints qualitatively, but the mean-variance framework does not endogenously price illiquidity. Ang et al. (2014) demonstrated that optimal allocation to illiquid assets is substantially lower than frictionless models indicate, because lock-up periods constrain rebalancing — suggesting the organisation should apply a haircut to theoretical illiquid weights and maintain a liquidity buffer. Portfolio-level liquidity may also deteriorate non-linearly if multiple illiquid holdings impose redemption gates simultaneously.</w:t>
      </w:r>
    </w:p>
    <w:p>
      <w:pPr>
        <w:pStyle w:val="Heading3"/>
      </w:pPr>
      <w:r>
        <w:t>5.4 Scope Boundaries</w:t>
      </w:r>
    </w:p>
    <w:p>
      <w:pPr>
        <w:spacing w:line="360" w:lineRule="auto"/>
      </w:pPr>
      <w:r>
        <w:rPr>
          <w:rFonts w:ascii="Calibri" w:hAnsi="Calibri"/>
          <w:sz w:val="24"/>
        </w:rPr>
        <w:t>This brief addresses strategic asset allocation only — it does not cover manager selection, tactical deviations, implementation mechanics (currency hedging, derivatives overlays), or tax considerations, each of which requires separate analysis.</w:t>
      </w:r>
    </w:p>
    <w:p>
      <w:r>
        <w:br w:type="page"/>
      </w:r>
    </w:p>
    <w:p>
      <w:pPr>
        <w:pStyle w:val="Heading2"/>
      </w:pPr>
      <w:r>
        <w:t>References</w:t>
      </w:r>
    </w:p>
    <w:p>
      <w:pPr>
        <w:spacing w:after="120" w:line="360" w:lineRule="auto"/>
        <w:ind w:hanging="720" w:left="720"/>
      </w:pPr>
      <w:r>
        <w:rPr>
          <w:rFonts w:ascii="Calibri" w:hAnsi="Calibri"/>
          <w:sz w:val="24"/>
        </w:rPr>
        <w:t>Amihud, Y., &amp; Mendelson, H. (1986). Asset pricing and the bid-ask spread. Journal of Financial Economics, 17(2), 223–249. https://doi.org/10.1016/0304-405X(86)90065-6</w:t>
      </w:r>
    </w:p>
    <w:p>
      <w:pPr>
        <w:spacing w:after="120" w:line="360" w:lineRule="auto"/>
        <w:ind w:hanging="720" w:left="720"/>
      </w:pPr>
      <w:r>
        <w:rPr>
          <w:rFonts w:ascii="Calibri" w:hAnsi="Calibri"/>
          <w:sz w:val="24"/>
        </w:rPr>
        <w:t>Ang, A. (2014). Asset management: A systematic approach to factor investing. Oxford University Press.</w:t>
      </w:r>
    </w:p>
    <w:p>
      <w:pPr>
        <w:spacing w:after="120" w:line="360" w:lineRule="auto"/>
        <w:ind w:hanging="720" w:left="720"/>
      </w:pPr>
      <w:r>
        <w:rPr>
          <w:rFonts w:ascii="Calibri" w:hAnsi="Calibri"/>
          <w:sz w:val="24"/>
        </w:rPr>
        <w:t>Ang, A., Papanikolaou, D., &amp; Westerfield, M. M. (2014). Portfolio choice with illiquid assets. Management Science, 60(11), 2737–2761. https://doi.org/10.1287/mnsc.2014.1986</w:t>
      </w:r>
    </w:p>
    <w:p>
      <w:pPr>
        <w:spacing w:after="120" w:line="360" w:lineRule="auto"/>
        <w:ind w:hanging="720" w:left="720"/>
      </w:pPr>
      <w:r>
        <w:rPr>
          <w:rFonts w:ascii="Calibri" w:hAnsi="Calibri"/>
          <w:sz w:val="24"/>
        </w:rPr>
        <w:t>Asness, C. S., Frazzini, A., &amp; Pedersen, L. H. (2012). Leverage aversion and risk parity. Financial Analysts Journal, 68(1), 47–59. https://doi.org/10.2469/faj.v68.n1.1</w:t>
      </w:r>
    </w:p>
    <w:p>
      <w:pPr>
        <w:spacing w:after="120" w:line="360" w:lineRule="auto"/>
        <w:ind w:hanging="720" w:left="720"/>
      </w:pPr>
      <w:r>
        <w:rPr>
          <w:rFonts w:ascii="Calibri" w:hAnsi="Calibri"/>
          <w:sz w:val="24"/>
        </w:rPr>
        <w:t>Asness, C. S., Moskowitz, T. J., &amp; Pedersen, L. H. (2013). Value and momentum everywhere. The Journal of Finance, 68(3), 929–985. https://doi.org/10.1111/jofi.12021</w:t>
      </w:r>
    </w:p>
    <w:p>
      <w:pPr>
        <w:spacing w:after="120" w:line="360" w:lineRule="auto"/>
        <w:ind w:hanging="720" w:left="720"/>
      </w:pPr>
      <w:r>
        <w:rPr>
          <w:rFonts w:ascii="Calibri" w:hAnsi="Calibri"/>
          <w:sz w:val="24"/>
        </w:rPr>
        <w:t>Black, F., &amp; Litterman, R. (1992). Global portfolio optimization. Financial Analysts Journal, 48(5), 28–43. https://doi.org/10.2469/faj.v48.n5.28</w:t>
      </w:r>
    </w:p>
    <w:p>
      <w:pPr>
        <w:spacing w:after="120" w:line="360" w:lineRule="auto"/>
        <w:ind w:hanging="720" w:left="720"/>
      </w:pPr>
      <w:r>
        <w:rPr>
          <w:rFonts w:ascii="Calibri" w:hAnsi="Calibri"/>
          <w:sz w:val="24"/>
        </w:rPr>
        <w:t>Brinson, G. P., Hood, L. R., &amp; Beebower, G. L. (1986). Determinants of portfolio performance. Financial Analysts Journal, 42(4), 39–44. https://doi.org/10.2469/faj.v42.n4.39</w:t>
      </w:r>
    </w:p>
    <w:p>
      <w:pPr>
        <w:spacing w:after="120" w:line="360" w:lineRule="auto"/>
        <w:ind w:hanging="720" w:left="720"/>
      </w:pPr>
      <w:r>
        <w:rPr>
          <w:rFonts w:ascii="Calibri" w:hAnsi="Calibri"/>
          <w:sz w:val="24"/>
        </w:rPr>
        <w:t>Campbell, J. Y., &amp; Viceira, L. M. (2002). Strategic asset allocation: Portfolio choice for long-term investors. Oxford University Press.</w:t>
      </w:r>
    </w:p>
    <w:p>
      <w:pPr>
        <w:spacing w:after="120" w:line="360" w:lineRule="auto"/>
        <w:ind w:hanging="720" w:left="720"/>
      </w:pPr>
      <w:r>
        <w:rPr>
          <w:rFonts w:ascii="Calibri" w:hAnsi="Calibri"/>
          <w:sz w:val="24"/>
        </w:rPr>
        <w:t>DeMiguel, V., Garlappi, L., &amp; Uppal, R. (2009). Optimal versus naive diversification: How inefficient is the 1/N portfolio strategy? The Review of Financial Studies, 22(5), 1915–1953. https://doi.org/10.1093/rfs/hhm075</w:t>
      </w:r>
    </w:p>
    <w:p>
      <w:pPr>
        <w:spacing w:after="120" w:line="360" w:lineRule="auto"/>
        <w:ind w:hanging="720" w:left="720"/>
      </w:pPr>
      <w:r>
        <w:rPr>
          <w:rFonts w:ascii="Calibri" w:hAnsi="Calibri"/>
          <w:sz w:val="24"/>
        </w:rPr>
        <w:t>Dimson, E., Marsh, P., &amp; Staunton, M. (2021). Credit Suisse global investment returns yearbook 2021. Credit Suisse Research Institute.</w:t>
      </w:r>
    </w:p>
    <w:p>
      <w:pPr>
        <w:spacing w:after="120" w:line="360" w:lineRule="auto"/>
        <w:ind w:hanging="720" w:left="720"/>
      </w:pPr>
      <w:r>
        <w:rPr>
          <w:rFonts w:ascii="Calibri" w:hAnsi="Calibri"/>
          <w:sz w:val="24"/>
        </w:rPr>
        <w:t>Fama, E. F., &amp; French, K. R. (2015). A five-factor asset pricing model. Journal of Financial Economics, 116(1), 1–22. https://doi.org/10.1016/j.jfineco.2014.10.010</w:t>
      </w:r>
    </w:p>
    <w:p>
      <w:pPr>
        <w:spacing w:after="120" w:line="360" w:lineRule="auto"/>
        <w:ind w:hanging="720" w:left="720"/>
      </w:pPr>
      <w:r>
        <w:rPr>
          <w:rFonts w:ascii="Calibri" w:hAnsi="Calibri"/>
          <w:sz w:val="24"/>
        </w:rPr>
        <w:t>Ibbotson, R. G., &amp; Kaplan, P. D. (2000). Does asset allocation policy explain 40, 90, or 100 percent of performance? Financial Analysts Journal, 56(1), 26–33. https://doi.org/10.2469/faj.v56.n1.2327</w:t>
      </w:r>
    </w:p>
    <w:p>
      <w:pPr>
        <w:spacing w:after="120" w:line="360" w:lineRule="auto"/>
        <w:ind w:hanging="720" w:left="720"/>
      </w:pPr>
      <w:r>
        <w:rPr>
          <w:rFonts w:ascii="Calibri" w:hAnsi="Calibri"/>
          <w:sz w:val="24"/>
        </w:rPr>
        <w:t>Ilmanen, A. (2011). Expected returns: An investor’s guide to harvesting market rewards. John Wiley &amp; Sons.</w:t>
      </w:r>
    </w:p>
    <w:p>
      <w:pPr>
        <w:spacing w:after="120" w:line="360" w:lineRule="auto"/>
        <w:ind w:hanging="720" w:left="720"/>
      </w:pPr>
      <w:r>
        <w:rPr>
          <w:rFonts w:ascii="Calibri" w:hAnsi="Calibri"/>
          <w:sz w:val="24"/>
        </w:rPr>
        <w:t>Kinlaw, W. B., Kritzman, M. P., &amp; Turkington, D. (2017). A practitioner’s guide to asset allocation. John Wiley &amp; Sons.</w:t>
      </w:r>
    </w:p>
    <w:p>
      <w:pPr>
        <w:spacing w:after="120" w:line="360" w:lineRule="auto"/>
        <w:ind w:hanging="720" w:left="720"/>
      </w:pPr>
      <w:r>
        <w:rPr>
          <w:rFonts w:ascii="Calibri" w:hAnsi="Calibri"/>
          <w:sz w:val="24"/>
        </w:rPr>
        <w:t>Longin, F., &amp; Solnik, B. (2001). Extreme correlation of international equity markets. The Journal of Finance, 56(2), 649–676. https://doi.org/10.1111/0022-1082.00340</w:t>
      </w:r>
    </w:p>
    <w:p>
      <w:pPr>
        <w:spacing w:after="120" w:line="360" w:lineRule="auto"/>
        <w:ind w:hanging="720" w:left="720"/>
      </w:pPr>
      <w:r>
        <w:rPr>
          <w:rFonts w:ascii="Calibri" w:hAnsi="Calibri"/>
          <w:sz w:val="24"/>
        </w:rPr>
        <w:t>Markowitz, H. (1952). Portfolio selection. The Journal of Finance, 7(1), 77–91. https://doi.org/10.1111/j.1540-6261.1952.tb01525.x</w:t>
      </w:r>
    </w:p>
    <w:p>
      <w:pPr>
        <w:spacing w:after="120" w:line="360" w:lineRule="auto"/>
        <w:ind w:hanging="720" w:left="720"/>
      </w:pPr>
      <w:r>
        <w:rPr>
          <w:rFonts w:ascii="Calibri" w:hAnsi="Calibri"/>
          <w:sz w:val="24"/>
        </w:rPr>
        <w:t>Qian, E. (2011). Risk parity and diversification. The Journal of Investing, 20(1), 119–127. https://doi.org/10.3905/joi.2011.20.1.119</w:t>
      </w:r>
    </w:p>
    <w:sectPr w:rsidR="00FC693F" w:rsidRPr="0006063C" w:rsidSect="00034616">
      <w:footerReference w:type="default" r:id="rId9"/>
      <w:head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20"/>
      </w:rPr>
      <w:fldChar w:fldCharType="begin"/>
    </w:r>
    <w:r>
      <w:rPr>
        <w:rFonts w:ascii="Calibri" w:hAnsi="Calibri"/>
        <w:sz w:val="20"/>
      </w:rPr>
      <w:instrText xml:space="preserve"> PAGE </w:instrText>
    </w:r>
    <w:r>
      <w:rPr>
        <w:rFonts w:ascii="Calibri" w:hAnsi="Calibri"/>
        <w:sz w:val="20"/>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808080"/>
        <w:sz w:val="18"/>
      </w:rPr>
      <w:t>QBUS3600 — Strategic Asset Allocation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pPr>
    <w:rPr>
      <w:rFonts w:ascii="Calibri" w:hAnsi="Calibri"/>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Calibri" w:hAnsi="Calibri"/>
      <w:b/>
      <w:bCs/>
      <w:color w:val="1F497D"/>
      <w:sz w:val="28"/>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pPr>
    <w:rPr>
      <w:rFonts w:asciiTheme="majorHAnsi" w:eastAsiaTheme="majorEastAsia" w:hAnsiTheme="majorHAnsi" w:cstheme="majorBidi" w:ascii="Calibri" w:hAnsi="Calibri"/>
      <w:b/>
      <w:bCs/>
      <w:color w:val="1F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contextualSpacing/>
    </w:pPr>
    <w:rPr>
      <w:rFonts w:ascii="Calibri" w:hAnsi="Calibri"/>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